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14.224647pt;width:595.15pt;height:827.7pt;mso-position-horizontal-relative:page;mso-position-vertical-relative:page;z-index:-266349568" coordorigin="0,284" coordsize="11903,16554">
            <v:shape style="position:absolute;left:0;top:284;width:11903;height:16554" type="#_x0000_t75" stroked="false">
              <v:imagedata r:id="rId5" o:title=""/>
            </v:shape>
            <v:shape style="position:absolute;left:2976;top:9723;width:6025;height:1402" type="#_x0000_t75" stroked="false">
              <v:imagedata r:id="rId6" o:title=""/>
            </v:shape>
            <v:shape style="position:absolute;left:2976;top:10801;width:6217;height:1402" type="#_x0000_t75" stroked="false">
              <v:imagedata r:id="rId7" o:title=""/>
            </v:shape>
            <v:shape style="position:absolute;left:2976;top:11864;width:6169;height:1402" type="#_x0000_t75" stroked="false">
              <v:imagedata r:id="rId8" o:title=""/>
            </v:shape>
            <v:shape style="position:absolute;left:8670;top:11864;width:840;height:1402" type="#_x0000_t75" stroked="false">
              <v:imagedata r:id="rId9" o:title=""/>
            </v:shape>
            <v:shape style="position:absolute;left:9090;top:11864;width:840;height:1402" type="#_x0000_t75" stroked="false">
              <v:imagedata r:id="rId10"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8"/>
        </w:rPr>
      </w:pPr>
    </w:p>
    <w:p>
      <w:pPr>
        <w:spacing w:before="129"/>
        <w:ind w:left="1836" w:right="0" w:firstLine="0"/>
        <w:jc w:val="left"/>
        <w:rPr>
          <w:rFonts w:ascii="Arial"/>
          <w:sz w:val="52"/>
        </w:rPr>
      </w:pPr>
      <w:bookmarkStart w:name="Copertina Agg DEF 2019" w:id="1"/>
      <w:bookmarkEnd w:id="1"/>
      <w:r>
        <w:rPr/>
      </w:r>
      <w:r>
        <w:rPr>
          <w:rFonts w:ascii="Arial"/>
          <w:color w:val="086D44"/>
          <w:w w:val="75"/>
          <w:sz w:val="52"/>
        </w:rPr>
        <w:t>NOTA DI AGGIORNAMENTO</w:t>
      </w:r>
      <w:r>
        <w:rPr>
          <w:rFonts w:ascii="Arial"/>
          <w:color w:val="086D44"/>
          <w:spacing w:val="-63"/>
          <w:w w:val="75"/>
          <w:sz w:val="52"/>
        </w:rPr>
        <w:t> </w:t>
      </w:r>
      <w:r>
        <w:rPr>
          <w:rFonts w:ascii="Arial"/>
          <w:color w:val="086D44"/>
          <w:w w:val="75"/>
          <w:sz w:val="52"/>
        </w:rPr>
        <w:t>DEL</w:t>
      </w:r>
    </w:p>
    <w:p>
      <w:pPr>
        <w:spacing w:after="0"/>
        <w:jc w:val="left"/>
        <w:rPr>
          <w:rFonts w:ascii="Arial"/>
          <w:sz w:val="52"/>
        </w:rPr>
        <w:sectPr>
          <w:type w:val="continuous"/>
          <w:pgSz w:w="11910" w:h="16840"/>
          <w:pgMar w:top="1580" w:bottom="280" w:left="1140" w:right="0"/>
        </w:sectPr>
      </w:pPr>
    </w:p>
    <w:p>
      <w:pPr>
        <w:pStyle w:val="BodyText"/>
        <w:spacing w:before="4"/>
        <w:rPr>
          <w:rFonts w:ascii="Times New Roman"/>
          <w:sz w:val="17"/>
        </w:rPr>
      </w:pPr>
    </w:p>
    <w:p>
      <w:pPr>
        <w:spacing w:after="0"/>
        <w:rPr>
          <w:rFonts w:ascii="Times New Roman"/>
          <w:sz w:val="17"/>
        </w:rPr>
        <w:sectPr>
          <w:pgSz w:w="11910" w:h="16840"/>
          <w:pgMar w:top="1580" w:bottom="280" w:left="1140" w:right="0"/>
        </w:sectPr>
      </w:pPr>
    </w:p>
    <w:p>
      <w:pPr>
        <w:pStyle w:val="BodyText"/>
        <w:ind w:left="4300"/>
        <w:rPr>
          <w:rFonts w:ascii="Times New Roman"/>
          <w:sz w:val="20"/>
        </w:rPr>
      </w:pPr>
      <w:r>
        <w:rPr>
          <w:rFonts w:ascii="Times New Roman"/>
          <w:sz w:val="20"/>
        </w:rPr>
        <w:drawing>
          <wp:inline distT="0" distB="0" distL="0" distR="0">
            <wp:extent cx="783659" cy="904875"/>
            <wp:effectExtent l="0" t="0" r="0" b="0"/>
            <wp:docPr id="1" name="image7.png"/>
            <wp:cNvGraphicFramePr>
              <a:graphicFrameLocks noChangeAspect="1"/>
            </wp:cNvGraphicFramePr>
            <a:graphic>
              <a:graphicData uri="http://schemas.openxmlformats.org/drawingml/2006/picture">
                <pic:pic>
                  <pic:nvPicPr>
                    <pic:cNvPr id="2" name="image7.png"/>
                    <pic:cNvPicPr/>
                  </pic:nvPicPr>
                  <pic:blipFill>
                    <a:blip r:embed="rId11" cstate="print"/>
                    <a:stretch>
                      <a:fillRect/>
                    </a:stretch>
                  </pic:blipFill>
                  <pic:spPr>
                    <a:xfrm>
                      <a:off x="0" y="0"/>
                      <a:ext cx="783659" cy="904875"/>
                    </a:xfrm>
                    <a:prstGeom prst="rect">
                      <a:avLst/>
                    </a:prstGeom>
                  </pic:spPr>
                </pic:pic>
              </a:graphicData>
            </a:graphic>
          </wp:inline>
        </w:drawing>
      </w:r>
      <w:r>
        <w:rPr>
          <w:rFonts w:ascii="Times New Roman"/>
          <w:sz w:val="20"/>
        </w:rPr>
      </w:r>
    </w:p>
    <w:p>
      <w:pPr>
        <w:pStyle w:val="BodyText"/>
        <w:spacing w:before="8"/>
        <w:rPr>
          <w:rFonts w:ascii="Times New Roman"/>
          <w:sz w:val="11"/>
        </w:rPr>
      </w:pPr>
      <w:r>
        <w:rPr/>
        <w:drawing>
          <wp:anchor distT="0" distB="0" distL="0" distR="0" allowOverlap="1" layoutInCell="1" locked="0" behindDoc="0" simplePos="0" relativeHeight="1">
            <wp:simplePos x="0" y="0"/>
            <wp:positionH relativeFrom="page">
              <wp:posOffset>1922467</wp:posOffset>
            </wp:positionH>
            <wp:positionV relativeFrom="paragraph">
              <wp:posOffset>114418</wp:posOffset>
            </wp:positionV>
            <wp:extent cx="924197" cy="149351"/>
            <wp:effectExtent l="0" t="0" r="0" b="0"/>
            <wp:wrapTopAndBottom/>
            <wp:docPr id="3" name="image8.png"/>
            <wp:cNvGraphicFramePr>
              <a:graphicFrameLocks noChangeAspect="1"/>
            </wp:cNvGraphicFramePr>
            <a:graphic>
              <a:graphicData uri="http://schemas.openxmlformats.org/drawingml/2006/picture">
                <pic:pic>
                  <pic:nvPicPr>
                    <pic:cNvPr id="4" name="image8.png"/>
                    <pic:cNvPicPr/>
                  </pic:nvPicPr>
                  <pic:blipFill>
                    <a:blip r:embed="rId12" cstate="print"/>
                    <a:stretch>
                      <a:fillRect/>
                    </a:stretch>
                  </pic:blipFill>
                  <pic:spPr>
                    <a:xfrm>
                      <a:off x="0" y="0"/>
                      <a:ext cx="924197" cy="149351"/>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2914393</wp:posOffset>
            </wp:positionH>
            <wp:positionV relativeFrom="paragraph">
              <wp:posOffset>110613</wp:posOffset>
            </wp:positionV>
            <wp:extent cx="1319758" cy="152400"/>
            <wp:effectExtent l="0" t="0" r="0" b="0"/>
            <wp:wrapTopAndBottom/>
            <wp:docPr id="5" name="image9.png"/>
            <wp:cNvGraphicFramePr>
              <a:graphicFrameLocks noChangeAspect="1"/>
            </wp:cNvGraphicFramePr>
            <a:graphic>
              <a:graphicData uri="http://schemas.openxmlformats.org/drawingml/2006/picture">
                <pic:pic>
                  <pic:nvPicPr>
                    <pic:cNvPr id="6" name="image9.png"/>
                    <pic:cNvPicPr/>
                  </pic:nvPicPr>
                  <pic:blipFill>
                    <a:blip r:embed="rId13" cstate="print"/>
                    <a:stretch>
                      <a:fillRect/>
                    </a:stretch>
                  </pic:blipFill>
                  <pic:spPr>
                    <a:xfrm>
                      <a:off x="0" y="0"/>
                      <a:ext cx="1319758" cy="152400"/>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4305596</wp:posOffset>
            </wp:positionH>
            <wp:positionV relativeFrom="paragraph">
              <wp:posOffset>157222</wp:posOffset>
            </wp:positionV>
            <wp:extent cx="81732" cy="102679"/>
            <wp:effectExtent l="0" t="0" r="0" b="0"/>
            <wp:wrapTopAndBottom/>
            <wp:docPr id="7" name="image10.png"/>
            <wp:cNvGraphicFramePr>
              <a:graphicFrameLocks noChangeAspect="1"/>
            </wp:cNvGraphicFramePr>
            <a:graphic>
              <a:graphicData uri="http://schemas.openxmlformats.org/drawingml/2006/picture">
                <pic:pic>
                  <pic:nvPicPr>
                    <pic:cNvPr id="8" name="image10.png"/>
                    <pic:cNvPicPr/>
                  </pic:nvPicPr>
                  <pic:blipFill>
                    <a:blip r:embed="rId14" cstate="print"/>
                    <a:stretch>
                      <a:fillRect/>
                    </a:stretch>
                  </pic:blipFill>
                  <pic:spPr>
                    <a:xfrm>
                      <a:off x="0" y="0"/>
                      <a:ext cx="81732" cy="102679"/>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4457126</wp:posOffset>
            </wp:positionH>
            <wp:positionV relativeFrom="paragraph">
              <wp:posOffset>156271</wp:posOffset>
            </wp:positionV>
            <wp:extent cx="457043" cy="102679"/>
            <wp:effectExtent l="0" t="0" r="0" b="0"/>
            <wp:wrapTopAndBottom/>
            <wp:docPr id="9" name="image11.png"/>
            <wp:cNvGraphicFramePr>
              <a:graphicFrameLocks noChangeAspect="1"/>
            </wp:cNvGraphicFramePr>
            <a:graphic>
              <a:graphicData uri="http://schemas.openxmlformats.org/drawingml/2006/picture">
                <pic:pic>
                  <pic:nvPicPr>
                    <pic:cNvPr id="10" name="image11.png"/>
                    <pic:cNvPicPr/>
                  </pic:nvPicPr>
                  <pic:blipFill>
                    <a:blip r:embed="rId15" cstate="print"/>
                    <a:stretch>
                      <a:fillRect/>
                    </a:stretch>
                  </pic:blipFill>
                  <pic:spPr>
                    <a:xfrm>
                      <a:off x="0" y="0"/>
                      <a:ext cx="457043" cy="102679"/>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4985892</wp:posOffset>
            </wp:positionH>
            <wp:positionV relativeFrom="paragraph">
              <wp:posOffset>113467</wp:posOffset>
            </wp:positionV>
            <wp:extent cx="716695" cy="149351"/>
            <wp:effectExtent l="0" t="0" r="0" b="0"/>
            <wp:wrapTopAndBottom/>
            <wp:docPr id="11" name="image12.png"/>
            <wp:cNvGraphicFramePr>
              <a:graphicFrameLocks noChangeAspect="1"/>
            </wp:cNvGraphicFramePr>
            <a:graphic>
              <a:graphicData uri="http://schemas.openxmlformats.org/drawingml/2006/picture">
                <pic:pic>
                  <pic:nvPicPr>
                    <pic:cNvPr id="12" name="image12.png"/>
                    <pic:cNvPicPr/>
                  </pic:nvPicPr>
                  <pic:blipFill>
                    <a:blip r:embed="rId16" cstate="print"/>
                    <a:stretch>
                      <a:fillRect/>
                    </a:stretch>
                  </pic:blipFill>
                  <pic:spPr>
                    <a:xfrm>
                      <a:off x="0" y="0"/>
                      <a:ext cx="716695" cy="149351"/>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9"/>
        </w:rPr>
      </w:pPr>
      <w:r>
        <w:rPr/>
        <w:pict>
          <v:group style="position:absolute;margin-left:148.699997pt;margin-top:13.170835pt;width:348pt;height:201.75pt;mso-position-horizontal-relative:page;mso-position-vertical-relative:paragraph;z-index:-251651072;mso-wrap-distance-left:0;mso-wrap-distance-right:0" coordorigin="2974,263" coordsize="6960,4035">
            <v:shape style="position:absolute;left:2974;top:755;width:6025;height:1402" type="#_x0000_t75" stroked="false">
              <v:imagedata r:id="rId17" o:title=""/>
            </v:shape>
            <v:shape style="position:absolute;left:2978;top:1833;width:6217;height:1402" type="#_x0000_t75" stroked="false">
              <v:imagedata r:id="rId18" o:title=""/>
            </v:shape>
            <v:shape style="position:absolute;left:2978;top:2896;width:6169;height:1402" type="#_x0000_t75" stroked="false">
              <v:imagedata r:id="rId19" o:title=""/>
            </v:shape>
            <v:shape style="position:absolute;left:8672;top:2896;width:840;height:1402" type="#_x0000_t75" stroked="false">
              <v:imagedata r:id="rId20" o:title=""/>
            </v:shape>
            <v:shape style="position:absolute;left:9093;top:2896;width:840;height:1402" type="#_x0000_t75" stroked="false">
              <v:imagedata r:id="rId21" o:title=""/>
            </v:shape>
            <v:shapetype id="_x0000_t202" o:spt="202" coordsize="21600,21600" path="m,l,21600r21600,l21600,xe">
              <v:stroke joinstyle="miter"/>
              <v:path gradientshapeok="t" o:connecttype="rect"/>
            </v:shapetype>
            <v:shape style="position:absolute;left:2974;top:263;width:6960;height:4035" type="#_x0000_t202" filled="false" stroked="false">
              <v:textbox inset="0,0,0,0">
                <w:txbxContent>
                  <w:p>
                    <w:pPr>
                      <w:spacing w:before="28"/>
                      <w:ind w:left="72" w:right="0" w:firstLine="0"/>
                      <w:jc w:val="left"/>
                      <w:rPr>
                        <w:rFonts w:ascii="Arial"/>
                        <w:sz w:val="52"/>
                      </w:rPr>
                    </w:pPr>
                    <w:bookmarkStart w:name="Frontespizio NdA del DEF 2019" w:id="2"/>
                    <w:bookmarkEnd w:id="2"/>
                    <w:r>
                      <w:rPr/>
                    </w:r>
                    <w:r>
                      <w:rPr>
                        <w:rFonts w:ascii="Arial"/>
                        <w:w w:val="75"/>
                        <w:sz w:val="52"/>
                      </w:rPr>
                      <w:t>NOTA DI AGGIORNAMENTO DEL</w:t>
                    </w:r>
                  </w:p>
                </w:txbxContent>
              </v:textbox>
              <w10:wrap type="none"/>
            </v:shape>
            <w10:wrap type="topAndBottom"/>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5"/>
        </w:rPr>
      </w:pPr>
    </w:p>
    <w:p>
      <w:pPr>
        <w:spacing w:before="92"/>
        <w:ind w:left="2376" w:right="0" w:firstLine="0"/>
        <w:jc w:val="left"/>
        <w:rPr>
          <w:rFonts w:ascii="Arial"/>
          <w:sz w:val="24"/>
        </w:rPr>
      </w:pPr>
      <w:r>
        <w:rPr>
          <w:rFonts w:ascii="Arial"/>
          <w:sz w:val="24"/>
        </w:rPr>
        <w:t>Presentata dal Presidente del Consiglio dei Ministri</w:t>
      </w:r>
    </w:p>
    <w:p>
      <w:pPr>
        <w:spacing w:before="12"/>
        <w:ind w:left="2376" w:right="0" w:firstLine="0"/>
        <w:jc w:val="left"/>
        <w:rPr>
          <w:rFonts w:ascii="Arial"/>
          <w:sz w:val="32"/>
        </w:rPr>
      </w:pPr>
      <w:r>
        <w:rPr>
          <w:rFonts w:ascii="Arial"/>
          <w:sz w:val="32"/>
        </w:rPr>
        <w:t>Giuseppe Conte</w:t>
      </w:r>
    </w:p>
    <w:p>
      <w:pPr>
        <w:spacing w:before="285"/>
        <w:ind w:left="2376" w:right="0" w:firstLine="0"/>
        <w:jc w:val="left"/>
        <w:rPr>
          <w:rFonts w:ascii="Arial" w:hAnsi="Arial"/>
          <w:sz w:val="24"/>
        </w:rPr>
      </w:pPr>
      <w:r>
        <w:rPr>
          <w:rFonts w:ascii="Arial" w:hAnsi="Arial"/>
          <w:sz w:val="24"/>
        </w:rPr>
        <w:t>e dal Ministro dell’Economia e delle Finanze</w:t>
      </w:r>
    </w:p>
    <w:p>
      <w:pPr>
        <w:spacing w:before="11"/>
        <w:ind w:left="2376" w:right="0" w:firstLine="0"/>
        <w:jc w:val="left"/>
        <w:rPr>
          <w:rFonts w:ascii="Arial"/>
          <w:sz w:val="32"/>
        </w:rPr>
      </w:pPr>
      <w:r>
        <w:rPr>
          <w:rFonts w:ascii="Arial"/>
          <w:sz w:val="32"/>
        </w:rPr>
        <w:t>Roberto Gualtieri</w:t>
      </w:r>
    </w:p>
    <w:p>
      <w:pPr>
        <w:pStyle w:val="BodyText"/>
        <w:spacing w:before="1"/>
        <w:rPr>
          <w:rFonts w:ascii="Arial"/>
          <w:sz w:val="48"/>
        </w:rPr>
      </w:pPr>
    </w:p>
    <w:p>
      <w:pPr>
        <w:spacing w:before="0"/>
        <w:ind w:left="2376" w:right="0" w:firstLine="0"/>
        <w:jc w:val="left"/>
        <w:rPr>
          <w:rFonts w:ascii="Arial"/>
          <w:sz w:val="24"/>
        </w:rPr>
      </w:pPr>
      <w:r>
        <w:rPr>
          <w:rFonts w:ascii="Arial"/>
          <w:sz w:val="24"/>
        </w:rPr>
        <w:t>Deliberata il 30 settembre 2019</w:t>
      </w:r>
    </w:p>
    <w:p>
      <w:pPr>
        <w:spacing w:after="0"/>
        <w:jc w:val="left"/>
        <w:rPr>
          <w:rFonts w:ascii="Arial"/>
          <w:sz w:val="24"/>
        </w:rPr>
        <w:sectPr>
          <w:pgSz w:w="11910" w:h="16840"/>
          <w:pgMar w:top="720" w:bottom="280" w:left="1140" w:right="0"/>
        </w:sectPr>
      </w:pPr>
    </w:p>
    <w:p>
      <w:pPr>
        <w:pStyle w:val="BodyText"/>
        <w:spacing w:before="4"/>
        <w:rPr>
          <w:rFonts w:ascii="Times New Roman"/>
          <w:sz w:val="17"/>
        </w:rPr>
      </w:pPr>
    </w:p>
    <w:p>
      <w:pPr>
        <w:spacing w:after="0"/>
        <w:rPr>
          <w:rFonts w:ascii="Times New Roman"/>
          <w:sz w:val="17"/>
        </w:rPr>
        <w:sectPr>
          <w:pgSz w:w="11910" w:h="16840"/>
          <w:pgMar w:top="1580" w:bottom="280" w:left="1140" w:right="0"/>
        </w:sectPr>
      </w:pPr>
    </w:p>
    <w:p>
      <w:pPr>
        <w:pStyle w:val="BodyText"/>
        <w:spacing w:line="20" w:lineRule="exact"/>
        <w:ind w:left="245"/>
        <w:rPr>
          <w:rFonts w:ascii="Times New Roman"/>
          <w:sz w:val="2"/>
        </w:rPr>
      </w:pPr>
      <w:r>
        <w:rPr>
          <w:rFonts w:ascii="Times New Roman"/>
          <w:sz w:val="2"/>
        </w:rPr>
        <w:pict>
          <v:group style="width:413.95pt;height:.5pt;mso-position-horizontal-relative:char;mso-position-vertical-relative:line" coordorigin="0,0" coordsize="8279,10">
            <v:line style="position:absolute" from="0,5" to="8279,5" stroked="true" strokeweight=".48pt" strokecolor="#000000">
              <v:stroke dashstyle="solid"/>
            </v:line>
          </v:group>
        </w:pict>
      </w:r>
      <w:r>
        <w:rPr>
          <w:rFonts w:ascii="Times New Roman"/>
          <w:sz w:val="2"/>
        </w:rPr>
      </w:r>
    </w:p>
    <w:p>
      <w:pPr>
        <w:pStyle w:val="BodyText"/>
        <w:rPr>
          <w:rFonts w:ascii="Times New Roman"/>
          <w:sz w:val="20"/>
        </w:rPr>
      </w:pPr>
    </w:p>
    <w:p>
      <w:pPr>
        <w:pStyle w:val="BodyText"/>
        <w:rPr>
          <w:rFonts w:ascii="Times New Roman"/>
          <w:sz w:val="20"/>
        </w:rPr>
      </w:pPr>
    </w:p>
    <w:p>
      <w:pPr>
        <w:pStyle w:val="BodyText"/>
        <w:spacing w:before="2"/>
        <w:rPr>
          <w:rFonts w:ascii="Times New Roman"/>
          <w:sz w:val="24"/>
        </w:rPr>
      </w:pPr>
    </w:p>
    <w:p>
      <w:pPr>
        <w:pStyle w:val="Heading1"/>
      </w:pPr>
      <w:bookmarkStart w:name="PREMESSA" w:id="3"/>
      <w:bookmarkEnd w:id="3"/>
      <w:r>
        <w:rPr>
          <w:b w:val="0"/>
        </w:rPr>
      </w:r>
      <w:r>
        <w:rPr>
          <w:color w:val="086D44"/>
        </w:rPr>
        <w:t>PREMESSA</w:t>
      </w:r>
    </w:p>
    <w:p>
      <w:pPr>
        <w:pStyle w:val="BodyText"/>
        <w:rPr>
          <w:rFonts w:ascii="Franklin Gothic Heavy"/>
          <w:b/>
          <w:sz w:val="36"/>
        </w:rPr>
      </w:pPr>
    </w:p>
    <w:p>
      <w:pPr>
        <w:pStyle w:val="BodyText"/>
        <w:rPr>
          <w:rFonts w:ascii="Franklin Gothic Heavy"/>
          <w:b/>
          <w:sz w:val="36"/>
        </w:rPr>
      </w:pPr>
    </w:p>
    <w:p>
      <w:pPr>
        <w:pStyle w:val="BodyText"/>
        <w:rPr>
          <w:rFonts w:ascii="Franklin Gothic Heavy"/>
          <w:b/>
          <w:sz w:val="36"/>
        </w:rPr>
      </w:pPr>
    </w:p>
    <w:p>
      <w:pPr>
        <w:spacing w:line="252" w:lineRule="auto" w:before="235"/>
        <w:ind w:left="278" w:right="2260" w:firstLine="453"/>
        <w:jc w:val="both"/>
        <w:rPr>
          <w:i/>
          <w:sz w:val="22"/>
        </w:rPr>
      </w:pPr>
      <w:r>
        <w:rPr>
          <w:i/>
          <w:sz w:val="22"/>
        </w:rPr>
        <w:t>Negli ultimi quindici mesi l’Italia ha attraversato una fase complessa, in cui </w:t>
      </w:r>
      <w:r>
        <w:rPr>
          <w:i/>
          <w:sz w:val="22"/>
        </w:rPr>
        <w:t>forti turbolenze internazionali si sono assommate ad un’accentuata discontinuità nella</w:t>
      </w:r>
      <w:r>
        <w:rPr>
          <w:i/>
          <w:spacing w:val="-11"/>
          <w:sz w:val="22"/>
        </w:rPr>
        <w:t> </w:t>
      </w:r>
      <w:r>
        <w:rPr>
          <w:i/>
          <w:sz w:val="22"/>
        </w:rPr>
        <w:t>politica</w:t>
      </w:r>
      <w:r>
        <w:rPr>
          <w:i/>
          <w:spacing w:val="-11"/>
          <w:sz w:val="22"/>
        </w:rPr>
        <w:t> </w:t>
      </w:r>
      <w:r>
        <w:rPr>
          <w:i/>
          <w:sz w:val="22"/>
        </w:rPr>
        <w:t>nazionale</w:t>
      </w:r>
      <w:r>
        <w:rPr>
          <w:i/>
          <w:spacing w:val="-10"/>
          <w:sz w:val="22"/>
        </w:rPr>
        <w:t> </w:t>
      </w:r>
      <w:r>
        <w:rPr>
          <w:i/>
          <w:sz w:val="22"/>
        </w:rPr>
        <w:t>e</w:t>
      </w:r>
      <w:r>
        <w:rPr>
          <w:i/>
          <w:spacing w:val="-11"/>
          <w:sz w:val="22"/>
        </w:rPr>
        <w:t> </w:t>
      </w:r>
      <w:r>
        <w:rPr>
          <w:i/>
          <w:sz w:val="22"/>
        </w:rPr>
        <w:t>nelle</w:t>
      </w:r>
      <w:r>
        <w:rPr>
          <w:i/>
          <w:spacing w:val="-11"/>
          <w:sz w:val="22"/>
        </w:rPr>
        <w:t> </w:t>
      </w:r>
      <w:r>
        <w:rPr>
          <w:i/>
          <w:sz w:val="22"/>
        </w:rPr>
        <w:t>scelte</w:t>
      </w:r>
      <w:r>
        <w:rPr>
          <w:i/>
          <w:spacing w:val="-11"/>
          <w:sz w:val="22"/>
        </w:rPr>
        <w:t> </w:t>
      </w:r>
      <w:r>
        <w:rPr>
          <w:i/>
          <w:sz w:val="22"/>
        </w:rPr>
        <w:t>economiche</w:t>
      </w:r>
      <w:r>
        <w:rPr>
          <w:i/>
          <w:spacing w:val="-10"/>
          <w:sz w:val="22"/>
        </w:rPr>
        <w:t> </w:t>
      </w:r>
      <w:r>
        <w:rPr>
          <w:i/>
          <w:sz w:val="22"/>
        </w:rPr>
        <w:t>più</w:t>
      </w:r>
      <w:r>
        <w:rPr>
          <w:i/>
          <w:spacing w:val="-10"/>
          <w:sz w:val="22"/>
        </w:rPr>
        <w:t> </w:t>
      </w:r>
      <w:r>
        <w:rPr>
          <w:i/>
          <w:sz w:val="22"/>
        </w:rPr>
        <w:t>importanti.</w:t>
      </w:r>
      <w:r>
        <w:rPr>
          <w:i/>
          <w:spacing w:val="-12"/>
          <w:sz w:val="22"/>
        </w:rPr>
        <w:t> </w:t>
      </w:r>
      <w:r>
        <w:rPr>
          <w:i/>
          <w:sz w:val="22"/>
        </w:rPr>
        <w:t>Il</w:t>
      </w:r>
      <w:r>
        <w:rPr>
          <w:i/>
          <w:spacing w:val="-12"/>
          <w:sz w:val="22"/>
        </w:rPr>
        <w:t> </w:t>
      </w:r>
      <w:r>
        <w:rPr>
          <w:i/>
          <w:sz w:val="22"/>
        </w:rPr>
        <w:t>nuovo</w:t>
      </w:r>
      <w:r>
        <w:rPr>
          <w:i/>
          <w:spacing w:val="-11"/>
          <w:sz w:val="22"/>
        </w:rPr>
        <w:t> </w:t>
      </w:r>
      <w:r>
        <w:rPr>
          <w:i/>
          <w:sz w:val="22"/>
        </w:rPr>
        <w:t>Governo si</w:t>
      </w:r>
      <w:r>
        <w:rPr>
          <w:i/>
          <w:spacing w:val="-7"/>
          <w:sz w:val="22"/>
        </w:rPr>
        <w:t> </w:t>
      </w:r>
      <w:r>
        <w:rPr>
          <w:i/>
          <w:sz w:val="22"/>
        </w:rPr>
        <w:t>è</w:t>
      </w:r>
      <w:r>
        <w:rPr>
          <w:i/>
          <w:spacing w:val="-7"/>
          <w:sz w:val="22"/>
        </w:rPr>
        <w:t> </w:t>
      </w:r>
      <w:r>
        <w:rPr>
          <w:i/>
          <w:sz w:val="22"/>
        </w:rPr>
        <w:t>da</w:t>
      </w:r>
      <w:r>
        <w:rPr>
          <w:i/>
          <w:spacing w:val="-7"/>
          <w:sz w:val="22"/>
        </w:rPr>
        <w:t> </w:t>
      </w:r>
      <w:r>
        <w:rPr>
          <w:i/>
          <w:sz w:val="22"/>
        </w:rPr>
        <w:t>poco</w:t>
      </w:r>
      <w:r>
        <w:rPr>
          <w:i/>
          <w:spacing w:val="-6"/>
          <w:sz w:val="22"/>
        </w:rPr>
        <w:t> </w:t>
      </w:r>
      <w:r>
        <w:rPr>
          <w:i/>
          <w:sz w:val="22"/>
        </w:rPr>
        <w:t>insediato</w:t>
      </w:r>
      <w:r>
        <w:rPr>
          <w:i/>
          <w:spacing w:val="-6"/>
          <w:sz w:val="22"/>
        </w:rPr>
        <w:t> </w:t>
      </w:r>
      <w:r>
        <w:rPr>
          <w:i/>
          <w:sz w:val="22"/>
        </w:rPr>
        <w:t>in</w:t>
      </w:r>
      <w:r>
        <w:rPr>
          <w:i/>
          <w:spacing w:val="-6"/>
          <w:sz w:val="22"/>
        </w:rPr>
        <w:t> </w:t>
      </w:r>
      <w:r>
        <w:rPr>
          <w:i/>
          <w:sz w:val="22"/>
        </w:rPr>
        <w:t>un</w:t>
      </w:r>
      <w:r>
        <w:rPr>
          <w:i/>
          <w:spacing w:val="-6"/>
          <w:sz w:val="22"/>
        </w:rPr>
        <w:t> </w:t>
      </w:r>
      <w:r>
        <w:rPr>
          <w:i/>
          <w:sz w:val="22"/>
        </w:rPr>
        <w:t>contesto</w:t>
      </w:r>
      <w:r>
        <w:rPr>
          <w:i/>
          <w:spacing w:val="-6"/>
          <w:sz w:val="22"/>
        </w:rPr>
        <w:t> </w:t>
      </w:r>
      <w:r>
        <w:rPr>
          <w:i/>
          <w:sz w:val="22"/>
        </w:rPr>
        <w:t>di</w:t>
      </w:r>
      <w:r>
        <w:rPr>
          <w:i/>
          <w:spacing w:val="-6"/>
          <w:sz w:val="22"/>
        </w:rPr>
        <w:t> </w:t>
      </w:r>
      <w:r>
        <w:rPr>
          <w:i/>
          <w:sz w:val="22"/>
        </w:rPr>
        <w:t>bassa</w:t>
      </w:r>
      <w:r>
        <w:rPr>
          <w:i/>
          <w:spacing w:val="-6"/>
          <w:sz w:val="22"/>
        </w:rPr>
        <w:t> </w:t>
      </w:r>
      <w:r>
        <w:rPr>
          <w:i/>
          <w:sz w:val="22"/>
        </w:rPr>
        <w:t>crescita</w:t>
      </w:r>
      <w:r>
        <w:rPr>
          <w:i/>
          <w:spacing w:val="-6"/>
          <w:sz w:val="22"/>
        </w:rPr>
        <w:t> </w:t>
      </w:r>
      <w:r>
        <w:rPr>
          <w:i/>
          <w:sz w:val="22"/>
        </w:rPr>
        <w:t>e</w:t>
      </w:r>
      <w:r>
        <w:rPr>
          <w:i/>
          <w:spacing w:val="-6"/>
          <w:sz w:val="22"/>
        </w:rPr>
        <w:t> </w:t>
      </w:r>
      <w:r>
        <w:rPr>
          <w:i/>
          <w:sz w:val="22"/>
        </w:rPr>
        <w:t>persistente</w:t>
      </w:r>
      <w:r>
        <w:rPr>
          <w:i/>
          <w:spacing w:val="-6"/>
          <w:sz w:val="22"/>
        </w:rPr>
        <w:t> </w:t>
      </w:r>
      <w:r>
        <w:rPr>
          <w:i/>
          <w:sz w:val="22"/>
        </w:rPr>
        <w:t>disagio</w:t>
      </w:r>
      <w:r>
        <w:rPr>
          <w:i/>
          <w:spacing w:val="-7"/>
          <w:sz w:val="22"/>
        </w:rPr>
        <w:t> </w:t>
      </w:r>
      <w:r>
        <w:rPr>
          <w:i/>
          <w:sz w:val="22"/>
        </w:rPr>
        <w:t>sociale. Nonostante le importanti misure adottate negli ultimi tempi, le disuguaglianze all’interno della nostra società restano acute e le sfide che dobbiamo affrontare sono difficili. Ciononostante, la resilienza che l’Italia ha mostrato anche nei momenti più delicati a livello economico, finanziario ed istituzionale fornisce una solida base di partenza. Le tensioni sui mercati finanziari interni sono rientrate e l’Unione Europea sembra aver recuperato una maggiore unità d’intenti per rispondere alle sfide interne ed</w:t>
      </w:r>
      <w:r>
        <w:rPr>
          <w:i/>
          <w:spacing w:val="-5"/>
          <w:sz w:val="22"/>
        </w:rPr>
        <w:t> </w:t>
      </w:r>
      <w:r>
        <w:rPr>
          <w:i/>
          <w:sz w:val="22"/>
        </w:rPr>
        <w:t>esterne.</w:t>
      </w:r>
    </w:p>
    <w:p>
      <w:pPr>
        <w:spacing w:line="252" w:lineRule="auto" w:before="122"/>
        <w:ind w:left="278" w:right="2263" w:firstLine="453"/>
        <w:jc w:val="both"/>
        <w:rPr>
          <w:i/>
          <w:sz w:val="22"/>
        </w:rPr>
      </w:pPr>
      <w:r>
        <w:rPr>
          <w:i/>
          <w:sz w:val="22"/>
        </w:rPr>
        <w:t>In</w:t>
      </w:r>
      <w:r>
        <w:rPr>
          <w:i/>
          <w:spacing w:val="-11"/>
          <w:sz w:val="22"/>
        </w:rPr>
        <w:t> </w:t>
      </w:r>
      <w:r>
        <w:rPr>
          <w:i/>
          <w:sz w:val="22"/>
        </w:rPr>
        <w:t>questo</w:t>
      </w:r>
      <w:r>
        <w:rPr>
          <w:i/>
          <w:spacing w:val="-10"/>
          <w:sz w:val="22"/>
        </w:rPr>
        <w:t> </w:t>
      </w:r>
      <w:r>
        <w:rPr>
          <w:i/>
          <w:sz w:val="22"/>
        </w:rPr>
        <w:t>contesto,</w:t>
      </w:r>
      <w:r>
        <w:rPr>
          <w:i/>
          <w:spacing w:val="-8"/>
          <w:sz w:val="22"/>
        </w:rPr>
        <w:t> </w:t>
      </w:r>
      <w:r>
        <w:rPr>
          <w:i/>
          <w:sz w:val="22"/>
        </w:rPr>
        <w:t>l’Italia</w:t>
      </w:r>
      <w:r>
        <w:rPr>
          <w:i/>
          <w:spacing w:val="-11"/>
          <w:sz w:val="22"/>
        </w:rPr>
        <w:t> </w:t>
      </w:r>
      <w:r>
        <w:rPr>
          <w:i/>
          <w:sz w:val="22"/>
        </w:rPr>
        <w:t>può</w:t>
      </w:r>
      <w:r>
        <w:rPr>
          <w:i/>
          <w:spacing w:val="-11"/>
          <w:sz w:val="22"/>
        </w:rPr>
        <w:t> </w:t>
      </w:r>
      <w:r>
        <w:rPr>
          <w:i/>
          <w:sz w:val="22"/>
        </w:rPr>
        <w:t>e</w:t>
      </w:r>
      <w:r>
        <w:rPr>
          <w:i/>
          <w:spacing w:val="-10"/>
          <w:sz w:val="22"/>
        </w:rPr>
        <w:t> </w:t>
      </w:r>
      <w:r>
        <w:rPr>
          <w:i/>
          <w:sz w:val="22"/>
        </w:rPr>
        <w:t>deve</w:t>
      </w:r>
      <w:r>
        <w:rPr>
          <w:i/>
          <w:spacing w:val="-11"/>
          <w:sz w:val="22"/>
        </w:rPr>
        <w:t> </w:t>
      </w:r>
      <w:r>
        <w:rPr>
          <w:i/>
          <w:sz w:val="22"/>
        </w:rPr>
        <w:t>fornire</w:t>
      </w:r>
      <w:r>
        <w:rPr>
          <w:i/>
          <w:spacing w:val="-11"/>
          <w:sz w:val="22"/>
        </w:rPr>
        <w:t> </w:t>
      </w:r>
      <w:r>
        <w:rPr>
          <w:i/>
          <w:sz w:val="22"/>
        </w:rPr>
        <w:t>un</w:t>
      </w:r>
      <w:r>
        <w:rPr>
          <w:i/>
          <w:spacing w:val="-7"/>
          <w:sz w:val="22"/>
        </w:rPr>
        <w:t> </w:t>
      </w:r>
      <w:r>
        <w:rPr>
          <w:i/>
          <w:sz w:val="22"/>
        </w:rPr>
        <w:t>contributo</w:t>
      </w:r>
      <w:r>
        <w:rPr>
          <w:i/>
          <w:spacing w:val="-11"/>
          <w:sz w:val="22"/>
        </w:rPr>
        <w:t> </w:t>
      </w:r>
      <w:r>
        <w:rPr>
          <w:i/>
          <w:sz w:val="22"/>
        </w:rPr>
        <w:t>determinante</w:t>
      </w:r>
      <w:r>
        <w:rPr>
          <w:i/>
          <w:spacing w:val="-10"/>
          <w:sz w:val="22"/>
        </w:rPr>
        <w:t> </w:t>
      </w:r>
      <w:r>
        <w:rPr>
          <w:i/>
          <w:sz w:val="22"/>
        </w:rPr>
        <w:t>alla </w:t>
      </w:r>
      <w:r>
        <w:rPr>
          <w:i/>
          <w:sz w:val="22"/>
        </w:rPr>
        <w:t>ripresa di un sentiero di sviluppo inclusivo e sostenibile a livello europeo. Il nuovo Governo è stato formato con rapidità e si è trovato a dover aggiornare il DEF e impostare l’imminente sessione di bilancio in tempi strettissimi. Pertanto il presente</w:t>
      </w:r>
      <w:r>
        <w:rPr>
          <w:i/>
          <w:spacing w:val="-16"/>
          <w:sz w:val="22"/>
        </w:rPr>
        <w:t> </w:t>
      </w:r>
      <w:r>
        <w:rPr>
          <w:i/>
          <w:sz w:val="22"/>
        </w:rPr>
        <w:t>Documento</w:t>
      </w:r>
      <w:r>
        <w:rPr>
          <w:i/>
          <w:spacing w:val="-15"/>
          <w:sz w:val="22"/>
        </w:rPr>
        <w:t> </w:t>
      </w:r>
      <w:r>
        <w:rPr>
          <w:i/>
          <w:sz w:val="22"/>
        </w:rPr>
        <w:t>si</w:t>
      </w:r>
      <w:r>
        <w:rPr>
          <w:i/>
          <w:spacing w:val="-17"/>
          <w:sz w:val="22"/>
        </w:rPr>
        <w:t> </w:t>
      </w:r>
      <w:r>
        <w:rPr>
          <w:i/>
          <w:sz w:val="22"/>
        </w:rPr>
        <w:t>concentra</w:t>
      </w:r>
      <w:r>
        <w:rPr>
          <w:i/>
          <w:spacing w:val="-16"/>
          <w:sz w:val="22"/>
        </w:rPr>
        <w:t> </w:t>
      </w:r>
      <w:r>
        <w:rPr>
          <w:i/>
          <w:sz w:val="22"/>
        </w:rPr>
        <w:t>sui</w:t>
      </w:r>
      <w:r>
        <w:rPr>
          <w:i/>
          <w:spacing w:val="-16"/>
          <w:sz w:val="22"/>
        </w:rPr>
        <w:t> </w:t>
      </w:r>
      <w:r>
        <w:rPr>
          <w:i/>
          <w:sz w:val="22"/>
        </w:rPr>
        <w:t>punti</w:t>
      </w:r>
      <w:r>
        <w:rPr>
          <w:i/>
          <w:spacing w:val="-17"/>
          <w:sz w:val="22"/>
        </w:rPr>
        <w:t> </w:t>
      </w:r>
      <w:r>
        <w:rPr>
          <w:i/>
          <w:sz w:val="22"/>
        </w:rPr>
        <w:t>più</w:t>
      </w:r>
      <w:r>
        <w:rPr>
          <w:i/>
          <w:spacing w:val="-18"/>
          <w:sz w:val="22"/>
        </w:rPr>
        <w:t> </w:t>
      </w:r>
      <w:r>
        <w:rPr>
          <w:i/>
          <w:sz w:val="22"/>
        </w:rPr>
        <w:t>importanti</w:t>
      </w:r>
      <w:r>
        <w:rPr>
          <w:i/>
          <w:spacing w:val="-16"/>
          <w:sz w:val="22"/>
        </w:rPr>
        <w:t> </w:t>
      </w:r>
      <w:r>
        <w:rPr>
          <w:i/>
          <w:sz w:val="22"/>
        </w:rPr>
        <w:t>della</w:t>
      </w:r>
      <w:r>
        <w:rPr>
          <w:i/>
          <w:spacing w:val="-15"/>
          <w:sz w:val="22"/>
        </w:rPr>
        <w:t> </w:t>
      </w:r>
      <w:r>
        <w:rPr>
          <w:i/>
          <w:sz w:val="22"/>
        </w:rPr>
        <w:t>strategia</w:t>
      </w:r>
      <w:r>
        <w:rPr>
          <w:i/>
          <w:spacing w:val="-15"/>
          <w:sz w:val="22"/>
        </w:rPr>
        <w:t> </w:t>
      </w:r>
      <w:r>
        <w:rPr>
          <w:i/>
          <w:sz w:val="22"/>
        </w:rPr>
        <w:t>di</w:t>
      </w:r>
      <w:r>
        <w:rPr>
          <w:i/>
          <w:spacing w:val="-17"/>
          <w:sz w:val="22"/>
        </w:rPr>
        <w:t> </w:t>
      </w:r>
      <w:r>
        <w:rPr>
          <w:i/>
          <w:sz w:val="22"/>
        </w:rPr>
        <w:t>politica economica e di riforma del nuovo Governo. Pur rinviando al prossimo Programma Nazionale di Riforma una trattazione più completa di tutti gli aspetti di tale strategia, siamo convinti di poter imprimere un cambio di passo alla politica economica già con la prossima Legge di Bilancio e che si sia aperta un’opportunità di disegnare riforme incisive e preparare un vero rilancio dell’economia</w:t>
      </w:r>
      <w:r>
        <w:rPr>
          <w:i/>
          <w:spacing w:val="-26"/>
          <w:sz w:val="22"/>
        </w:rPr>
        <w:t> </w:t>
      </w:r>
      <w:r>
        <w:rPr>
          <w:i/>
          <w:sz w:val="22"/>
        </w:rPr>
        <w:t>italiana.</w:t>
      </w:r>
    </w:p>
    <w:p>
      <w:pPr>
        <w:spacing w:line="252" w:lineRule="auto" w:before="119"/>
        <w:ind w:left="278" w:right="2265" w:firstLine="453"/>
        <w:jc w:val="both"/>
        <w:rPr>
          <w:i/>
          <w:sz w:val="22"/>
        </w:rPr>
      </w:pPr>
      <w:r>
        <w:rPr>
          <w:i/>
          <w:sz w:val="22"/>
        </w:rPr>
        <w:t>La bassa crescita dell’economia italiana è il portato di problemi strutturali </w:t>
      </w:r>
      <w:r>
        <w:rPr>
          <w:i/>
          <w:sz w:val="22"/>
        </w:rPr>
        <w:t>oramai di lunga data, così come di fattori più recenti. Tra questi, i venti protezionistici, che danneggiano in primis paesi aperti al commercio estero come l’Italia, le tensioni internazionali e il rallentamento di importanti economie emergenti. Le fibrillazioni del quadro politico interno hanno concorso all’indebolimento di consumi e investimenti, e quindi del tasso di crescita dell’economia.</w:t>
      </w:r>
    </w:p>
    <w:p>
      <w:pPr>
        <w:spacing w:line="252" w:lineRule="auto" w:before="122"/>
        <w:ind w:left="278" w:right="2261" w:firstLine="453"/>
        <w:jc w:val="both"/>
        <w:rPr>
          <w:i/>
          <w:sz w:val="22"/>
        </w:rPr>
      </w:pPr>
      <w:r>
        <w:rPr>
          <w:i/>
          <w:sz w:val="22"/>
        </w:rPr>
        <w:t>Il peggioramento del quadro macroeconomico e alcune politiche di spesa </w:t>
      </w:r>
      <w:r>
        <w:rPr>
          <w:i/>
          <w:sz w:val="22"/>
        </w:rPr>
        <w:t>particolarmente</w:t>
      </w:r>
      <w:r>
        <w:rPr>
          <w:i/>
          <w:spacing w:val="-7"/>
          <w:sz w:val="22"/>
        </w:rPr>
        <w:t> </w:t>
      </w:r>
      <w:r>
        <w:rPr>
          <w:i/>
          <w:sz w:val="22"/>
        </w:rPr>
        <w:t>onerose</w:t>
      </w:r>
      <w:r>
        <w:rPr>
          <w:i/>
          <w:spacing w:val="-6"/>
          <w:sz w:val="22"/>
        </w:rPr>
        <w:t> </w:t>
      </w:r>
      <w:r>
        <w:rPr>
          <w:i/>
          <w:sz w:val="22"/>
        </w:rPr>
        <w:t>hanno,</w:t>
      </w:r>
      <w:r>
        <w:rPr>
          <w:i/>
          <w:spacing w:val="-5"/>
          <w:sz w:val="22"/>
        </w:rPr>
        <w:t> </w:t>
      </w:r>
      <w:r>
        <w:rPr>
          <w:i/>
          <w:sz w:val="22"/>
        </w:rPr>
        <w:t>infatti,</w:t>
      </w:r>
      <w:r>
        <w:rPr>
          <w:i/>
          <w:spacing w:val="-8"/>
          <w:sz w:val="22"/>
        </w:rPr>
        <w:t> </w:t>
      </w:r>
      <w:r>
        <w:rPr>
          <w:i/>
          <w:sz w:val="22"/>
        </w:rPr>
        <w:t>messo</w:t>
      </w:r>
      <w:r>
        <w:rPr>
          <w:i/>
          <w:spacing w:val="-7"/>
          <w:sz w:val="22"/>
        </w:rPr>
        <w:t> </w:t>
      </w:r>
      <w:r>
        <w:rPr>
          <w:i/>
          <w:sz w:val="22"/>
        </w:rPr>
        <w:t>pressione</w:t>
      </w:r>
      <w:r>
        <w:rPr>
          <w:i/>
          <w:spacing w:val="-8"/>
          <w:sz w:val="22"/>
        </w:rPr>
        <w:t> </w:t>
      </w:r>
      <w:r>
        <w:rPr>
          <w:i/>
          <w:sz w:val="22"/>
        </w:rPr>
        <w:t>sul</w:t>
      </w:r>
      <w:r>
        <w:rPr>
          <w:i/>
          <w:spacing w:val="-7"/>
          <w:sz w:val="22"/>
        </w:rPr>
        <w:t> </w:t>
      </w:r>
      <w:r>
        <w:rPr>
          <w:i/>
          <w:sz w:val="22"/>
        </w:rPr>
        <w:t>bilancio</w:t>
      </w:r>
      <w:r>
        <w:rPr>
          <w:i/>
          <w:spacing w:val="-8"/>
          <w:sz w:val="22"/>
        </w:rPr>
        <w:t> </w:t>
      </w:r>
      <w:r>
        <w:rPr>
          <w:i/>
          <w:sz w:val="22"/>
        </w:rPr>
        <w:t>pubblico,</w:t>
      </w:r>
      <w:r>
        <w:rPr>
          <w:i/>
          <w:spacing w:val="-5"/>
          <w:sz w:val="22"/>
        </w:rPr>
        <w:t> </w:t>
      </w:r>
      <w:r>
        <w:rPr>
          <w:i/>
          <w:sz w:val="22"/>
        </w:rPr>
        <w:t>per compensare la quale la scorsa Legge di bilancio ha incrementato ulteriormente le clausole IVA, portandole a oltre 23 miliardi di euro nel 2020 e quasi 29 miliardi nell’anno successivo. Infine e di conseguenza, il peggioramento delle prospettive economiche e i ricorrenti dubbi sull’adesione alla moneta unica da parte di alcuni esponenti</w:t>
      </w:r>
      <w:r>
        <w:rPr>
          <w:i/>
          <w:spacing w:val="-6"/>
          <w:sz w:val="22"/>
        </w:rPr>
        <w:t> </w:t>
      </w:r>
      <w:r>
        <w:rPr>
          <w:i/>
          <w:sz w:val="22"/>
        </w:rPr>
        <w:t>politici</w:t>
      </w:r>
      <w:r>
        <w:rPr>
          <w:i/>
          <w:spacing w:val="-5"/>
          <w:sz w:val="22"/>
        </w:rPr>
        <w:t> </w:t>
      </w:r>
      <w:r>
        <w:rPr>
          <w:i/>
          <w:sz w:val="22"/>
        </w:rPr>
        <w:t>hanno</w:t>
      </w:r>
      <w:r>
        <w:rPr>
          <w:i/>
          <w:spacing w:val="-5"/>
          <w:sz w:val="22"/>
        </w:rPr>
        <w:t> </w:t>
      </w:r>
      <w:r>
        <w:rPr>
          <w:i/>
          <w:sz w:val="22"/>
        </w:rPr>
        <w:t>contribuito</w:t>
      </w:r>
      <w:r>
        <w:rPr>
          <w:i/>
          <w:spacing w:val="-6"/>
          <w:sz w:val="22"/>
        </w:rPr>
        <w:t> </w:t>
      </w:r>
      <w:r>
        <w:rPr>
          <w:i/>
          <w:sz w:val="22"/>
        </w:rPr>
        <w:t>a</w:t>
      </w:r>
      <w:r>
        <w:rPr>
          <w:i/>
          <w:spacing w:val="-6"/>
          <w:sz w:val="22"/>
        </w:rPr>
        <w:t> </w:t>
      </w:r>
      <w:r>
        <w:rPr>
          <w:i/>
          <w:sz w:val="22"/>
        </w:rPr>
        <w:t>ridurre</w:t>
      </w:r>
      <w:r>
        <w:rPr>
          <w:i/>
          <w:spacing w:val="-7"/>
          <w:sz w:val="22"/>
        </w:rPr>
        <w:t> </w:t>
      </w:r>
      <w:r>
        <w:rPr>
          <w:i/>
          <w:sz w:val="22"/>
        </w:rPr>
        <w:t>la</w:t>
      </w:r>
      <w:r>
        <w:rPr>
          <w:i/>
          <w:spacing w:val="-6"/>
          <w:sz w:val="22"/>
        </w:rPr>
        <w:t> </w:t>
      </w:r>
      <w:r>
        <w:rPr>
          <w:i/>
          <w:sz w:val="22"/>
        </w:rPr>
        <w:t>fiducia</w:t>
      </w:r>
      <w:r>
        <w:rPr>
          <w:i/>
          <w:spacing w:val="-6"/>
          <w:sz w:val="22"/>
        </w:rPr>
        <w:t> </w:t>
      </w:r>
      <w:r>
        <w:rPr>
          <w:i/>
          <w:sz w:val="22"/>
        </w:rPr>
        <w:t>degli</w:t>
      </w:r>
      <w:r>
        <w:rPr>
          <w:i/>
          <w:spacing w:val="-6"/>
          <w:sz w:val="22"/>
        </w:rPr>
        <w:t> </w:t>
      </w:r>
      <w:r>
        <w:rPr>
          <w:i/>
          <w:sz w:val="22"/>
        </w:rPr>
        <w:t>investitori,</w:t>
      </w:r>
      <w:r>
        <w:rPr>
          <w:i/>
          <w:spacing w:val="-5"/>
          <w:sz w:val="22"/>
        </w:rPr>
        <w:t> </w:t>
      </w:r>
      <w:r>
        <w:rPr>
          <w:i/>
          <w:sz w:val="22"/>
        </w:rPr>
        <w:t>portando a un significativo aumento del costo del debito pubblico, la componente più improduttiva della spesa. Anche sotto questo punto di vista è stato importante evitare la procedura per disavanzo</w:t>
      </w:r>
      <w:r>
        <w:rPr>
          <w:i/>
          <w:spacing w:val="-4"/>
          <w:sz w:val="22"/>
        </w:rPr>
        <w:t> </w:t>
      </w:r>
      <w:r>
        <w:rPr>
          <w:i/>
          <w:sz w:val="22"/>
        </w:rPr>
        <w:t>eccessivo.</w:t>
      </w:r>
    </w:p>
    <w:p>
      <w:pPr>
        <w:spacing w:after="0" w:line="252" w:lineRule="auto"/>
        <w:jc w:val="both"/>
        <w:rPr>
          <w:sz w:val="22"/>
        </w:rPr>
        <w:sectPr>
          <w:footerReference w:type="default" r:id="rId22"/>
          <w:footerReference w:type="even" r:id="rId23"/>
          <w:pgSz w:w="11910" w:h="16840"/>
          <w:pgMar w:footer="866" w:header="0" w:top="1080" w:bottom="1060" w:left="1140" w:right="0"/>
          <w:pgNumType w:start="3"/>
        </w:sectPr>
      </w:pPr>
    </w:p>
    <w:p>
      <w:pPr>
        <w:pStyle w:val="BodyText"/>
        <w:rPr>
          <w:i/>
          <w:sz w:val="20"/>
        </w:rPr>
      </w:pPr>
    </w:p>
    <w:p>
      <w:pPr>
        <w:pStyle w:val="BodyText"/>
        <w:rPr>
          <w:i/>
          <w:sz w:val="20"/>
        </w:rPr>
      </w:pPr>
    </w:p>
    <w:p>
      <w:pPr>
        <w:pStyle w:val="BodyText"/>
        <w:spacing w:before="3"/>
        <w:rPr>
          <w:i/>
          <w:sz w:val="25"/>
        </w:rPr>
      </w:pPr>
    </w:p>
    <w:p>
      <w:pPr>
        <w:spacing w:line="252" w:lineRule="auto" w:before="101"/>
        <w:ind w:left="1128" w:right="1414" w:firstLine="453"/>
        <w:jc w:val="both"/>
        <w:rPr>
          <w:i/>
          <w:sz w:val="22"/>
        </w:rPr>
      </w:pPr>
      <w:r>
        <w:rPr>
          <w:i/>
          <w:sz w:val="22"/>
        </w:rPr>
        <w:t>In</w:t>
      </w:r>
      <w:r>
        <w:rPr>
          <w:i/>
          <w:spacing w:val="-15"/>
          <w:sz w:val="22"/>
        </w:rPr>
        <w:t> </w:t>
      </w:r>
      <w:r>
        <w:rPr>
          <w:i/>
          <w:sz w:val="22"/>
        </w:rPr>
        <w:t>questo</w:t>
      </w:r>
      <w:r>
        <w:rPr>
          <w:i/>
          <w:spacing w:val="-17"/>
          <w:sz w:val="22"/>
        </w:rPr>
        <w:t> </w:t>
      </w:r>
      <w:r>
        <w:rPr>
          <w:i/>
          <w:sz w:val="22"/>
        </w:rPr>
        <w:t>contesto,</w:t>
      </w:r>
      <w:r>
        <w:rPr>
          <w:i/>
          <w:spacing w:val="-15"/>
          <w:sz w:val="22"/>
        </w:rPr>
        <w:t> </w:t>
      </w:r>
      <w:r>
        <w:rPr>
          <w:i/>
          <w:sz w:val="22"/>
        </w:rPr>
        <w:t>il</w:t>
      </w:r>
      <w:r>
        <w:rPr>
          <w:i/>
          <w:spacing w:val="-15"/>
          <w:sz w:val="22"/>
        </w:rPr>
        <w:t> </w:t>
      </w:r>
      <w:r>
        <w:rPr>
          <w:i/>
          <w:sz w:val="22"/>
        </w:rPr>
        <w:t>nuovo</w:t>
      </w:r>
      <w:r>
        <w:rPr>
          <w:i/>
          <w:spacing w:val="-15"/>
          <w:sz w:val="22"/>
        </w:rPr>
        <w:t> </w:t>
      </w:r>
      <w:r>
        <w:rPr>
          <w:i/>
          <w:sz w:val="22"/>
        </w:rPr>
        <w:t>Governo</w:t>
      </w:r>
      <w:r>
        <w:rPr>
          <w:i/>
          <w:spacing w:val="-16"/>
          <w:sz w:val="22"/>
        </w:rPr>
        <w:t> </w:t>
      </w:r>
      <w:r>
        <w:rPr>
          <w:i/>
          <w:sz w:val="22"/>
        </w:rPr>
        <w:t>si</w:t>
      </w:r>
      <w:r>
        <w:rPr>
          <w:i/>
          <w:spacing w:val="-15"/>
          <w:sz w:val="22"/>
        </w:rPr>
        <w:t> </w:t>
      </w:r>
      <w:r>
        <w:rPr>
          <w:i/>
          <w:sz w:val="22"/>
        </w:rPr>
        <w:t>pone</w:t>
      </w:r>
      <w:r>
        <w:rPr>
          <w:i/>
          <w:spacing w:val="-15"/>
          <w:sz w:val="22"/>
        </w:rPr>
        <w:t> </w:t>
      </w:r>
      <w:r>
        <w:rPr>
          <w:i/>
          <w:sz w:val="22"/>
        </w:rPr>
        <w:t>l’obiettivo</w:t>
      </w:r>
      <w:r>
        <w:rPr>
          <w:i/>
          <w:spacing w:val="-14"/>
          <w:sz w:val="22"/>
        </w:rPr>
        <w:t> </w:t>
      </w:r>
      <w:r>
        <w:rPr>
          <w:i/>
          <w:sz w:val="22"/>
        </w:rPr>
        <w:t>di</w:t>
      </w:r>
      <w:r>
        <w:rPr>
          <w:i/>
          <w:spacing w:val="-17"/>
          <w:sz w:val="22"/>
        </w:rPr>
        <w:t> </w:t>
      </w:r>
      <w:r>
        <w:rPr>
          <w:i/>
          <w:sz w:val="22"/>
        </w:rPr>
        <w:t>rilanciare</w:t>
      </w:r>
      <w:r>
        <w:rPr>
          <w:i/>
          <w:spacing w:val="-15"/>
          <w:sz w:val="22"/>
        </w:rPr>
        <w:t> </w:t>
      </w:r>
      <w:r>
        <w:rPr>
          <w:i/>
          <w:sz w:val="22"/>
        </w:rPr>
        <w:t>la</w:t>
      </w:r>
      <w:r>
        <w:rPr>
          <w:i/>
          <w:spacing w:val="-14"/>
          <w:sz w:val="22"/>
        </w:rPr>
        <w:t> </w:t>
      </w:r>
      <w:r>
        <w:rPr>
          <w:i/>
          <w:sz w:val="22"/>
        </w:rPr>
        <w:t>crescita </w:t>
      </w:r>
      <w:r>
        <w:rPr>
          <w:i/>
          <w:sz w:val="22"/>
        </w:rPr>
        <w:t>assicurando allo stesso tempo l’equilibrio dei conti pubblici e una partecipazione propositiva al progetto europeo. Le linee di politica economica saranno volte a rafforzare la congiuntura così come ad aumentare il potenziale di crescita dell’economia italiana, che da almeno due decenni soffre di una bassa dinamica della produttività e di una altrettanto insoddisfacente crescita</w:t>
      </w:r>
      <w:r>
        <w:rPr>
          <w:i/>
          <w:spacing w:val="-23"/>
          <w:sz w:val="22"/>
        </w:rPr>
        <w:t> </w:t>
      </w:r>
      <w:r>
        <w:rPr>
          <w:i/>
          <w:sz w:val="22"/>
        </w:rPr>
        <w:t>demografica.</w:t>
      </w:r>
    </w:p>
    <w:p>
      <w:pPr>
        <w:spacing w:line="252" w:lineRule="auto" w:before="121"/>
        <w:ind w:left="1128" w:right="1413" w:firstLine="453"/>
        <w:jc w:val="both"/>
        <w:rPr>
          <w:i/>
          <w:sz w:val="22"/>
        </w:rPr>
      </w:pPr>
      <w:r>
        <w:rPr>
          <w:i/>
          <w:sz w:val="22"/>
        </w:rPr>
        <w:t>Un</w:t>
      </w:r>
      <w:r>
        <w:rPr>
          <w:i/>
          <w:spacing w:val="-13"/>
          <w:sz w:val="22"/>
        </w:rPr>
        <w:t> </w:t>
      </w:r>
      <w:r>
        <w:rPr>
          <w:i/>
          <w:sz w:val="22"/>
        </w:rPr>
        <w:t>Green</w:t>
      </w:r>
      <w:r>
        <w:rPr>
          <w:i/>
          <w:spacing w:val="-12"/>
          <w:sz w:val="22"/>
        </w:rPr>
        <w:t> </w:t>
      </w:r>
      <w:r>
        <w:rPr>
          <w:i/>
          <w:sz w:val="22"/>
        </w:rPr>
        <w:t>New</w:t>
      </w:r>
      <w:r>
        <w:rPr>
          <w:i/>
          <w:spacing w:val="-13"/>
          <w:sz w:val="22"/>
        </w:rPr>
        <w:t> </w:t>
      </w:r>
      <w:r>
        <w:rPr>
          <w:i/>
          <w:sz w:val="22"/>
        </w:rPr>
        <w:t>Deal</w:t>
      </w:r>
      <w:r>
        <w:rPr>
          <w:i/>
          <w:spacing w:val="-12"/>
          <w:sz w:val="22"/>
        </w:rPr>
        <w:t> </w:t>
      </w:r>
      <w:r>
        <w:rPr>
          <w:i/>
          <w:sz w:val="22"/>
        </w:rPr>
        <w:t>italiano</w:t>
      </w:r>
      <w:r>
        <w:rPr>
          <w:i/>
          <w:spacing w:val="-14"/>
          <w:sz w:val="22"/>
        </w:rPr>
        <w:t> </w:t>
      </w:r>
      <w:r>
        <w:rPr>
          <w:i/>
          <w:sz w:val="22"/>
        </w:rPr>
        <w:t>ed</w:t>
      </w:r>
      <w:r>
        <w:rPr>
          <w:i/>
          <w:spacing w:val="-12"/>
          <w:sz w:val="22"/>
        </w:rPr>
        <w:t> </w:t>
      </w:r>
      <w:r>
        <w:rPr>
          <w:i/>
          <w:sz w:val="22"/>
        </w:rPr>
        <w:t>europeo,</w:t>
      </w:r>
      <w:r>
        <w:rPr>
          <w:i/>
          <w:spacing w:val="-12"/>
          <w:sz w:val="22"/>
        </w:rPr>
        <w:t> </w:t>
      </w:r>
      <w:r>
        <w:rPr>
          <w:i/>
          <w:sz w:val="22"/>
        </w:rPr>
        <w:t>orientato</w:t>
      </w:r>
      <w:r>
        <w:rPr>
          <w:i/>
          <w:spacing w:val="-12"/>
          <w:sz w:val="22"/>
        </w:rPr>
        <w:t> </w:t>
      </w:r>
      <w:r>
        <w:rPr>
          <w:i/>
          <w:sz w:val="22"/>
        </w:rPr>
        <w:t>al</w:t>
      </w:r>
      <w:r>
        <w:rPr>
          <w:i/>
          <w:spacing w:val="-13"/>
          <w:sz w:val="22"/>
        </w:rPr>
        <w:t> </w:t>
      </w:r>
      <w:r>
        <w:rPr>
          <w:i/>
          <w:sz w:val="22"/>
        </w:rPr>
        <w:t>contrasto</w:t>
      </w:r>
      <w:r>
        <w:rPr>
          <w:i/>
          <w:spacing w:val="-12"/>
          <w:sz w:val="22"/>
        </w:rPr>
        <w:t> </w:t>
      </w:r>
      <w:r>
        <w:rPr>
          <w:i/>
          <w:sz w:val="22"/>
        </w:rPr>
        <w:t>ai</w:t>
      </w:r>
      <w:r>
        <w:rPr>
          <w:i/>
          <w:spacing w:val="-15"/>
          <w:sz w:val="22"/>
        </w:rPr>
        <w:t> </w:t>
      </w:r>
      <w:r>
        <w:rPr>
          <w:i/>
          <w:sz w:val="22"/>
        </w:rPr>
        <w:t>cambiamenti </w:t>
      </w:r>
      <w:r>
        <w:rPr>
          <w:i/>
          <w:sz w:val="22"/>
        </w:rPr>
        <w:t>climatici, alla riconversione energetica, all’economia circolare, alla protezione dell’ambiente</w:t>
      </w:r>
      <w:r>
        <w:rPr>
          <w:i/>
          <w:spacing w:val="-6"/>
          <w:sz w:val="22"/>
        </w:rPr>
        <w:t> </w:t>
      </w:r>
      <w:r>
        <w:rPr>
          <w:i/>
          <w:sz w:val="22"/>
        </w:rPr>
        <w:t>e</w:t>
      </w:r>
      <w:r>
        <w:rPr>
          <w:i/>
          <w:spacing w:val="-5"/>
          <w:sz w:val="22"/>
        </w:rPr>
        <w:t> </w:t>
      </w:r>
      <w:r>
        <w:rPr>
          <w:i/>
          <w:sz w:val="22"/>
        </w:rPr>
        <w:t>alla</w:t>
      </w:r>
      <w:r>
        <w:rPr>
          <w:i/>
          <w:spacing w:val="-6"/>
          <w:sz w:val="22"/>
        </w:rPr>
        <w:t> </w:t>
      </w:r>
      <w:r>
        <w:rPr>
          <w:i/>
          <w:sz w:val="22"/>
        </w:rPr>
        <w:t>coesione</w:t>
      </w:r>
      <w:r>
        <w:rPr>
          <w:i/>
          <w:spacing w:val="-6"/>
          <w:sz w:val="22"/>
        </w:rPr>
        <w:t> </w:t>
      </w:r>
      <w:r>
        <w:rPr>
          <w:i/>
          <w:sz w:val="22"/>
        </w:rPr>
        <w:t>sociale</w:t>
      </w:r>
      <w:r>
        <w:rPr>
          <w:i/>
          <w:spacing w:val="-5"/>
          <w:sz w:val="22"/>
        </w:rPr>
        <w:t> </w:t>
      </w:r>
      <w:r>
        <w:rPr>
          <w:i/>
          <w:sz w:val="22"/>
        </w:rPr>
        <w:t>e</w:t>
      </w:r>
      <w:r>
        <w:rPr>
          <w:i/>
          <w:spacing w:val="-6"/>
          <w:sz w:val="22"/>
        </w:rPr>
        <w:t> </w:t>
      </w:r>
      <w:r>
        <w:rPr>
          <w:i/>
          <w:sz w:val="22"/>
        </w:rPr>
        <w:t>territoriale,</w:t>
      </w:r>
      <w:r>
        <w:rPr>
          <w:i/>
          <w:spacing w:val="-3"/>
          <w:sz w:val="22"/>
        </w:rPr>
        <w:t> </w:t>
      </w:r>
      <w:r>
        <w:rPr>
          <w:i/>
          <w:sz w:val="22"/>
        </w:rPr>
        <w:t>sarà</w:t>
      </w:r>
      <w:r>
        <w:rPr>
          <w:i/>
          <w:spacing w:val="-5"/>
          <w:sz w:val="22"/>
        </w:rPr>
        <w:t> </w:t>
      </w:r>
      <w:r>
        <w:rPr>
          <w:i/>
          <w:sz w:val="22"/>
        </w:rPr>
        <w:t>il</w:t>
      </w:r>
      <w:r>
        <w:rPr>
          <w:i/>
          <w:spacing w:val="-7"/>
          <w:sz w:val="22"/>
        </w:rPr>
        <w:t> </w:t>
      </w:r>
      <w:r>
        <w:rPr>
          <w:i/>
          <w:sz w:val="22"/>
        </w:rPr>
        <w:t>perno</w:t>
      </w:r>
      <w:r>
        <w:rPr>
          <w:i/>
          <w:spacing w:val="-6"/>
          <w:sz w:val="22"/>
        </w:rPr>
        <w:t> </w:t>
      </w:r>
      <w:r>
        <w:rPr>
          <w:i/>
          <w:sz w:val="22"/>
        </w:rPr>
        <w:t>della</w:t>
      </w:r>
      <w:r>
        <w:rPr>
          <w:i/>
          <w:spacing w:val="-5"/>
          <w:sz w:val="22"/>
        </w:rPr>
        <w:t> </w:t>
      </w:r>
      <w:r>
        <w:rPr>
          <w:i/>
          <w:sz w:val="22"/>
        </w:rPr>
        <w:t>strategia</w:t>
      </w:r>
      <w:r>
        <w:rPr>
          <w:i/>
          <w:spacing w:val="-6"/>
          <w:sz w:val="22"/>
        </w:rPr>
        <w:t> </w:t>
      </w:r>
      <w:r>
        <w:rPr>
          <w:i/>
          <w:sz w:val="22"/>
        </w:rPr>
        <w:t>di sviluppo del Governo. Esso si inserirà nell’approccio di promozione del benessere equo e sostenibile, la cui programmazione è stata introdotta in Italia in anticipo sugli altri paesi europei e che il Governo intende rafforzare in tutte le sue dimensioni.</w:t>
      </w:r>
    </w:p>
    <w:p>
      <w:pPr>
        <w:spacing w:line="252" w:lineRule="auto" w:before="120"/>
        <w:ind w:left="1128" w:right="1412" w:firstLine="453"/>
        <w:jc w:val="both"/>
        <w:rPr>
          <w:i/>
          <w:sz w:val="22"/>
        </w:rPr>
      </w:pPr>
      <w:r>
        <w:rPr>
          <w:i/>
          <w:sz w:val="22"/>
        </w:rPr>
        <w:t>Strumentali a tali obiettivi sono (i) l’aumento degli investimenti pubblici e </w:t>
      </w:r>
      <w:r>
        <w:rPr>
          <w:i/>
          <w:sz w:val="22"/>
        </w:rPr>
        <w:t>privati, con particolare enfasi su quelli volti a favorire l’innovazione, la sostenibilità ambientale e a potenziare le infrastrutture materiali, immateriali e sociali, a partire dagli asili nido; (ii) la riduzione del carico fiscale sul lavoro; (iii) un piano organico di riforme volte ad accrescere la produttività del sistema economico e a migliorare il funzionamento della pubblica amministrazione e della giustizia;</w:t>
      </w:r>
      <w:r>
        <w:rPr>
          <w:i/>
          <w:spacing w:val="-15"/>
          <w:sz w:val="22"/>
        </w:rPr>
        <w:t> </w:t>
      </w:r>
      <w:r>
        <w:rPr>
          <w:i/>
          <w:sz w:val="22"/>
        </w:rPr>
        <w:t>iv)</w:t>
      </w:r>
      <w:r>
        <w:rPr>
          <w:i/>
          <w:spacing w:val="-14"/>
          <w:sz w:val="22"/>
        </w:rPr>
        <w:t> </w:t>
      </w:r>
      <w:r>
        <w:rPr>
          <w:i/>
          <w:sz w:val="22"/>
        </w:rPr>
        <w:t>il</w:t>
      </w:r>
      <w:r>
        <w:rPr>
          <w:i/>
          <w:spacing w:val="-15"/>
          <w:sz w:val="22"/>
        </w:rPr>
        <w:t> </w:t>
      </w:r>
      <w:r>
        <w:rPr>
          <w:i/>
          <w:sz w:val="22"/>
        </w:rPr>
        <w:t>contrasto</w:t>
      </w:r>
      <w:r>
        <w:rPr>
          <w:i/>
          <w:spacing w:val="-15"/>
          <w:sz w:val="22"/>
        </w:rPr>
        <w:t> </w:t>
      </w:r>
      <w:r>
        <w:rPr>
          <w:i/>
          <w:sz w:val="22"/>
        </w:rPr>
        <w:t>all’evasione</w:t>
      </w:r>
      <w:r>
        <w:rPr>
          <w:i/>
          <w:spacing w:val="-14"/>
          <w:sz w:val="22"/>
        </w:rPr>
        <w:t> </w:t>
      </w:r>
      <w:r>
        <w:rPr>
          <w:i/>
          <w:sz w:val="22"/>
        </w:rPr>
        <w:t>fiscale</w:t>
      </w:r>
      <w:r>
        <w:rPr>
          <w:i/>
          <w:spacing w:val="-14"/>
          <w:sz w:val="22"/>
        </w:rPr>
        <w:t> </w:t>
      </w:r>
      <w:r>
        <w:rPr>
          <w:i/>
          <w:sz w:val="22"/>
        </w:rPr>
        <w:t>e</w:t>
      </w:r>
      <w:r>
        <w:rPr>
          <w:i/>
          <w:spacing w:val="-13"/>
          <w:sz w:val="22"/>
        </w:rPr>
        <w:t> </w:t>
      </w:r>
      <w:r>
        <w:rPr>
          <w:i/>
          <w:sz w:val="22"/>
        </w:rPr>
        <w:t>contributiva</w:t>
      </w:r>
      <w:r>
        <w:rPr>
          <w:i/>
          <w:spacing w:val="-14"/>
          <w:sz w:val="22"/>
        </w:rPr>
        <w:t> </w:t>
      </w:r>
      <w:r>
        <w:rPr>
          <w:i/>
          <w:sz w:val="22"/>
        </w:rPr>
        <w:t>e</w:t>
      </w:r>
      <w:r>
        <w:rPr>
          <w:i/>
          <w:spacing w:val="-15"/>
          <w:sz w:val="22"/>
        </w:rPr>
        <w:t> </w:t>
      </w:r>
      <w:r>
        <w:rPr>
          <w:i/>
          <w:sz w:val="22"/>
        </w:rPr>
        <w:t>la</w:t>
      </w:r>
      <w:r>
        <w:rPr>
          <w:i/>
          <w:spacing w:val="-13"/>
          <w:sz w:val="22"/>
        </w:rPr>
        <w:t> </w:t>
      </w:r>
      <w:r>
        <w:rPr>
          <w:i/>
          <w:sz w:val="22"/>
        </w:rPr>
        <w:t>digitalizzazione</w:t>
      </w:r>
      <w:r>
        <w:rPr>
          <w:i/>
          <w:spacing w:val="-15"/>
          <w:sz w:val="22"/>
        </w:rPr>
        <w:t> </w:t>
      </w:r>
      <w:r>
        <w:rPr>
          <w:i/>
          <w:sz w:val="22"/>
        </w:rPr>
        <w:t>dei sistemi di pagamento, così da assicurare maggiore equità tra i contribuenti, ma anche un migliore funzionamento dei mercati dei prodotti e dei servizi e (v) politiche per ridurre la disoccupazione, a partire da quella giovanile e femminile, e le diseguaglianze sociali, territoriali e di genere, anche attraverso un miglioramento della qualità dei servizi</w:t>
      </w:r>
      <w:r>
        <w:rPr>
          <w:i/>
          <w:spacing w:val="-4"/>
          <w:sz w:val="22"/>
        </w:rPr>
        <w:t> </w:t>
      </w:r>
      <w:r>
        <w:rPr>
          <w:i/>
          <w:sz w:val="22"/>
        </w:rPr>
        <w:t>pubblici.</w:t>
      </w:r>
    </w:p>
    <w:p>
      <w:pPr>
        <w:spacing w:line="252" w:lineRule="auto" w:before="120"/>
        <w:ind w:left="1128" w:right="1412" w:firstLine="453"/>
        <w:jc w:val="both"/>
        <w:rPr>
          <w:i/>
          <w:sz w:val="22"/>
        </w:rPr>
      </w:pPr>
      <w:r>
        <w:rPr>
          <w:i/>
          <w:sz w:val="22"/>
        </w:rPr>
        <w:t>In questa prospettiva, nella prossima Legge di bilancio saranno aumentati gli </w:t>
      </w:r>
      <w:r>
        <w:rPr>
          <w:i/>
          <w:sz w:val="22"/>
        </w:rPr>
        <w:t>investimenti pubblici e il Governo si impegnerà per accelerarne l’attuazione. Inoltre, verranno introdotti due nuovi fondi di investimento, assegnati a Stato e Enti territoriali, per un ammontare complessivo di almeno 50 miliardi su un orizzonte</w:t>
      </w:r>
      <w:r>
        <w:rPr>
          <w:i/>
          <w:spacing w:val="-19"/>
          <w:sz w:val="22"/>
        </w:rPr>
        <w:t> </w:t>
      </w:r>
      <w:r>
        <w:rPr>
          <w:i/>
          <w:sz w:val="22"/>
        </w:rPr>
        <w:t>pluriennale,</w:t>
      </w:r>
      <w:r>
        <w:rPr>
          <w:i/>
          <w:spacing w:val="-16"/>
          <w:sz w:val="22"/>
        </w:rPr>
        <w:t> </w:t>
      </w:r>
      <w:r>
        <w:rPr>
          <w:i/>
          <w:sz w:val="22"/>
        </w:rPr>
        <w:t>che</w:t>
      </w:r>
      <w:r>
        <w:rPr>
          <w:i/>
          <w:spacing w:val="-19"/>
          <w:sz w:val="22"/>
        </w:rPr>
        <w:t> </w:t>
      </w:r>
      <w:r>
        <w:rPr>
          <w:i/>
          <w:sz w:val="22"/>
        </w:rPr>
        <w:t>si</w:t>
      </w:r>
      <w:r>
        <w:rPr>
          <w:i/>
          <w:spacing w:val="-18"/>
          <w:sz w:val="22"/>
        </w:rPr>
        <w:t> </w:t>
      </w:r>
      <w:r>
        <w:rPr>
          <w:i/>
          <w:sz w:val="22"/>
        </w:rPr>
        <w:t>affiancheranno</w:t>
      </w:r>
      <w:r>
        <w:rPr>
          <w:i/>
          <w:spacing w:val="-18"/>
          <w:sz w:val="22"/>
        </w:rPr>
        <w:t> </w:t>
      </w:r>
      <w:r>
        <w:rPr>
          <w:i/>
          <w:sz w:val="22"/>
        </w:rPr>
        <w:t>e</w:t>
      </w:r>
      <w:r>
        <w:rPr>
          <w:i/>
          <w:spacing w:val="-18"/>
          <w:sz w:val="22"/>
        </w:rPr>
        <w:t> </w:t>
      </w:r>
      <w:r>
        <w:rPr>
          <w:i/>
          <w:sz w:val="22"/>
        </w:rPr>
        <w:t>daranno</w:t>
      </w:r>
      <w:r>
        <w:rPr>
          <w:i/>
          <w:spacing w:val="-18"/>
          <w:sz w:val="22"/>
        </w:rPr>
        <w:t> </w:t>
      </w:r>
      <w:r>
        <w:rPr>
          <w:i/>
          <w:sz w:val="22"/>
        </w:rPr>
        <w:t>continuità</w:t>
      </w:r>
      <w:r>
        <w:rPr>
          <w:i/>
          <w:spacing w:val="-18"/>
          <w:sz w:val="22"/>
        </w:rPr>
        <w:t> </w:t>
      </w:r>
      <w:r>
        <w:rPr>
          <w:i/>
          <w:sz w:val="22"/>
        </w:rPr>
        <w:t>ai</w:t>
      </w:r>
      <w:r>
        <w:rPr>
          <w:i/>
          <w:spacing w:val="-18"/>
          <w:sz w:val="22"/>
        </w:rPr>
        <w:t> </w:t>
      </w:r>
      <w:r>
        <w:rPr>
          <w:i/>
          <w:sz w:val="22"/>
        </w:rPr>
        <w:t>fondi</w:t>
      </w:r>
      <w:r>
        <w:rPr>
          <w:i/>
          <w:spacing w:val="-18"/>
          <w:sz w:val="22"/>
        </w:rPr>
        <w:t> </w:t>
      </w:r>
      <w:r>
        <w:rPr>
          <w:i/>
          <w:sz w:val="22"/>
        </w:rPr>
        <w:t>costituiti con le ultime tre Leggi di bilancio. Le risorse saranno assegnate per attivare progetti di rigenerazione urbana, di riconversione energetica e di incentivo all’utilizzo di fonti</w:t>
      </w:r>
      <w:r>
        <w:rPr>
          <w:i/>
          <w:spacing w:val="-3"/>
          <w:sz w:val="22"/>
        </w:rPr>
        <w:t> </w:t>
      </w:r>
      <w:r>
        <w:rPr>
          <w:i/>
          <w:sz w:val="22"/>
        </w:rPr>
        <w:t>rinnovabili.</w:t>
      </w:r>
    </w:p>
    <w:p>
      <w:pPr>
        <w:spacing w:line="252" w:lineRule="auto" w:before="120"/>
        <w:ind w:left="1128" w:right="1415" w:firstLine="453"/>
        <w:jc w:val="both"/>
        <w:rPr>
          <w:i/>
          <w:sz w:val="22"/>
        </w:rPr>
      </w:pPr>
      <w:r>
        <w:rPr>
          <w:i/>
          <w:sz w:val="22"/>
        </w:rPr>
        <w:t>Gli investimenti pubblici verranno destinati anche alla riduzione del divario </w:t>
      </w:r>
      <w:r>
        <w:rPr>
          <w:i/>
          <w:sz w:val="22"/>
        </w:rPr>
        <w:t>tra il Sud e il Nord del paese, che è questione centrale della strategia di politica economica del Governo. Senza un recupero del Mezzogiorno e senza la sua integrazione nelle dinamiche più vivaci del tessuto produttivo e sociale del Paese l’economia italiana non potrà raggiungere il suo potenziale di crescita</w:t>
      </w:r>
      <w:r>
        <w:rPr>
          <w:i/>
          <w:spacing w:val="-44"/>
          <w:sz w:val="22"/>
        </w:rPr>
        <w:t> </w:t>
      </w:r>
      <w:r>
        <w:rPr>
          <w:i/>
          <w:sz w:val="22"/>
        </w:rPr>
        <w:t>sostenibile.</w:t>
      </w:r>
    </w:p>
    <w:p>
      <w:pPr>
        <w:spacing w:line="252" w:lineRule="auto" w:before="121"/>
        <w:ind w:left="1128" w:right="1414" w:firstLine="453"/>
        <w:jc w:val="both"/>
        <w:rPr>
          <w:i/>
          <w:sz w:val="22"/>
        </w:rPr>
      </w:pPr>
      <w:r>
        <w:rPr>
          <w:i/>
          <w:sz w:val="22"/>
        </w:rPr>
        <w:t>Come si è detto, la strategia di lungo termine punta ad accrescere la </w:t>
      </w:r>
      <w:r>
        <w:rPr>
          <w:i/>
          <w:sz w:val="22"/>
        </w:rPr>
        <w:t>produttività</w:t>
      </w:r>
      <w:r>
        <w:rPr>
          <w:i/>
          <w:spacing w:val="-20"/>
          <w:sz w:val="22"/>
        </w:rPr>
        <w:t> </w:t>
      </w:r>
      <w:r>
        <w:rPr>
          <w:i/>
          <w:sz w:val="22"/>
        </w:rPr>
        <w:t>dell’intero</w:t>
      </w:r>
      <w:r>
        <w:rPr>
          <w:i/>
          <w:spacing w:val="-18"/>
          <w:sz w:val="22"/>
        </w:rPr>
        <w:t> </w:t>
      </w:r>
      <w:r>
        <w:rPr>
          <w:i/>
          <w:sz w:val="22"/>
        </w:rPr>
        <w:t>sistema</w:t>
      </w:r>
      <w:r>
        <w:rPr>
          <w:i/>
          <w:spacing w:val="-20"/>
          <w:sz w:val="22"/>
        </w:rPr>
        <w:t> </w:t>
      </w:r>
      <w:r>
        <w:rPr>
          <w:i/>
          <w:sz w:val="22"/>
        </w:rPr>
        <w:t>economico,</w:t>
      </w:r>
      <w:r>
        <w:rPr>
          <w:i/>
          <w:spacing w:val="-19"/>
          <w:sz w:val="22"/>
        </w:rPr>
        <w:t> </w:t>
      </w:r>
      <w:r>
        <w:rPr>
          <w:i/>
          <w:sz w:val="22"/>
        </w:rPr>
        <w:t>rendere</w:t>
      </w:r>
      <w:r>
        <w:rPr>
          <w:i/>
          <w:spacing w:val="-20"/>
          <w:sz w:val="22"/>
        </w:rPr>
        <w:t> </w:t>
      </w:r>
      <w:r>
        <w:rPr>
          <w:i/>
          <w:sz w:val="22"/>
        </w:rPr>
        <w:t>più</w:t>
      </w:r>
      <w:r>
        <w:rPr>
          <w:i/>
          <w:spacing w:val="-20"/>
          <w:sz w:val="22"/>
        </w:rPr>
        <w:t> </w:t>
      </w:r>
      <w:r>
        <w:rPr>
          <w:i/>
          <w:sz w:val="22"/>
        </w:rPr>
        <w:t>facile</w:t>
      </w:r>
      <w:r>
        <w:rPr>
          <w:i/>
          <w:spacing w:val="-20"/>
          <w:sz w:val="22"/>
        </w:rPr>
        <w:t> </w:t>
      </w:r>
      <w:r>
        <w:rPr>
          <w:i/>
          <w:sz w:val="22"/>
        </w:rPr>
        <w:t>e</w:t>
      </w:r>
      <w:r>
        <w:rPr>
          <w:i/>
          <w:spacing w:val="-18"/>
          <w:sz w:val="22"/>
        </w:rPr>
        <w:t> </w:t>
      </w:r>
      <w:r>
        <w:rPr>
          <w:i/>
          <w:sz w:val="22"/>
        </w:rPr>
        <w:t>attraente</w:t>
      </w:r>
      <w:r>
        <w:rPr>
          <w:i/>
          <w:spacing w:val="-20"/>
          <w:sz w:val="22"/>
        </w:rPr>
        <w:t> </w:t>
      </w:r>
      <w:r>
        <w:rPr>
          <w:i/>
          <w:sz w:val="22"/>
        </w:rPr>
        <w:t>investire in Italia per le imprese nazionali ed estere, e far sì che i giovani trovino adeguate opportunità di lavoro e che le loro esperienze all’estero, di per sé positive, non diventino una scelta permanente e quindi una perdita per l’economia e la società italiana.</w:t>
      </w:r>
    </w:p>
    <w:p>
      <w:pPr>
        <w:spacing w:after="0" w:line="252" w:lineRule="auto"/>
        <w:jc w:val="both"/>
        <w:rPr>
          <w:sz w:val="22"/>
        </w:rPr>
        <w:sectPr>
          <w:headerReference w:type="even" r:id="rId24"/>
          <w:pgSz w:w="11910" w:h="16840"/>
          <w:pgMar w:header="838" w:footer="866" w:top="1100" w:bottom="1060" w:left="1140" w:right="0"/>
        </w:sectPr>
      </w:pPr>
    </w:p>
    <w:p>
      <w:pPr>
        <w:spacing w:before="80"/>
        <w:ind w:left="278" w:right="0" w:firstLine="0"/>
        <w:jc w:val="left"/>
        <w:rPr>
          <w:rFonts w:ascii="Franklin Gothic Heavy"/>
          <w:b/>
          <w:sz w:val="18"/>
        </w:rPr>
      </w:pPr>
      <w:r>
        <w:rPr/>
        <w:pict>
          <v:line style="position:absolute;mso-position-horizontal-relative:page;mso-position-vertical-relative:paragraph;z-index:-251649024;mso-wrap-distance-left:0;mso-wrap-distance-right:0" from="69.503998pt,17.648544pt" to="483.453998pt,17.648544pt" stroked="true" strokeweight=".48pt" strokecolor="#000000">
            <v:stroke dashstyle="solid"/>
            <w10:wrap type="topAndBottom"/>
          </v:line>
        </w:pict>
      </w:r>
      <w:r>
        <w:rPr>
          <w:rFonts w:ascii="Franklin Gothic Heavy"/>
          <w:b/>
          <w:color w:val="086D44"/>
          <w:sz w:val="18"/>
        </w:rPr>
        <w:t>PREMESSA</w:t>
      </w:r>
    </w:p>
    <w:p>
      <w:pPr>
        <w:pStyle w:val="BodyText"/>
        <w:rPr>
          <w:rFonts w:ascii="Franklin Gothic Heavy"/>
          <w:b/>
          <w:sz w:val="20"/>
        </w:rPr>
      </w:pPr>
    </w:p>
    <w:p>
      <w:pPr>
        <w:pStyle w:val="BodyText"/>
        <w:rPr>
          <w:rFonts w:ascii="Franklin Gothic Heavy"/>
          <w:b/>
          <w:sz w:val="20"/>
        </w:rPr>
      </w:pPr>
    </w:p>
    <w:p>
      <w:pPr>
        <w:pStyle w:val="BodyText"/>
        <w:spacing w:before="3"/>
        <w:rPr>
          <w:rFonts w:ascii="Franklin Gothic Heavy"/>
          <w:b/>
          <w:sz w:val="24"/>
        </w:rPr>
      </w:pPr>
    </w:p>
    <w:p>
      <w:pPr>
        <w:spacing w:line="252" w:lineRule="auto" w:before="101"/>
        <w:ind w:left="278" w:right="2263" w:firstLine="453"/>
        <w:jc w:val="both"/>
        <w:rPr>
          <w:i/>
          <w:sz w:val="22"/>
        </w:rPr>
      </w:pPr>
      <w:r>
        <w:rPr>
          <w:i/>
          <w:sz w:val="22"/>
        </w:rPr>
        <w:t>Un’economia avanzata si basa anche su un sistema finanziario moderno, </w:t>
      </w:r>
      <w:r>
        <w:rPr>
          <w:i/>
          <w:sz w:val="22"/>
        </w:rPr>
        <w:t>efficiente e trasparente. Negli ultimi anni sono state affrontate le crisi bancarie più acute salvaguardando gli interessi dei piccoli risparmiatori. Le banche hanno dismesso una quota rilevante dei crediti in sofferenza e il tasso di</w:t>
      </w:r>
      <w:r>
        <w:rPr>
          <w:i/>
          <w:spacing w:val="-46"/>
          <w:sz w:val="22"/>
        </w:rPr>
        <w:t> </w:t>
      </w:r>
      <w:r>
        <w:rPr>
          <w:i/>
          <w:sz w:val="22"/>
        </w:rPr>
        <w:t>deterioramento del credito è sceso ai livelli pre-crisi. La sfida è ora quella di promuovere un ulteriore rafforzamento del settore bancario e ampliare gli altri canali di accesso al credito e al mercato dei capitali per le piccole e medie imprese, accompagnandole</w:t>
      </w:r>
      <w:r>
        <w:rPr>
          <w:i/>
          <w:spacing w:val="-11"/>
          <w:sz w:val="22"/>
        </w:rPr>
        <w:t> </w:t>
      </w:r>
      <w:r>
        <w:rPr>
          <w:i/>
          <w:sz w:val="22"/>
        </w:rPr>
        <w:t>nel</w:t>
      </w:r>
      <w:r>
        <w:rPr>
          <w:i/>
          <w:spacing w:val="-10"/>
          <w:sz w:val="22"/>
        </w:rPr>
        <w:t> </w:t>
      </w:r>
      <w:r>
        <w:rPr>
          <w:i/>
          <w:sz w:val="22"/>
        </w:rPr>
        <w:t>processo</w:t>
      </w:r>
      <w:r>
        <w:rPr>
          <w:i/>
          <w:spacing w:val="-10"/>
          <w:sz w:val="22"/>
        </w:rPr>
        <w:t> </w:t>
      </w:r>
      <w:r>
        <w:rPr>
          <w:i/>
          <w:sz w:val="22"/>
        </w:rPr>
        <w:t>di</w:t>
      </w:r>
      <w:r>
        <w:rPr>
          <w:i/>
          <w:spacing w:val="-7"/>
          <w:sz w:val="22"/>
        </w:rPr>
        <w:t> </w:t>
      </w:r>
      <w:r>
        <w:rPr>
          <w:i/>
          <w:sz w:val="22"/>
        </w:rPr>
        <w:t>crescita</w:t>
      </w:r>
      <w:r>
        <w:rPr>
          <w:i/>
          <w:spacing w:val="-9"/>
          <w:sz w:val="22"/>
        </w:rPr>
        <w:t> </w:t>
      </w:r>
      <w:r>
        <w:rPr>
          <w:i/>
          <w:sz w:val="22"/>
        </w:rPr>
        <w:t>e</w:t>
      </w:r>
      <w:r>
        <w:rPr>
          <w:i/>
          <w:spacing w:val="-8"/>
          <w:sz w:val="22"/>
        </w:rPr>
        <w:t> </w:t>
      </w:r>
      <w:r>
        <w:rPr>
          <w:i/>
          <w:sz w:val="22"/>
        </w:rPr>
        <w:t>di</w:t>
      </w:r>
      <w:r>
        <w:rPr>
          <w:i/>
          <w:spacing w:val="-9"/>
          <w:sz w:val="22"/>
        </w:rPr>
        <w:t> </w:t>
      </w:r>
      <w:r>
        <w:rPr>
          <w:i/>
          <w:sz w:val="22"/>
        </w:rPr>
        <w:t>internazionalizzazione.</w:t>
      </w:r>
      <w:r>
        <w:rPr>
          <w:i/>
          <w:spacing w:val="-7"/>
          <w:sz w:val="22"/>
        </w:rPr>
        <w:t> </w:t>
      </w:r>
      <w:r>
        <w:rPr>
          <w:i/>
          <w:sz w:val="22"/>
        </w:rPr>
        <w:t>Il</w:t>
      </w:r>
      <w:r>
        <w:rPr>
          <w:i/>
          <w:spacing w:val="-10"/>
          <w:sz w:val="22"/>
        </w:rPr>
        <w:t> </w:t>
      </w:r>
      <w:r>
        <w:rPr>
          <w:i/>
          <w:sz w:val="22"/>
        </w:rPr>
        <w:t>Governo</w:t>
      </w:r>
      <w:r>
        <w:rPr>
          <w:i/>
          <w:spacing w:val="-10"/>
          <w:sz w:val="22"/>
        </w:rPr>
        <w:t> </w:t>
      </w:r>
      <w:r>
        <w:rPr>
          <w:i/>
          <w:sz w:val="22"/>
        </w:rPr>
        <w:t>si impegnerà in tal senso seguendo una strategia coerente con le regole europee e con un deciso sostegno al completamento dell’Unione del mercato dei</w:t>
      </w:r>
      <w:r>
        <w:rPr>
          <w:i/>
          <w:spacing w:val="-22"/>
          <w:sz w:val="22"/>
        </w:rPr>
        <w:t> </w:t>
      </w:r>
      <w:r>
        <w:rPr>
          <w:i/>
          <w:sz w:val="22"/>
        </w:rPr>
        <w:t>capitali</w:t>
      </w:r>
    </w:p>
    <w:p>
      <w:pPr>
        <w:spacing w:line="252" w:lineRule="auto" w:before="121"/>
        <w:ind w:left="278" w:right="2263" w:firstLine="453"/>
        <w:jc w:val="both"/>
        <w:rPr>
          <w:i/>
          <w:sz w:val="22"/>
        </w:rPr>
      </w:pPr>
      <w:r>
        <w:rPr>
          <w:i/>
          <w:sz w:val="22"/>
        </w:rPr>
        <w:t>La politica economica del Governo si svilupperà lungo un orizzonte </w:t>
      </w:r>
      <w:r>
        <w:rPr>
          <w:i/>
          <w:sz w:val="22"/>
        </w:rPr>
        <w:t>pluriennale,</w:t>
      </w:r>
      <w:r>
        <w:rPr>
          <w:i/>
          <w:spacing w:val="-8"/>
          <w:sz w:val="22"/>
        </w:rPr>
        <w:t> </w:t>
      </w:r>
      <w:r>
        <w:rPr>
          <w:i/>
          <w:sz w:val="22"/>
        </w:rPr>
        <w:t>anche</w:t>
      </w:r>
      <w:r>
        <w:rPr>
          <w:i/>
          <w:spacing w:val="-10"/>
          <w:sz w:val="22"/>
        </w:rPr>
        <w:t> </w:t>
      </w:r>
      <w:r>
        <w:rPr>
          <w:i/>
          <w:sz w:val="22"/>
        </w:rPr>
        <w:t>alla</w:t>
      </w:r>
      <w:r>
        <w:rPr>
          <w:i/>
          <w:spacing w:val="-8"/>
          <w:sz w:val="22"/>
        </w:rPr>
        <w:t> </w:t>
      </w:r>
      <w:r>
        <w:rPr>
          <w:i/>
          <w:sz w:val="22"/>
        </w:rPr>
        <w:t>luce</w:t>
      </w:r>
      <w:r>
        <w:rPr>
          <w:i/>
          <w:spacing w:val="-9"/>
          <w:sz w:val="22"/>
        </w:rPr>
        <w:t> </w:t>
      </w:r>
      <w:r>
        <w:rPr>
          <w:i/>
          <w:sz w:val="22"/>
        </w:rPr>
        <w:t>dell’esigenza</w:t>
      </w:r>
      <w:r>
        <w:rPr>
          <w:i/>
          <w:spacing w:val="-8"/>
          <w:sz w:val="22"/>
        </w:rPr>
        <w:t> </w:t>
      </w:r>
      <w:r>
        <w:rPr>
          <w:i/>
          <w:sz w:val="22"/>
        </w:rPr>
        <w:t>di</w:t>
      </w:r>
      <w:r>
        <w:rPr>
          <w:i/>
          <w:spacing w:val="-9"/>
          <w:sz w:val="22"/>
        </w:rPr>
        <w:t> </w:t>
      </w:r>
      <w:r>
        <w:rPr>
          <w:i/>
          <w:sz w:val="22"/>
        </w:rPr>
        <w:t>porre</w:t>
      </w:r>
      <w:r>
        <w:rPr>
          <w:i/>
          <w:spacing w:val="-9"/>
          <w:sz w:val="22"/>
        </w:rPr>
        <w:t> </w:t>
      </w:r>
      <w:r>
        <w:rPr>
          <w:i/>
          <w:sz w:val="22"/>
        </w:rPr>
        <w:t>il</w:t>
      </w:r>
      <w:r>
        <w:rPr>
          <w:i/>
          <w:spacing w:val="-9"/>
          <w:sz w:val="22"/>
        </w:rPr>
        <w:t> </w:t>
      </w:r>
      <w:r>
        <w:rPr>
          <w:i/>
          <w:sz w:val="22"/>
        </w:rPr>
        <w:t>debito</w:t>
      </w:r>
      <w:r>
        <w:rPr>
          <w:i/>
          <w:spacing w:val="-9"/>
          <w:sz w:val="22"/>
        </w:rPr>
        <w:t> </w:t>
      </w:r>
      <w:r>
        <w:rPr>
          <w:i/>
          <w:sz w:val="22"/>
        </w:rPr>
        <w:t>pubblico</w:t>
      </w:r>
      <w:r>
        <w:rPr>
          <w:i/>
          <w:spacing w:val="-8"/>
          <w:sz w:val="22"/>
        </w:rPr>
        <w:t> </w:t>
      </w:r>
      <w:r>
        <w:rPr>
          <w:i/>
          <w:sz w:val="22"/>
        </w:rPr>
        <w:t>in</w:t>
      </w:r>
      <w:r>
        <w:rPr>
          <w:i/>
          <w:spacing w:val="-9"/>
          <w:sz w:val="22"/>
        </w:rPr>
        <w:t> </w:t>
      </w:r>
      <w:r>
        <w:rPr>
          <w:i/>
          <w:sz w:val="22"/>
        </w:rPr>
        <w:t>rapporto</w:t>
      </w:r>
      <w:r>
        <w:rPr>
          <w:i/>
          <w:spacing w:val="-8"/>
          <w:sz w:val="22"/>
        </w:rPr>
        <w:t> </w:t>
      </w:r>
      <w:r>
        <w:rPr>
          <w:i/>
          <w:sz w:val="22"/>
        </w:rPr>
        <w:t>al PIL lungo un sentiero di chiara riduzione. Il calo del rapporto debito/PIL verrà perseguito in primo luogo grazie alla graduale convergenza del deficit verso l’obiettivo di medio termine, alla ripresa economica, alla riduzione del costo di finanziamento del debito e a un realistico programma di</w:t>
      </w:r>
      <w:r>
        <w:rPr>
          <w:i/>
          <w:spacing w:val="-18"/>
          <w:sz w:val="22"/>
        </w:rPr>
        <w:t> </w:t>
      </w:r>
      <w:r>
        <w:rPr>
          <w:i/>
          <w:sz w:val="22"/>
        </w:rPr>
        <w:t>privatizzazioni.</w:t>
      </w:r>
    </w:p>
    <w:p>
      <w:pPr>
        <w:spacing w:line="252" w:lineRule="auto" w:before="120"/>
        <w:ind w:left="278" w:right="2263" w:firstLine="453"/>
        <w:jc w:val="both"/>
        <w:rPr>
          <w:i/>
          <w:sz w:val="22"/>
        </w:rPr>
      </w:pPr>
      <w:r>
        <w:rPr>
          <w:i/>
          <w:sz w:val="22"/>
        </w:rPr>
        <w:t>Il consolidamento di bilancio del prossimo triennio avrà come obiettivo </w:t>
      </w:r>
      <w:r>
        <w:rPr>
          <w:i/>
          <w:sz w:val="22"/>
        </w:rPr>
        <w:t>prioritario</w:t>
      </w:r>
      <w:r>
        <w:rPr>
          <w:i/>
          <w:spacing w:val="-15"/>
          <w:sz w:val="22"/>
        </w:rPr>
        <w:t> </w:t>
      </w:r>
      <w:r>
        <w:rPr>
          <w:i/>
          <w:sz w:val="22"/>
        </w:rPr>
        <w:t>evitare</w:t>
      </w:r>
      <w:r>
        <w:rPr>
          <w:i/>
          <w:spacing w:val="-14"/>
          <w:sz w:val="22"/>
        </w:rPr>
        <w:t> </w:t>
      </w:r>
      <w:r>
        <w:rPr>
          <w:i/>
          <w:sz w:val="22"/>
        </w:rPr>
        <w:t>l’inasprimento</w:t>
      </w:r>
      <w:r>
        <w:rPr>
          <w:i/>
          <w:spacing w:val="-13"/>
          <w:sz w:val="22"/>
        </w:rPr>
        <w:t> </w:t>
      </w:r>
      <w:r>
        <w:rPr>
          <w:i/>
          <w:sz w:val="22"/>
        </w:rPr>
        <w:t>della</w:t>
      </w:r>
      <w:r>
        <w:rPr>
          <w:i/>
          <w:spacing w:val="-14"/>
          <w:sz w:val="22"/>
        </w:rPr>
        <w:t> </w:t>
      </w:r>
      <w:r>
        <w:rPr>
          <w:i/>
          <w:sz w:val="22"/>
        </w:rPr>
        <w:t>pressione</w:t>
      </w:r>
      <w:r>
        <w:rPr>
          <w:i/>
          <w:spacing w:val="-13"/>
          <w:sz w:val="22"/>
        </w:rPr>
        <w:t> </w:t>
      </w:r>
      <w:r>
        <w:rPr>
          <w:i/>
          <w:sz w:val="22"/>
        </w:rPr>
        <w:t>fiscale</w:t>
      </w:r>
      <w:r>
        <w:rPr>
          <w:i/>
          <w:spacing w:val="-14"/>
          <w:sz w:val="22"/>
        </w:rPr>
        <w:t> </w:t>
      </w:r>
      <w:r>
        <w:rPr>
          <w:i/>
          <w:sz w:val="22"/>
        </w:rPr>
        <w:t>prevista</w:t>
      </w:r>
      <w:r>
        <w:rPr>
          <w:i/>
          <w:spacing w:val="-13"/>
          <w:sz w:val="22"/>
        </w:rPr>
        <w:t> </w:t>
      </w:r>
      <w:r>
        <w:rPr>
          <w:i/>
          <w:sz w:val="22"/>
        </w:rPr>
        <w:t>dalla</w:t>
      </w:r>
      <w:r>
        <w:rPr>
          <w:i/>
          <w:spacing w:val="-13"/>
          <w:sz w:val="22"/>
        </w:rPr>
        <w:t> </w:t>
      </w:r>
      <w:r>
        <w:rPr>
          <w:i/>
          <w:sz w:val="22"/>
        </w:rPr>
        <w:t>legislazione vigente. In questo primo esercizio, oltre ad evitare l’aggravio di 23 miliardi di IVA sui consumi e da ultimo sulla crescita e l’occupazione, l’esecutivo intende iniziare ad alleggerire il carico fiscale sul lavoro, rifinanziare gli investimenti pubblici e facilitare l’accesso delle famiglie all’istruzione</w:t>
      </w:r>
      <w:r>
        <w:rPr>
          <w:i/>
          <w:spacing w:val="-8"/>
          <w:sz w:val="22"/>
        </w:rPr>
        <w:t> </w:t>
      </w:r>
      <w:r>
        <w:rPr>
          <w:i/>
          <w:sz w:val="22"/>
        </w:rPr>
        <w:t>prescolare.</w:t>
      </w:r>
    </w:p>
    <w:p>
      <w:pPr>
        <w:spacing w:line="252" w:lineRule="auto" w:before="121"/>
        <w:ind w:left="278" w:right="2264" w:firstLine="453"/>
        <w:jc w:val="both"/>
        <w:rPr>
          <w:i/>
          <w:sz w:val="22"/>
        </w:rPr>
      </w:pPr>
      <w:r>
        <w:rPr>
          <w:i/>
          <w:sz w:val="22"/>
        </w:rPr>
        <w:t>La composizione della prossima legge di bilancio e di quelle successive sarà </w:t>
      </w:r>
      <w:r>
        <w:rPr>
          <w:i/>
          <w:sz w:val="22"/>
        </w:rPr>
        <w:t>improntata al rilancio della crescita e dell’occupazione, all’equità ed inclusione sociale e alla sostenibilità ambientale. Per raggiungere questi obiettivi si agirà sulla revisione della spesa, sulle agevolazioni fiscali e sulla lotta all’evasione. Si tratta di un compito impegnativo dato l’elevato onere a cui sono sottoposte le famiglie e le imprese che non evadono il fisco e data la difficoltà di attuare un’efficace revisione e riqualificazione della spesa in tempi limitati.</w:t>
      </w:r>
    </w:p>
    <w:p>
      <w:pPr>
        <w:spacing w:line="252" w:lineRule="auto" w:before="119"/>
        <w:ind w:left="278" w:right="2261" w:firstLine="453"/>
        <w:jc w:val="both"/>
        <w:rPr>
          <w:i/>
          <w:sz w:val="22"/>
        </w:rPr>
      </w:pPr>
      <w:r>
        <w:rPr>
          <w:i/>
          <w:sz w:val="22"/>
        </w:rPr>
        <w:t>La strategia di politica economica dell’Italia avrà una forte proiezione </w:t>
      </w:r>
      <w:r>
        <w:rPr>
          <w:i/>
          <w:sz w:val="22"/>
        </w:rPr>
        <w:t>europea. Il Governo intende sostenere lo sviluppo e il rilancio del processo di integrazione nella direzione della crescita, della sostenibilità e dell’inclusione. La partecipazione dell’Italia all’Unione economica e monetaria è essenziale per la stabilità e il benessere del paese. La resilienza dell’area euro durante la crisi, grazie in particolare al ruolo cruciale svolto dalla Banca centrale europea nel preservarne l’integrità, è stato un fattore decisivo per la tenuta dell’Italia. Al tempo stesso, l’incompiutezza dell’Unione economica e monetaria e i limiti e l’asimmetria delle regole fiscali hanno concorso a prolungare l’impatto della crisi e a inasprire il percorso di aggiustamento per paesi come l’Italia.</w:t>
      </w:r>
    </w:p>
    <w:p>
      <w:pPr>
        <w:spacing w:line="252" w:lineRule="auto" w:before="122"/>
        <w:ind w:left="278" w:right="2263" w:firstLine="453"/>
        <w:jc w:val="both"/>
        <w:rPr>
          <w:i/>
          <w:sz w:val="22"/>
        </w:rPr>
      </w:pPr>
      <w:r>
        <w:rPr>
          <w:i/>
          <w:sz w:val="22"/>
        </w:rPr>
        <w:t>Nell’attuale fase economica è particolarmente importante che l’Unione </w:t>
      </w:r>
      <w:r>
        <w:rPr>
          <w:i/>
          <w:sz w:val="22"/>
        </w:rPr>
        <w:t>Europea</w:t>
      </w:r>
      <w:r>
        <w:rPr>
          <w:i/>
          <w:spacing w:val="-18"/>
          <w:sz w:val="22"/>
        </w:rPr>
        <w:t> </w:t>
      </w:r>
      <w:r>
        <w:rPr>
          <w:i/>
          <w:sz w:val="22"/>
        </w:rPr>
        <w:t>si</w:t>
      </w:r>
      <w:r>
        <w:rPr>
          <w:i/>
          <w:spacing w:val="-18"/>
          <w:sz w:val="22"/>
        </w:rPr>
        <w:t> </w:t>
      </w:r>
      <w:r>
        <w:rPr>
          <w:i/>
          <w:sz w:val="22"/>
        </w:rPr>
        <w:t>doti</w:t>
      </w:r>
      <w:r>
        <w:rPr>
          <w:i/>
          <w:spacing w:val="-17"/>
          <w:sz w:val="22"/>
        </w:rPr>
        <w:t> </w:t>
      </w:r>
      <w:r>
        <w:rPr>
          <w:i/>
          <w:sz w:val="22"/>
        </w:rPr>
        <w:t>di</w:t>
      </w:r>
      <w:r>
        <w:rPr>
          <w:i/>
          <w:spacing w:val="-18"/>
          <w:sz w:val="22"/>
        </w:rPr>
        <w:t> </w:t>
      </w:r>
      <w:r>
        <w:rPr>
          <w:i/>
          <w:sz w:val="22"/>
        </w:rPr>
        <w:t>strumenti</w:t>
      </w:r>
      <w:r>
        <w:rPr>
          <w:i/>
          <w:spacing w:val="-16"/>
          <w:sz w:val="22"/>
        </w:rPr>
        <w:t> </w:t>
      </w:r>
      <w:r>
        <w:rPr>
          <w:i/>
          <w:sz w:val="22"/>
        </w:rPr>
        <w:t>adeguati</w:t>
      </w:r>
      <w:r>
        <w:rPr>
          <w:i/>
          <w:spacing w:val="-18"/>
          <w:sz w:val="22"/>
        </w:rPr>
        <w:t> </w:t>
      </w:r>
      <w:r>
        <w:rPr>
          <w:i/>
          <w:sz w:val="22"/>
        </w:rPr>
        <w:t>ad</w:t>
      </w:r>
      <w:r>
        <w:rPr>
          <w:i/>
          <w:spacing w:val="-18"/>
          <w:sz w:val="22"/>
        </w:rPr>
        <w:t> </w:t>
      </w:r>
      <w:r>
        <w:rPr>
          <w:i/>
          <w:sz w:val="22"/>
        </w:rPr>
        <w:t>affrontare</w:t>
      </w:r>
      <w:r>
        <w:rPr>
          <w:i/>
          <w:spacing w:val="-17"/>
          <w:sz w:val="22"/>
        </w:rPr>
        <w:t> </w:t>
      </w:r>
      <w:r>
        <w:rPr>
          <w:i/>
          <w:sz w:val="22"/>
        </w:rPr>
        <w:t>non</w:t>
      </w:r>
      <w:r>
        <w:rPr>
          <w:i/>
          <w:spacing w:val="-18"/>
          <w:sz w:val="22"/>
        </w:rPr>
        <w:t> </w:t>
      </w:r>
      <w:r>
        <w:rPr>
          <w:i/>
          <w:sz w:val="22"/>
        </w:rPr>
        <w:t>solo</w:t>
      </w:r>
      <w:r>
        <w:rPr>
          <w:i/>
          <w:spacing w:val="-15"/>
          <w:sz w:val="22"/>
        </w:rPr>
        <w:t> </w:t>
      </w:r>
      <w:r>
        <w:rPr>
          <w:i/>
          <w:sz w:val="22"/>
        </w:rPr>
        <w:t>l’indebolimento</w:t>
      </w:r>
      <w:r>
        <w:rPr>
          <w:i/>
          <w:spacing w:val="-17"/>
          <w:sz w:val="22"/>
        </w:rPr>
        <w:t> </w:t>
      </w:r>
      <w:r>
        <w:rPr>
          <w:i/>
          <w:sz w:val="22"/>
        </w:rPr>
        <w:t>ciclico dell’economia, ma anche le sfide della crescita inclusiva e sostenibile. In particolare,</w:t>
      </w:r>
      <w:r>
        <w:rPr>
          <w:i/>
          <w:spacing w:val="-9"/>
          <w:sz w:val="22"/>
        </w:rPr>
        <w:t> </w:t>
      </w:r>
      <w:r>
        <w:rPr>
          <w:i/>
          <w:sz w:val="22"/>
        </w:rPr>
        <w:t>un’intonazione</w:t>
      </w:r>
      <w:r>
        <w:rPr>
          <w:i/>
          <w:spacing w:val="-11"/>
          <w:sz w:val="22"/>
        </w:rPr>
        <w:t> </w:t>
      </w:r>
      <w:r>
        <w:rPr>
          <w:i/>
          <w:sz w:val="22"/>
        </w:rPr>
        <w:t>espansiva</w:t>
      </w:r>
      <w:r>
        <w:rPr>
          <w:i/>
          <w:spacing w:val="-9"/>
          <w:sz w:val="22"/>
        </w:rPr>
        <w:t> </w:t>
      </w:r>
      <w:r>
        <w:rPr>
          <w:i/>
          <w:sz w:val="22"/>
        </w:rPr>
        <w:t>della</w:t>
      </w:r>
      <w:r>
        <w:rPr>
          <w:i/>
          <w:spacing w:val="-10"/>
          <w:sz w:val="22"/>
        </w:rPr>
        <w:t> </w:t>
      </w:r>
      <w:r>
        <w:rPr>
          <w:i/>
          <w:sz w:val="22"/>
        </w:rPr>
        <w:t>politica</w:t>
      </w:r>
      <w:r>
        <w:rPr>
          <w:i/>
          <w:spacing w:val="-10"/>
          <w:sz w:val="22"/>
        </w:rPr>
        <w:t> </w:t>
      </w:r>
      <w:r>
        <w:rPr>
          <w:i/>
          <w:sz w:val="22"/>
        </w:rPr>
        <w:t>di</w:t>
      </w:r>
      <w:r>
        <w:rPr>
          <w:i/>
          <w:spacing w:val="-9"/>
          <w:sz w:val="22"/>
        </w:rPr>
        <w:t> </w:t>
      </w:r>
      <w:r>
        <w:rPr>
          <w:i/>
          <w:sz w:val="22"/>
        </w:rPr>
        <w:t>bilancio</w:t>
      </w:r>
      <w:r>
        <w:rPr>
          <w:i/>
          <w:spacing w:val="-11"/>
          <w:sz w:val="22"/>
        </w:rPr>
        <w:t> </w:t>
      </w:r>
      <w:r>
        <w:rPr>
          <w:i/>
          <w:sz w:val="22"/>
        </w:rPr>
        <w:t>aggregata</w:t>
      </w:r>
      <w:r>
        <w:rPr>
          <w:i/>
          <w:spacing w:val="-7"/>
          <w:sz w:val="22"/>
        </w:rPr>
        <w:t> </w:t>
      </w:r>
      <w:r>
        <w:rPr>
          <w:i/>
          <w:sz w:val="22"/>
        </w:rPr>
        <w:t>dell’area euro, che appare un necessario complemento alla politica monetaria accomodante perseguita dalla Banca Centrale Europea, dovrebbe accompagnarsi alle</w:t>
      </w:r>
      <w:r>
        <w:rPr>
          <w:i/>
          <w:spacing w:val="19"/>
          <w:sz w:val="22"/>
        </w:rPr>
        <w:t> </w:t>
      </w:r>
      <w:r>
        <w:rPr>
          <w:i/>
          <w:sz w:val="22"/>
        </w:rPr>
        <w:t>necessarie</w:t>
      </w:r>
    </w:p>
    <w:p>
      <w:pPr>
        <w:spacing w:after="0" w:line="252" w:lineRule="auto"/>
        <w:jc w:val="both"/>
        <w:rPr>
          <w:sz w:val="22"/>
        </w:rPr>
        <w:sectPr>
          <w:headerReference w:type="default" r:id="rId25"/>
          <w:footerReference w:type="default" r:id="rId26"/>
          <w:footerReference w:type="even" r:id="rId27"/>
          <w:pgSz w:w="11910" w:h="16840"/>
          <w:pgMar w:header="0" w:footer="866" w:top="740" w:bottom="1060" w:left="1140" w:right="0"/>
          <w:pgNumType w:start="5"/>
        </w:sectPr>
      </w:pPr>
    </w:p>
    <w:p>
      <w:pPr>
        <w:pStyle w:val="BodyText"/>
        <w:rPr>
          <w:i/>
          <w:sz w:val="20"/>
        </w:rPr>
      </w:pPr>
    </w:p>
    <w:p>
      <w:pPr>
        <w:pStyle w:val="BodyText"/>
        <w:rPr>
          <w:i/>
          <w:sz w:val="20"/>
        </w:rPr>
      </w:pPr>
    </w:p>
    <w:p>
      <w:pPr>
        <w:pStyle w:val="BodyText"/>
        <w:spacing w:before="3"/>
        <w:rPr>
          <w:i/>
          <w:sz w:val="25"/>
        </w:rPr>
      </w:pPr>
    </w:p>
    <w:p>
      <w:pPr>
        <w:spacing w:line="252" w:lineRule="auto" w:before="101"/>
        <w:ind w:left="1128" w:right="1413" w:firstLine="0"/>
        <w:jc w:val="both"/>
        <w:rPr>
          <w:i/>
          <w:sz w:val="22"/>
        </w:rPr>
      </w:pPr>
      <w:r>
        <w:rPr>
          <w:i/>
          <w:sz w:val="22"/>
        </w:rPr>
        <w:t>riforme volte all’approfondimento dell’Unione economica e monetaria: </w:t>
      </w:r>
      <w:r>
        <w:rPr>
          <w:i/>
          <w:sz w:val="22"/>
        </w:rPr>
        <w:t>l’introduzione di una capacità di bilancio dell’area euro a sostegno degli investimenti e della stabilizzazione macroeconomica; il miglioramento e la semplificazione del Patto di stabilità e crescita per favorire gli investimenti e assicurarne la funzione anticiclica; il completamento dell’Unione bancaria a partire dall’introduzione di una garanzia europea dei depositi; il contrasto all’elusione e all’evasione fiscale e alla concorrenza sleale fra sistemi impositivi nazionali all’interno del mercato unico. Lungo queste linee l’Italia intende esprimere un nuovo protagonismo e una capacità di proposta e di iniziativa.</w:t>
      </w:r>
    </w:p>
    <w:p>
      <w:pPr>
        <w:pStyle w:val="BodyText"/>
        <w:rPr>
          <w:i/>
          <w:sz w:val="26"/>
        </w:rPr>
      </w:pPr>
    </w:p>
    <w:p>
      <w:pPr>
        <w:spacing w:line="252" w:lineRule="auto" w:before="208"/>
        <w:ind w:left="1128" w:right="1410" w:firstLine="453"/>
        <w:jc w:val="both"/>
        <w:rPr>
          <w:i/>
          <w:sz w:val="22"/>
        </w:rPr>
      </w:pPr>
      <w:r>
        <w:rPr>
          <w:i/>
          <w:sz w:val="22"/>
        </w:rPr>
        <w:t>Abbiamo dunque di fronte a noi delle sfide impegnative e un programma </w:t>
      </w:r>
      <w:r>
        <w:rPr>
          <w:i/>
          <w:sz w:val="22"/>
        </w:rPr>
        <w:t>ambizioso, che vogliamo realizzare attraverso un coinvolgimento attivo dei cittadini e delle forze sociali, produttive e intellettuali del paese. Ci sostiene la convinzione che l’Italia disponga di un grande capitale umano e di un tessuto industriale</w:t>
      </w:r>
      <w:r>
        <w:rPr>
          <w:i/>
          <w:spacing w:val="-7"/>
          <w:sz w:val="22"/>
        </w:rPr>
        <w:t> </w:t>
      </w:r>
      <w:r>
        <w:rPr>
          <w:i/>
          <w:sz w:val="22"/>
        </w:rPr>
        <w:t>che</w:t>
      </w:r>
      <w:r>
        <w:rPr>
          <w:i/>
          <w:spacing w:val="-8"/>
          <w:sz w:val="22"/>
        </w:rPr>
        <w:t> </w:t>
      </w:r>
      <w:r>
        <w:rPr>
          <w:i/>
          <w:sz w:val="22"/>
        </w:rPr>
        <w:t>negli</w:t>
      </w:r>
      <w:r>
        <w:rPr>
          <w:i/>
          <w:spacing w:val="-7"/>
          <w:sz w:val="22"/>
        </w:rPr>
        <w:t> </w:t>
      </w:r>
      <w:r>
        <w:rPr>
          <w:i/>
          <w:sz w:val="22"/>
        </w:rPr>
        <w:t>ultimi</w:t>
      </w:r>
      <w:r>
        <w:rPr>
          <w:i/>
          <w:spacing w:val="-7"/>
          <w:sz w:val="22"/>
        </w:rPr>
        <w:t> </w:t>
      </w:r>
      <w:r>
        <w:rPr>
          <w:i/>
          <w:sz w:val="22"/>
        </w:rPr>
        <w:t>anni</w:t>
      </w:r>
      <w:r>
        <w:rPr>
          <w:i/>
          <w:spacing w:val="-8"/>
          <w:sz w:val="22"/>
        </w:rPr>
        <w:t> </w:t>
      </w:r>
      <w:r>
        <w:rPr>
          <w:i/>
          <w:sz w:val="22"/>
        </w:rPr>
        <w:t>ha</w:t>
      </w:r>
      <w:r>
        <w:rPr>
          <w:i/>
          <w:spacing w:val="-7"/>
          <w:sz w:val="22"/>
        </w:rPr>
        <w:t> </w:t>
      </w:r>
      <w:r>
        <w:rPr>
          <w:i/>
          <w:sz w:val="22"/>
        </w:rPr>
        <w:t>ripreso</w:t>
      </w:r>
      <w:r>
        <w:rPr>
          <w:i/>
          <w:spacing w:val="-8"/>
          <w:sz w:val="22"/>
        </w:rPr>
        <w:t> </w:t>
      </w:r>
      <w:r>
        <w:rPr>
          <w:i/>
          <w:sz w:val="22"/>
        </w:rPr>
        <w:t>a</w:t>
      </w:r>
      <w:r>
        <w:rPr>
          <w:i/>
          <w:spacing w:val="-9"/>
          <w:sz w:val="22"/>
        </w:rPr>
        <w:t> </w:t>
      </w:r>
      <w:r>
        <w:rPr>
          <w:i/>
          <w:sz w:val="22"/>
        </w:rPr>
        <w:t>crescere</w:t>
      </w:r>
      <w:r>
        <w:rPr>
          <w:i/>
          <w:spacing w:val="-7"/>
          <w:sz w:val="22"/>
        </w:rPr>
        <w:t> </w:t>
      </w:r>
      <w:r>
        <w:rPr>
          <w:i/>
          <w:sz w:val="22"/>
        </w:rPr>
        <w:t>e</w:t>
      </w:r>
      <w:r>
        <w:rPr>
          <w:i/>
          <w:spacing w:val="-7"/>
          <w:sz w:val="22"/>
        </w:rPr>
        <w:t> </w:t>
      </w:r>
      <w:r>
        <w:rPr>
          <w:i/>
          <w:sz w:val="22"/>
        </w:rPr>
        <w:t>ad</w:t>
      </w:r>
      <w:r>
        <w:rPr>
          <w:i/>
          <w:spacing w:val="-7"/>
          <w:sz w:val="22"/>
        </w:rPr>
        <w:t> </w:t>
      </w:r>
      <w:r>
        <w:rPr>
          <w:i/>
          <w:sz w:val="22"/>
        </w:rPr>
        <w:t>investire,</w:t>
      </w:r>
      <w:r>
        <w:rPr>
          <w:i/>
          <w:spacing w:val="-8"/>
          <w:sz w:val="22"/>
        </w:rPr>
        <w:t> </w:t>
      </w:r>
      <w:r>
        <w:rPr>
          <w:i/>
          <w:sz w:val="22"/>
        </w:rPr>
        <w:t>nonché</w:t>
      </w:r>
      <w:r>
        <w:rPr>
          <w:i/>
          <w:spacing w:val="-8"/>
          <w:sz w:val="22"/>
        </w:rPr>
        <w:t> </w:t>
      </w:r>
      <w:r>
        <w:rPr>
          <w:i/>
          <w:sz w:val="22"/>
        </w:rPr>
        <w:t>di</w:t>
      </w:r>
      <w:r>
        <w:rPr>
          <w:i/>
          <w:spacing w:val="-7"/>
          <w:sz w:val="22"/>
        </w:rPr>
        <w:t> </w:t>
      </w:r>
      <w:r>
        <w:rPr>
          <w:i/>
          <w:sz w:val="22"/>
        </w:rPr>
        <w:t>una situazione finanziaria che, pur caratterizzata da un elevato debito pubblico, è notevolmente</w:t>
      </w:r>
      <w:r>
        <w:rPr>
          <w:i/>
          <w:spacing w:val="-9"/>
          <w:sz w:val="22"/>
        </w:rPr>
        <w:t> </w:t>
      </w:r>
      <w:r>
        <w:rPr>
          <w:i/>
          <w:sz w:val="22"/>
        </w:rPr>
        <w:t>migliorata</w:t>
      </w:r>
      <w:r>
        <w:rPr>
          <w:i/>
          <w:spacing w:val="-7"/>
          <w:sz w:val="22"/>
        </w:rPr>
        <w:t> </w:t>
      </w:r>
      <w:r>
        <w:rPr>
          <w:i/>
          <w:sz w:val="22"/>
        </w:rPr>
        <w:t>negli</w:t>
      </w:r>
      <w:r>
        <w:rPr>
          <w:i/>
          <w:spacing w:val="-9"/>
          <w:sz w:val="22"/>
        </w:rPr>
        <w:t> </w:t>
      </w:r>
      <w:r>
        <w:rPr>
          <w:i/>
          <w:sz w:val="22"/>
        </w:rPr>
        <w:t>ultimi</w:t>
      </w:r>
      <w:r>
        <w:rPr>
          <w:i/>
          <w:spacing w:val="-8"/>
          <w:sz w:val="22"/>
        </w:rPr>
        <w:t> </w:t>
      </w:r>
      <w:r>
        <w:rPr>
          <w:i/>
          <w:sz w:val="22"/>
        </w:rPr>
        <w:t>anni,</w:t>
      </w:r>
      <w:r>
        <w:rPr>
          <w:i/>
          <w:spacing w:val="-8"/>
          <w:sz w:val="22"/>
        </w:rPr>
        <w:t> </w:t>
      </w:r>
      <w:r>
        <w:rPr>
          <w:i/>
          <w:sz w:val="22"/>
        </w:rPr>
        <w:t>particolarmente</w:t>
      </w:r>
      <w:r>
        <w:rPr>
          <w:i/>
          <w:spacing w:val="-8"/>
          <w:sz w:val="22"/>
        </w:rPr>
        <w:t> </w:t>
      </w:r>
      <w:r>
        <w:rPr>
          <w:i/>
          <w:sz w:val="22"/>
        </w:rPr>
        <w:t>in</w:t>
      </w:r>
      <w:r>
        <w:rPr>
          <w:i/>
          <w:spacing w:val="-9"/>
          <w:sz w:val="22"/>
        </w:rPr>
        <w:t> </w:t>
      </w:r>
      <w:r>
        <w:rPr>
          <w:i/>
          <w:sz w:val="22"/>
        </w:rPr>
        <w:t>termini</w:t>
      </w:r>
      <w:r>
        <w:rPr>
          <w:i/>
          <w:spacing w:val="-8"/>
          <w:sz w:val="22"/>
        </w:rPr>
        <w:t> </w:t>
      </w:r>
      <w:r>
        <w:rPr>
          <w:i/>
          <w:sz w:val="22"/>
        </w:rPr>
        <w:t>di</w:t>
      </w:r>
      <w:r>
        <w:rPr>
          <w:i/>
          <w:spacing w:val="-7"/>
          <w:sz w:val="22"/>
        </w:rPr>
        <w:t> </w:t>
      </w:r>
      <w:r>
        <w:rPr>
          <w:i/>
          <w:sz w:val="22"/>
        </w:rPr>
        <w:t>posizione netta</w:t>
      </w:r>
      <w:r>
        <w:rPr>
          <w:i/>
          <w:spacing w:val="-2"/>
          <w:sz w:val="22"/>
        </w:rPr>
        <w:t> </w:t>
      </w:r>
      <w:r>
        <w:rPr>
          <w:i/>
          <w:sz w:val="22"/>
        </w:rPr>
        <w:t>sull’estero.</w:t>
      </w:r>
    </w:p>
    <w:p>
      <w:pPr>
        <w:pStyle w:val="BodyText"/>
        <w:rPr>
          <w:i/>
          <w:sz w:val="26"/>
        </w:rPr>
      </w:pPr>
    </w:p>
    <w:p>
      <w:pPr>
        <w:pStyle w:val="BodyText"/>
        <w:rPr>
          <w:i/>
          <w:sz w:val="26"/>
        </w:rPr>
      </w:pPr>
    </w:p>
    <w:p>
      <w:pPr>
        <w:pStyle w:val="BodyText"/>
        <w:spacing w:before="1"/>
        <w:rPr>
          <w:i/>
          <w:sz w:val="25"/>
        </w:rPr>
      </w:pPr>
    </w:p>
    <w:p>
      <w:pPr>
        <w:spacing w:before="0"/>
        <w:ind w:left="2139" w:right="402" w:firstLine="0"/>
        <w:jc w:val="center"/>
        <w:rPr>
          <w:i/>
          <w:sz w:val="22"/>
        </w:rPr>
      </w:pPr>
      <w:r>
        <w:rPr>
          <w:i/>
          <w:sz w:val="22"/>
        </w:rPr>
        <w:t>Roberto Gualtieri</w:t>
      </w:r>
    </w:p>
    <w:p>
      <w:pPr>
        <w:spacing w:before="134"/>
        <w:ind w:left="4669" w:right="0" w:firstLine="0"/>
        <w:jc w:val="left"/>
        <w:rPr>
          <w:i/>
          <w:sz w:val="22"/>
        </w:rPr>
      </w:pPr>
      <w:r>
        <w:rPr>
          <w:i/>
          <w:sz w:val="22"/>
        </w:rPr>
        <w:t>Ministro dell’Economia e Finanze</w:t>
      </w:r>
    </w:p>
    <w:p>
      <w:pPr>
        <w:spacing w:after="0"/>
        <w:jc w:val="left"/>
        <w:rPr>
          <w:sz w:val="22"/>
        </w:rPr>
        <w:sectPr>
          <w:headerReference w:type="even" r:id="rId28"/>
          <w:pgSz w:w="11910" w:h="16840"/>
          <w:pgMar w:header="838" w:footer="866" w:top="1100" w:bottom="1060" w:left="1140" w:right="0"/>
        </w:sectPr>
      </w:pPr>
    </w:p>
    <w:p>
      <w:pPr>
        <w:pStyle w:val="BodyText"/>
        <w:spacing w:line="20" w:lineRule="exact"/>
        <w:ind w:left="245"/>
        <w:rPr>
          <w:sz w:val="2"/>
        </w:rPr>
      </w:pPr>
      <w:r>
        <w:rPr>
          <w:sz w:val="2"/>
        </w:rPr>
        <w:pict>
          <v:group style="width:413.95pt;height:.5pt;mso-position-horizontal-relative:char;mso-position-vertical-relative:line" coordorigin="0,0" coordsize="8279,10">
            <v:line style="position:absolute" from="0,5" to="8279,5" stroked="true" strokeweight=".48pt" strokecolor="#000000">
              <v:stroke dashstyle="solid"/>
            </v:line>
          </v:group>
        </w:pict>
      </w:r>
      <w:r>
        <w:rPr>
          <w:sz w:val="2"/>
        </w:rPr>
      </w:r>
    </w:p>
    <w:p>
      <w:pPr>
        <w:pStyle w:val="BodyText"/>
        <w:rPr>
          <w:i/>
          <w:sz w:val="20"/>
        </w:rPr>
      </w:pPr>
    </w:p>
    <w:p>
      <w:pPr>
        <w:pStyle w:val="BodyText"/>
        <w:rPr>
          <w:i/>
          <w:sz w:val="20"/>
        </w:rPr>
      </w:pPr>
    </w:p>
    <w:p>
      <w:pPr>
        <w:pStyle w:val="BodyText"/>
        <w:spacing w:before="6"/>
        <w:rPr>
          <w:i/>
          <w:sz w:val="23"/>
        </w:rPr>
      </w:pPr>
    </w:p>
    <w:p>
      <w:pPr>
        <w:pStyle w:val="Heading1"/>
        <w:spacing w:before="100"/>
      </w:pPr>
      <w:bookmarkStart w:name="Indice" w:id="4"/>
      <w:bookmarkEnd w:id="4"/>
      <w:r>
        <w:rPr>
          <w:b w:val="0"/>
        </w:rPr>
      </w:r>
      <w:r>
        <w:rPr>
          <w:color w:val="086D44"/>
        </w:rPr>
        <w:t>INDICE</w:t>
      </w:r>
    </w:p>
    <w:p>
      <w:pPr>
        <w:pStyle w:val="BodyText"/>
        <w:rPr>
          <w:rFonts w:ascii="Franklin Gothic Heavy"/>
          <w:b/>
          <w:sz w:val="36"/>
        </w:rPr>
      </w:pPr>
    </w:p>
    <w:p>
      <w:pPr>
        <w:pStyle w:val="Heading4"/>
        <w:numPr>
          <w:ilvl w:val="0"/>
          <w:numId w:val="1"/>
        </w:numPr>
        <w:tabs>
          <w:tab w:pos="986" w:val="left" w:leader="none"/>
          <w:tab w:pos="987" w:val="left" w:leader="none"/>
        </w:tabs>
        <w:spacing w:line="240" w:lineRule="auto" w:before="238" w:after="0"/>
        <w:ind w:left="986" w:right="0" w:hanging="709"/>
        <w:jc w:val="left"/>
      </w:pPr>
      <w:r>
        <w:rPr>
          <w:color w:val="086D44"/>
        </w:rPr>
        <w:t>QUADRO COMPLESSIVO E OBIETTIVI DI POLITICA DI</w:t>
      </w:r>
      <w:r>
        <w:rPr>
          <w:color w:val="086D44"/>
          <w:spacing w:val="-9"/>
        </w:rPr>
        <w:t> </w:t>
      </w:r>
      <w:r>
        <w:rPr>
          <w:color w:val="086D44"/>
        </w:rPr>
        <w:t>BILANCIO</w:t>
      </w:r>
    </w:p>
    <w:p>
      <w:pPr>
        <w:pStyle w:val="ListParagraph"/>
        <w:numPr>
          <w:ilvl w:val="1"/>
          <w:numId w:val="1"/>
        </w:numPr>
        <w:tabs>
          <w:tab w:pos="986" w:val="left" w:leader="none"/>
          <w:tab w:pos="987" w:val="left" w:leader="none"/>
        </w:tabs>
        <w:spacing w:line="240" w:lineRule="auto" w:before="123" w:after="0"/>
        <w:ind w:left="986" w:right="0" w:hanging="709"/>
        <w:jc w:val="left"/>
        <w:rPr>
          <w:rFonts w:ascii="Franklin Gothic Book" w:hAnsi="Franklin Gothic Book"/>
          <w:sz w:val="22"/>
        </w:rPr>
      </w:pPr>
      <w:r>
        <w:rPr>
          <w:rFonts w:ascii="Franklin Gothic Book" w:hAnsi="Franklin Gothic Book"/>
          <w:sz w:val="22"/>
        </w:rPr>
        <w:t>Tendenze recenti e prospettive per l’economia</w:t>
      </w:r>
      <w:r>
        <w:rPr>
          <w:rFonts w:ascii="Franklin Gothic Book" w:hAnsi="Franklin Gothic Book"/>
          <w:spacing w:val="-2"/>
          <w:sz w:val="22"/>
        </w:rPr>
        <w:t> </w:t>
      </w:r>
      <w:r>
        <w:rPr>
          <w:rFonts w:ascii="Franklin Gothic Book" w:hAnsi="Franklin Gothic Book"/>
          <w:sz w:val="22"/>
        </w:rPr>
        <w:t>italiana</w:t>
      </w:r>
    </w:p>
    <w:p>
      <w:pPr>
        <w:pStyle w:val="ListParagraph"/>
        <w:numPr>
          <w:ilvl w:val="1"/>
          <w:numId w:val="1"/>
        </w:numPr>
        <w:tabs>
          <w:tab w:pos="986" w:val="left" w:leader="none"/>
          <w:tab w:pos="987" w:val="left" w:leader="none"/>
        </w:tabs>
        <w:spacing w:line="240" w:lineRule="auto" w:before="60" w:after="0"/>
        <w:ind w:left="986" w:right="0" w:hanging="709"/>
        <w:jc w:val="left"/>
        <w:rPr>
          <w:rFonts w:ascii="Franklin Gothic Book"/>
          <w:sz w:val="22"/>
        </w:rPr>
      </w:pPr>
      <w:r>
        <w:rPr>
          <w:rFonts w:ascii="Franklin Gothic Book"/>
          <w:sz w:val="22"/>
        </w:rPr>
        <w:t>Scenario macroeconomico e finanza pubblica</w:t>
      </w:r>
      <w:r>
        <w:rPr>
          <w:rFonts w:ascii="Franklin Gothic Book"/>
          <w:spacing w:val="-3"/>
          <w:sz w:val="22"/>
        </w:rPr>
        <w:t> </w:t>
      </w:r>
      <w:r>
        <w:rPr>
          <w:rFonts w:ascii="Franklin Gothic Book"/>
          <w:sz w:val="22"/>
        </w:rPr>
        <w:t>tendenziali</w:t>
      </w:r>
    </w:p>
    <w:p>
      <w:pPr>
        <w:pStyle w:val="ListParagraph"/>
        <w:numPr>
          <w:ilvl w:val="1"/>
          <w:numId w:val="1"/>
        </w:numPr>
        <w:tabs>
          <w:tab w:pos="986" w:val="left" w:leader="none"/>
          <w:tab w:pos="987" w:val="left" w:leader="none"/>
        </w:tabs>
        <w:spacing w:line="240" w:lineRule="auto" w:before="60" w:after="0"/>
        <w:ind w:left="986" w:right="2804" w:hanging="708"/>
        <w:jc w:val="left"/>
        <w:rPr>
          <w:rFonts w:ascii="Franklin Gothic Book"/>
          <w:sz w:val="22"/>
        </w:rPr>
      </w:pPr>
      <w:r>
        <w:rPr>
          <w:rFonts w:ascii="Franklin Gothic Book"/>
          <w:sz w:val="22"/>
        </w:rPr>
        <w:t>Scenario programmatico di finanza pubblica e previsioni macroeconomiche ufficiali</w:t>
      </w:r>
    </w:p>
    <w:p>
      <w:pPr>
        <w:pStyle w:val="BodyText"/>
        <w:spacing w:before="10"/>
        <w:rPr>
          <w:rFonts w:ascii="Franklin Gothic Book"/>
          <w:sz w:val="20"/>
        </w:rPr>
      </w:pPr>
    </w:p>
    <w:p>
      <w:pPr>
        <w:pStyle w:val="Heading4"/>
        <w:numPr>
          <w:ilvl w:val="0"/>
          <w:numId w:val="1"/>
        </w:numPr>
        <w:tabs>
          <w:tab w:pos="986" w:val="left" w:leader="none"/>
          <w:tab w:pos="987" w:val="left" w:leader="none"/>
        </w:tabs>
        <w:spacing w:line="240" w:lineRule="auto" w:before="0" w:after="0"/>
        <w:ind w:left="986" w:right="0" w:hanging="709"/>
        <w:jc w:val="left"/>
      </w:pPr>
      <w:r>
        <w:rPr>
          <w:color w:val="086D44"/>
        </w:rPr>
        <w:t>QUADRO</w:t>
      </w:r>
      <w:r>
        <w:rPr>
          <w:color w:val="086D44"/>
          <w:spacing w:val="-2"/>
        </w:rPr>
        <w:t> </w:t>
      </w:r>
      <w:r>
        <w:rPr>
          <w:color w:val="086D44"/>
        </w:rPr>
        <w:t>MACROECONOMICO</w:t>
      </w:r>
    </w:p>
    <w:p>
      <w:pPr>
        <w:pStyle w:val="ListParagraph"/>
        <w:numPr>
          <w:ilvl w:val="1"/>
          <w:numId w:val="1"/>
        </w:numPr>
        <w:tabs>
          <w:tab w:pos="986" w:val="left" w:leader="none"/>
          <w:tab w:pos="987" w:val="left" w:leader="none"/>
        </w:tabs>
        <w:spacing w:line="240" w:lineRule="auto" w:before="123" w:after="0"/>
        <w:ind w:left="986" w:right="0" w:hanging="709"/>
        <w:jc w:val="left"/>
        <w:rPr>
          <w:rFonts w:ascii="Franklin Gothic Book"/>
          <w:sz w:val="22"/>
        </w:rPr>
      </w:pPr>
      <w:r>
        <w:rPr>
          <w:rFonts w:ascii="Franklin Gothic Book"/>
          <w:sz w:val="22"/>
        </w:rPr>
        <w:t>Lo scenario macroeconomico</w:t>
      </w:r>
      <w:r>
        <w:rPr>
          <w:rFonts w:ascii="Franklin Gothic Book"/>
          <w:spacing w:val="-2"/>
          <w:sz w:val="22"/>
        </w:rPr>
        <w:t> </w:t>
      </w:r>
      <w:r>
        <w:rPr>
          <w:rFonts w:ascii="Franklin Gothic Book"/>
          <w:sz w:val="22"/>
        </w:rPr>
        <w:t>internazionale</w:t>
      </w:r>
    </w:p>
    <w:p>
      <w:pPr>
        <w:pStyle w:val="ListParagraph"/>
        <w:numPr>
          <w:ilvl w:val="1"/>
          <w:numId w:val="1"/>
        </w:numPr>
        <w:tabs>
          <w:tab w:pos="986" w:val="left" w:leader="none"/>
          <w:tab w:pos="987" w:val="left" w:leader="none"/>
        </w:tabs>
        <w:spacing w:line="240" w:lineRule="auto" w:before="60" w:after="0"/>
        <w:ind w:left="986" w:right="0" w:hanging="709"/>
        <w:jc w:val="left"/>
        <w:rPr>
          <w:rFonts w:ascii="Franklin Gothic Book" w:hAnsi="Franklin Gothic Book"/>
          <w:sz w:val="22"/>
        </w:rPr>
      </w:pPr>
      <w:r>
        <w:rPr>
          <w:rFonts w:ascii="Franklin Gothic Book" w:hAnsi="Franklin Gothic Book"/>
          <w:sz w:val="22"/>
        </w:rPr>
        <w:t>L’economia</w:t>
      </w:r>
      <w:r>
        <w:rPr>
          <w:rFonts w:ascii="Franklin Gothic Book" w:hAnsi="Franklin Gothic Book"/>
          <w:spacing w:val="-1"/>
          <w:sz w:val="22"/>
        </w:rPr>
        <w:t> </w:t>
      </w:r>
      <w:r>
        <w:rPr>
          <w:rFonts w:ascii="Franklin Gothic Book" w:hAnsi="Franklin Gothic Book"/>
          <w:sz w:val="22"/>
        </w:rPr>
        <w:t>italiana</w:t>
      </w:r>
    </w:p>
    <w:p>
      <w:pPr>
        <w:pStyle w:val="BodyText"/>
        <w:spacing w:before="10"/>
        <w:rPr>
          <w:rFonts w:ascii="Franklin Gothic Book"/>
          <w:sz w:val="20"/>
        </w:rPr>
      </w:pPr>
    </w:p>
    <w:p>
      <w:pPr>
        <w:pStyle w:val="Heading4"/>
        <w:numPr>
          <w:ilvl w:val="0"/>
          <w:numId w:val="1"/>
        </w:numPr>
        <w:tabs>
          <w:tab w:pos="986" w:val="left" w:leader="none"/>
          <w:tab w:pos="987" w:val="left" w:leader="none"/>
        </w:tabs>
        <w:spacing w:line="240" w:lineRule="auto" w:before="0" w:after="0"/>
        <w:ind w:left="986" w:right="0" w:hanging="709"/>
        <w:jc w:val="left"/>
      </w:pPr>
      <w:r>
        <w:rPr>
          <w:color w:val="086D44"/>
        </w:rPr>
        <w:t>INDEBITAMENTO NETTO E DEBITO</w:t>
      </w:r>
      <w:r>
        <w:rPr>
          <w:color w:val="086D44"/>
          <w:spacing w:val="-4"/>
        </w:rPr>
        <w:t> </w:t>
      </w:r>
      <w:r>
        <w:rPr>
          <w:color w:val="086D44"/>
        </w:rPr>
        <w:t>PUBBLICO</w:t>
      </w:r>
    </w:p>
    <w:p>
      <w:pPr>
        <w:pStyle w:val="ListParagraph"/>
        <w:numPr>
          <w:ilvl w:val="1"/>
          <w:numId w:val="1"/>
        </w:numPr>
        <w:tabs>
          <w:tab w:pos="986" w:val="left" w:leader="none"/>
          <w:tab w:pos="987" w:val="left" w:leader="none"/>
        </w:tabs>
        <w:spacing w:line="240" w:lineRule="auto" w:before="126" w:after="0"/>
        <w:ind w:left="986" w:right="0" w:hanging="709"/>
        <w:jc w:val="left"/>
        <w:rPr>
          <w:rFonts w:ascii="Franklin Gothic Book"/>
          <w:sz w:val="22"/>
        </w:rPr>
      </w:pPr>
      <w:r>
        <w:rPr>
          <w:rFonts w:ascii="Franklin Gothic Book"/>
          <w:sz w:val="22"/>
        </w:rPr>
        <w:t>Dati di consuntivo e previsioni a legislazione</w:t>
      </w:r>
      <w:r>
        <w:rPr>
          <w:rFonts w:ascii="Franklin Gothic Book"/>
          <w:spacing w:val="-7"/>
          <w:sz w:val="22"/>
        </w:rPr>
        <w:t> </w:t>
      </w:r>
      <w:r>
        <w:rPr>
          <w:rFonts w:ascii="Franklin Gothic Book"/>
          <w:sz w:val="22"/>
        </w:rPr>
        <w:t>vigente</w:t>
      </w:r>
    </w:p>
    <w:p>
      <w:pPr>
        <w:pStyle w:val="ListParagraph"/>
        <w:numPr>
          <w:ilvl w:val="1"/>
          <w:numId w:val="1"/>
        </w:numPr>
        <w:tabs>
          <w:tab w:pos="986" w:val="left" w:leader="none"/>
          <w:tab w:pos="987" w:val="left" w:leader="none"/>
        </w:tabs>
        <w:spacing w:line="240" w:lineRule="auto" w:before="60" w:after="0"/>
        <w:ind w:left="986" w:right="0" w:hanging="709"/>
        <w:jc w:val="left"/>
        <w:rPr>
          <w:rFonts w:ascii="Franklin Gothic Book"/>
          <w:sz w:val="22"/>
        </w:rPr>
      </w:pPr>
      <w:r>
        <w:rPr>
          <w:rFonts w:ascii="Franklin Gothic Book"/>
          <w:sz w:val="22"/>
        </w:rPr>
        <w:t>Percorso programmatico di finanza</w:t>
      </w:r>
      <w:r>
        <w:rPr>
          <w:rFonts w:ascii="Franklin Gothic Book"/>
          <w:spacing w:val="-1"/>
          <w:sz w:val="22"/>
        </w:rPr>
        <w:t> </w:t>
      </w:r>
      <w:r>
        <w:rPr>
          <w:rFonts w:ascii="Franklin Gothic Book"/>
          <w:sz w:val="22"/>
        </w:rPr>
        <w:t>pubblica</w:t>
      </w:r>
    </w:p>
    <w:p>
      <w:pPr>
        <w:pStyle w:val="ListParagraph"/>
        <w:numPr>
          <w:ilvl w:val="1"/>
          <w:numId w:val="1"/>
        </w:numPr>
        <w:tabs>
          <w:tab w:pos="986" w:val="left" w:leader="none"/>
          <w:tab w:pos="987" w:val="left" w:leader="none"/>
        </w:tabs>
        <w:spacing w:line="240" w:lineRule="auto" w:before="60" w:after="0"/>
        <w:ind w:left="986" w:right="0" w:hanging="709"/>
        <w:jc w:val="left"/>
        <w:rPr>
          <w:rFonts w:ascii="Franklin Gothic Book"/>
          <w:sz w:val="22"/>
        </w:rPr>
      </w:pPr>
      <w:r>
        <w:rPr>
          <w:rFonts w:ascii="Franklin Gothic Book"/>
          <w:sz w:val="22"/>
        </w:rPr>
        <w:t>Evoluzione del rapporto</w:t>
      </w:r>
      <w:r>
        <w:rPr>
          <w:rFonts w:ascii="Franklin Gothic Book"/>
          <w:spacing w:val="-5"/>
          <w:sz w:val="22"/>
        </w:rPr>
        <w:t> </w:t>
      </w:r>
      <w:r>
        <w:rPr>
          <w:rFonts w:ascii="Franklin Gothic Book"/>
          <w:sz w:val="22"/>
        </w:rPr>
        <w:t>debito/PIL</w:t>
      </w:r>
    </w:p>
    <w:p>
      <w:pPr>
        <w:pStyle w:val="ListParagraph"/>
        <w:numPr>
          <w:ilvl w:val="1"/>
          <w:numId w:val="1"/>
        </w:numPr>
        <w:tabs>
          <w:tab w:pos="986" w:val="left" w:leader="none"/>
          <w:tab w:pos="987" w:val="left" w:leader="none"/>
        </w:tabs>
        <w:spacing w:line="240" w:lineRule="auto" w:before="58" w:after="0"/>
        <w:ind w:left="986" w:right="0" w:hanging="709"/>
        <w:jc w:val="left"/>
        <w:rPr>
          <w:rFonts w:ascii="Franklin Gothic Book"/>
          <w:sz w:val="22"/>
        </w:rPr>
      </w:pPr>
      <w:r>
        <w:rPr>
          <w:rFonts w:ascii="Franklin Gothic Book"/>
          <w:sz w:val="22"/>
        </w:rPr>
        <w:t>La regola del debito e gli altri fattori</w:t>
      </w:r>
      <w:r>
        <w:rPr>
          <w:rFonts w:ascii="Franklin Gothic Book"/>
          <w:spacing w:val="-5"/>
          <w:sz w:val="22"/>
        </w:rPr>
        <w:t> </w:t>
      </w:r>
      <w:r>
        <w:rPr>
          <w:rFonts w:ascii="Franklin Gothic Book"/>
          <w:sz w:val="22"/>
        </w:rPr>
        <w:t>rilevanti</w:t>
      </w:r>
    </w:p>
    <w:p>
      <w:pPr>
        <w:pStyle w:val="ListParagraph"/>
        <w:numPr>
          <w:ilvl w:val="1"/>
          <w:numId w:val="1"/>
        </w:numPr>
        <w:tabs>
          <w:tab w:pos="986" w:val="left" w:leader="none"/>
          <w:tab w:pos="987" w:val="left" w:leader="none"/>
        </w:tabs>
        <w:spacing w:line="240" w:lineRule="auto" w:before="60" w:after="0"/>
        <w:ind w:left="986" w:right="0" w:hanging="709"/>
        <w:jc w:val="left"/>
        <w:rPr>
          <w:rFonts w:ascii="Franklin Gothic Book"/>
          <w:sz w:val="22"/>
        </w:rPr>
      </w:pPr>
      <w:r>
        <w:rPr>
          <w:rFonts w:ascii="Franklin Gothic Book"/>
          <w:sz w:val="22"/>
        </w:rPr>
        <w:t>Principali provvedimenti di finanza pubblica adottati nel</w:t>
      </w:r>
      <w:r>
        <w:rPr>
          <w:rFonts w:ascii="Franklin Gothic Book"/>
          <w:spacing w:val="-12"/>
          <w:sz w:val="22"/>
        </w:rPr>
        <w:t> </w:t>
      </w:r>
      <w:r>
        <w:rPr>
          <w:rFonts w:ascii="Franklin Gothic Book"/>
          <w:sz w:val="22"/>
        </w:rPr>
        <w:t>2019</w:t>
      </w:r>
    </w:p>
    <w:p>
      <w:pPr>
        <w:pStyle w:val="ListParagraph"/>
        <w:numPr>
          <w:ilvl w:val="1"/>
          <w:numId w:val="1"/>
        </w:numPr>
        <w:tabs>
          <w:tab w:pos="986" w:val="left" w:leader="none"/>
          <w:tab w:pos="987" w:val="left" w:leader="none"/>
        </w:tabs>
        <w:spacing w:line="240" w:lineRule="auto" w:before="60" w:after="0"/>
        <w:ind w:left="986" w:right="0" w:hanging="709"/>
        <w:jc w:val="left"/>
        <w:rPr>
          <w:rFonts w:ascii="Franklin Gothic Book"/>
          <w:sz w:val="22"/>
        </w:rPr>
      </w:pPr>
      <w:r>
        <w:rPr>
          <w:rFonts w:ascii="Franklin Gothic Book"/>
          <w:sz w:val="22"/>
        </w:rPr>
        <w:t>Valorizzazione del patrimonio pubblico e</w:t>
      </w:r>
      <w:r>
        <w:rPr>
          <w:rFonts w:ascii="Franklin Gothic Book"/>
          <w:spacing w:val="-5"/>
          <w:sz w:val="22"/>
        </w:rPr>
        <w:t> </w:t>
      </w:r>
      <w:r>
        <w:rPr>
          <w:rFonts w:ascii="Franklin Gothic Book"/>
          <w:sz w:val="22"/>
        </w:rPr>
        <w:t>privatizzazioni</w:t>
      </w:r>
    </w:p>
    <w:p>
      <w:pPr>
        <w:pStyle w:val="BodyText"/>
        <w:spacing w:before="9"/>
        <w:rPr>
          <w:rFonts w:ascii="Franklin Gothic Book"/>
          <w:sz w:val="20"/>
        </w:rPr>
      </w:pPr>
    </w:p>
    <w:p>
      <w:pPr>
        <w:pStyle w:val="Heading4"/>
        <w:numPr>
          <w:ilvl w:val="0"/>
          <w:numId w:val="1"/>
        </w:numPr>
        <w:tabs>
          <w:tab w:pos="986" w:val="left" w:leader="none"/>
          <w:tab w:pos="987" w:val="left" w:leader="none"/>
        </w:tabs>
        <w:spacing w:line="240" w:lineRule="auto" w:before="1" w:after="0"/>
        <w:ind w:left="986" w:right="0" w:hanging="709"/>
        <w:jc w:val="left"/>
      </w:pPr>
      <w:r>
        <w:rPr>
          <w:color w:val="086D44"/>
        </w:rPr>
        <w:t>LE RIFORME E LE RACCOMANDAZIONI DEL</w:t>
      </w:r>
      <w:r>
        <w:rPr>
          <w:color w:val="086D44"/>
          <w:spacing w:val="-8"/>
        </w:rPr>
        <w:t> </w:t>
      </w:r>
      <w:r>
        <w:rPr>
          <w:color w:val="086D44"/>
        </w:rPr>
        <w:t>CONSIGLIO</w:t>
      </w:r>
    </w:p>
    <w:p>
      <w:pPr>
        <w:spacing w:before="1"/>
        <w:ind w:left="986" w:right="0" w:firstLine="0"/>
        <w:jc w:val="left"/>
        <w:rPr>
          <w:rFonts w:ascii="Franklin Gothic Heavy" w:hAnsi="Franklin Gothic Heavy"/>
          <w:b/>
          <w:sz w:val="24"/>
        </w:rPr>
      </w:pPr>
      <w:r>
        <w:rPr>
          <w:rFonts w:ascii="Franklin Gothic Heavy" w:hAnsi="Franklin Gothic Heavy"/>
          <w:b/>
          <w:color w:val="086D44"/>
          <w:sz w:val="24"/>
        </w:rPr>
        <w:t>DELL’UNIONE EUROPEA</w:t>
      </w:r>
    </w:p>
    <w:p>
      <w:pPr>
        <w:pStyle w:val="ListParagraph"/>
        <w:numPr>
          <w:ilvl w:val="1"/>
          <w:numId w:val="1"/>
        </w:numPr>
        <w:tabs>
          <w:tab w:pos="986" w:val="left" w:leader="none"/>
          <w:tab w:pos="987" w:val="left" w:leader="none"/>
        </w:tabs>
        <w:spacing w:line="240" w:lineRule="auto" w:before="123" w:after="0"/>
        <w:ind w:left="986" w:right="0" w:hanging="709"/>
        <w:jc w:val="left"/>
        <w:rPr>
          <w:rFonts w:ascii="Franklin Gothic Book"/>
          <w:sz w:val="22"/>
        </w:rPr>
      </w:pPr>
      <w:r>
        <w:rPr>
          <w:rFonts w:ascii="Franklin Gothic Book"/>
          <w:sz w:val="22"/>
        </w:rPr>
        <w:t>Le Raccomandazioni del Consiglio al</w:t>
      </w:r>
      <w:r>
        <w:rPr>
          <w:rFonts w:ascii="Franklin Gothic Book"/>
          <w:spacing w:val="-7"/>
          <w:sz w:val="22"/>
        </w:rPr>
        <w:t> </w:t>
      </w:r>
      <w:r>
        <w:rPr>
          <w:rFonts w:ascii="Franklin Gothic Book"/>
          <w:sz w:val="22"/>
        </w:rPr>
        <w:t>Paese</w:t>
      </w:r>
    </w:p>
    <w:p>
      <w:pPr>
        <w:pStyle w:val="ListParagraph"/>
        <w:numPr>
          <w:ilvl w:val="1"/>
          <w:numId w:val="1"/>
        </w:numPr>
        <w:tabs>
          <w:tab w:pos="986" w:val="left" w:leader="none"/>
          <w:tab w:pos="987" w:val="left" w:leader="none"/>
        </w:tabs>
        <w:spacing w:line="240" w:lineRule="auto" w:before="61" w:after="0"/>
        <w:ind w:left="986" w:right="0" w:hanging="709"/>
        <w:jc w:val="left"/>
        <w:rPr>
          <w:rFonts w:ascii="Franklin Gothic Book"/>
          <w:sz w:val="22"/>
        </w:rPr>
      </w:pPr>
      <w:r>
        <w:rPr>
          <w:rFonts w:ascii="Franklin Gothic Book"/>
          <w:sz w:val="22"/>
        </w:rPr>
        <w:t>Principali iniziative in risposta alle</w:t>
      </w:r>
      <w:r>
        <w:rPr>
          <w:rFonts w:ascii="Franklin Gothic Book"/>
          <w:spacing w:val="-3"/>
          <w:sz w:val="22"/>
        </w:rPr>
        <w:t> </w:t>
      </w:r>
      <w:r>
        <w:rPr>
          <w:rFonts w:ascii="Franklin Gothic Book"/>
          <w:sz w:val="22"/>
        </w:rPr>
        <w:t>raccomandazioni</w:t>
      </w:r>
    </w:p>
    <w:p>
      <w:pPr>
        <w:pStyle w:val="BodyText"/>
        <w:rPr>
          <w:rFonts w:ascii="Franklin Gothic Book"/>
          <w:sz w:val="24"/>
        </w:rPr>
      </w:pPr>
    </w:p>
    <w:p>
      <w:pPr>
        <w:pStyle w:val="BodyText"/>
        <w:rPr>
          <w:rFonts w:ascii="Franklin Gothic Book"/>
          <w:sz w:val="24"/>
        </w:rPr>
      </w:pPr>
    </w:p>
    <w:p>
      <w:pPr>
        <w:pStyle w:val="BodyText"/>
        <w:rPr>
          <w:rFonts w:ascii="Franklin Gothic Book"/>
          <w:sz w:val="24"/>
        </w:rPr>
      </w:pPr>
    </w:p>
    <w:p>
      <w:pPr>
        <w:pStyle w:val="BodyText"/>
        <w:rPr>
          <w:rFonts w:ascii="Franklin Gothic Book"/>
          <w:sz w:val="24"/>
        </w:rPr>
      </w:pPr>
    </w:p>
    <w:p>
      <w:pPr>
        <w:pStyle w:val="Heading4"/>
        <w:spacing w:before="172"/>
        <w:ind w:left="278"/>
      </w:pPr>
      <w:r>
        <w:rPr>
          <w:color w:val="086D44"/>
        </w:rPr>
        <w:t>ALLEGATI</w:t>
      </w:r>
    </w:p>
    <w:p>
      <w:pPr>
        <w:pStyle w:val="BodyText"/>
        <w:spacing w:line="297" w:lineRule="auto" w:before="123"/>
        <w:ind w:left="278" w:right="2393"/>
        <w:rPr>
          <w:rFonts w:ascii="Franklin Gothic Book" w:hAnsi="Franklin Gothic Book"/>
        </w:rPr>
      </w:pPr>
      <w:r>
        <w:rPr>
          <w:rFonts w:ascii="Franklin Gothic Book" w:hAnsi="Franklin Gothic Book"/>
        </w:rPr>
        <w:t>Relazioni sulle spese di investimento e relative leggi pluriennali – anno 2018 (vol. I e II) Rapporto programmatico recante gli interventi in materia di spese fiscali</w:t>
      </w:r>
    </w:p>
    <w:p>
      <w:pPr>
        <w:pStyle w:val="BodyText"/>
        <w:spacing w:line="297" w:lineRule="auto" w:before="1"/>
        <w:ind w:left="278" w:right="2481"/>
        <w:rPr>
          <w:rFonts w:ascii="Franklin Gothic Book" w:hAnsi="Franklin Gothic Book"/>
        </w:rPr>
      </w:pPr>
      <w:r>
        <w:rPr>
          <w:rFonts w:ascii="Franklin Gothic Book" w:hAnsi="Franklin Gothic Book"/>
        </w:rPr>
        <w:t>Rapporto sui risultati conseguiti in materia di misure di contrasto all’evasione fiscale e contributiva</w:t>
      </w:r>
    </w:p>
    <w:p>
      <w:pPr>
        <w:spacing w:after="0" w:line="297" w:lineRule="auto"/>
        <w:rPr>
          <w:rFonts w:ascii="Franklin Gothic Book" w:hAnsi="Franklin Gothic Book"/>
        </w:rPr>
        <w:sectPr>
          <w:headerReference w:type="default" r:id="rId29"/>
          <w:footerReference w:type="default" r:id="rId30"/>
          <w:footerReference w:type="even" r:id="rId31"/>
          <w:pgSz w:w="11910" w:h="16840"/>
          <w:pgMar w:header="0" w:footer="866" w:top="1080" w:bottom="1060" w:left="1140" w:right="0"/>
          <w:pgNumType w:start="7"/>
        </w:sectPr>
      </w:pPr>
    </w:p>
    <w:p>
      <w:pPr>
        <w:pStyle w:val="BodyText"/>
        <w:rPr>
          <w:rFonts w:ascii="Franklin Gothic Book"/>
          <w:sz w:val="20"/>
        </w:rPr>
      </w:pPr>
    </w:p>
    <w:p>
      <w:pPr>
        <w:pStyle w:val="BodyText"/>
        <w:rPr>
          <w:rFonts w:ascii="Franklin Gothic Book"/>
          <w:sz w:val="20"/>
        </w:rPr>
      </w:pPr>
    </w:p>
    <w:p>
      <w:pPr>
        <w:pStyle w:val="BodyText"/>
        <w:spacing w:before="3"/>
        <w:rPr>
          <w:rFonts w:ascii="Franklin Gothic Book"/>
          <w:sz w:val="25"/>
        </w:rPr>
      </w:pPr>
    </w:p>
    <w:p>
      <w:pPr>
        <w:pStyle w:val="Heading1"/>
        <w:spacing w:before="100"/>
        <w:ind w:left="1128"/>
      </w:pPr>
      <w:r>
        <w:rPr>
          <w:color w:val="086D44"/>
        </w:rPr>
        <w:t>INDICE DELLE TAVOLE</w:t>
      </w:r>
    </w:p>
    <w:p>
      <w:pPr>
        <w:pStyle w:val="BodyText"/>
        <w:spacing w:before="6"/>
        <w:rPr>
          <w:rFonts w:ascii="Franklin Gothic Heavy"/>
          <w:b/>
          <w:sz w:val="32"/>
        </w:rPr>
      </w:pPr>
    </w:p>
    <w:p>
      <w:pPr>
        <w:pStyle w:val="BodyText"/>
        <w:tabs>
          <w:tab w:pos="2546" w:val="left" w:leader="none"/>
        </w:tabs>
        <w:spacing w:line="297" w:lineRule="auto"/>
        <w:ind w:left="1128" w:right="4420"/>
        <w:rPr>
          <w:rFonts w:ascii="Franklin Gothic Book"/>
        </w:rPr>
      </w:pPr>
      <w:r>
        <w:rPr>
          <w:rFonts w:ascii="Franklin Gothic Book"/>
        </w:rPr>
        <w:t>Tavola</w:t>
      </w:r>
      <w:r>
        <w:rPr>
          <w:rFonts w:ascii="Franklin Gothic Book"/>
          <w:spacing w:val="-1"/>
        </w:rPr>
        <w:t> </w:t>
      </w:r>
      <w:r>
        <w:rPr>
          <w:rFonts w:ascii="Franklin Gothic Book"/>
        </w:rPr>
        <w:t>I.1</w:t>
        <w:tab/>
        <w:t>Quadro macroeconomico tendenziale Tavola</w:t>
      </w:r>
      <w:r>
        <w:rPr>
          <w:rFonts w:ascii="Franklin Gothic Book"/>
          <w:spacing w:val="-1"/>
        </w:rPr>
        <w:t> </w:t>
      </w:r>
      <w:r>
        <w:rPr>
          <w:rFonts w:ascii="Franklin Gothic Book"/>
        </w:rPr>
        <w:t>I.2</w:t>
        <w:tab/>
        <w:t>Quadro macroeconomico programmatico Tavola</w:t>
      </w:r>
      <w:r>
        <w:rPr>
          <w:rFonts w:ascii="Franklin Gothic Book"/>
          <w:spacing w:val="-1"/>
        </w:rPr>
        <w:t> </w:t>
      </w:r>
      <w:r>
        <w:rPr>
          <w:rFonts w:ascii="Franklin Gothic Book"/>
        </w:rPr>
        <w:t>I.3</w:t>
        <w:tab/>
        <w:t>Indicatori di finanza</w:t>
      </w:r>
      <w:r>
        <w:rPr>
          <w:rFonts w:ascii="Franklin Gothic Book"/>
          <w:spacing w:val="-3"/>
        </w:rPr>
        <w:t> </w:t>
      </w:r>
      <w:r>
        <w:rPr>
          <w:rFonts w:ascii="Franklin Gothic Book"/>
        </w:rPr>
        <w:t>pubblica</w:t>
      </w:r>
    </w:p>
    <w:p>
      <w:pPr>
        <w:pStyle w:val="BodyText"/>
        <w:tabs>
          <w:tab w:pos="2546" w:val="left" w:leader="none"/>
        </w:tabs>
        <w:spacing w:before="1"/>
        <w:ind w:left="1128"/>
        <w:rPr>
          <w:rFonts w:ascii="Franklin Gothic Book"/>
        </w:rPr>
      </w:pPr>
      <w:r>
        <w:rPr>
          <w:rFonts w:ascii="Franklin Gothic Book"/>
        </w:rPr>
        <w:t>Tavola</w:t>
      </w:r>
      <w:r>
        <w:rPr>
          <w:rFonts w:ascii="Franklin Gothic Book"/>
          <w:spacing w:val="-1"/>
        </w:rPr>
        <w:t> </w:t>
      </w:r>
      <w:r>
        <w:rPr>
          <w:rFonts w:ascii="Franklin Gothic Book"/>
        </w:rPr>
        <w:t>II.1</w:t>
        <w:tab/>
        <w:t>Esogene</w:t>
      </w:r>
      <w:r>
        <w:rPr>
          <w:rFonts w:ascii="Franklin Gothic Book"/>
          <w:spacing w:val="-2"/>
        </w:rPr>
        <w:t> </w:t>
      </w:r>
      <w:r>
        <w:rPr>
          <w:rFonts w:ascii="Franklin Gothic Book"/>
        </w:rPr>
        <w:t>internazionali</w:t>
      </w:r>
    </w:p>
    <w:p>
      <w:pPr>
        <w:pStyle w:val="BodyText"/>
        <w:tabs>
          <w:tab w:pos="2546" w:val="left" w:leader="none"/>
        </w:tabs>
        <w:spacing w:before="61"/>
        <w:ind w:left="1128"/>
        <w:rPr>
          <w:rFonts w:ascii="Franklin Gothic Book"/>
        </w:rPr>
      </w:pPr>
      <w:r>
        <w:rPr>
          <w:rFonts w:ascii="Franklin Gothic Book"/>
        </w:rPr>
        <w:t>Tavola</w:t>
      </w:r>
      <w:r>
        <w:rPr>
          <w:rFonts w:ascii="Franklin Gothic Book"/>
          <w:spacing w:val="-1"/>
        </w:rPr>
        <w:t> </w:t>
      </w:r>
      <w:r>
        <w:rPr>
          <w:rFonts w:ascii="Franklin Gothic Book"/>
        </w:rPr>
        <w:t>II.2</w:t>
        <w:tab/>
        <w:t>Quadro macroeconomico tendenziale</w:t>
      </w:r>
    </w:p>
    <w:p>
      <w:pPr>
        <w:pStyle w:val="BodyText"/>
        <w:tabs>
          <w:tab w:pos="2546" w:val="left" w:leader="none"/>
        </w:tabs>
        <w:spacing w:before="60"/>
        <w:ind w:left="2546" w:right="1915" w:hanging="1419"/>
        <w:rPr>
          <w:rFonts w:ascii="Franklin Gothic Book"/>
        </w:rPr>
      </w:pPr>
      <w:r>
        <w:rPr>
          <w:rFonts w:ascii="Franklin Gothic Book"/>
        </w:rPr>
        <w:t>Tavola</w:t>
      </w:r>
      <w:r>
        <w:rPr>
          <w:rFonts w:ascii="Franklin Gothic Book"/>
          <w:spacing w:val="-1"/>
        </w:rPr>
        <w:t> </w:t>
      </w:r>
      <w:r>
        <w:rPr>
          <w:rFonts w:ascii="Franklin Gothic Book"/>
        </w:rPr>
        <w:t>II.3</w:t>
        <w:tab/>
        <w:t>Impatto macroeconomico delle misure programmatiche rispetto allo scenario</w:t>
      </w:r>
      <w:r>
        <w:rPr>
          <w:rFonts w:ascii="Franklin Gothic Book"/>
          <w:spacing w:val="-2"/>
        </w:rPr>
        <w:t> </w:t>
      </w:r>
      <w:r>
        <w:rPr>
          <w:rFonts w:ascii="Franklin Gothic Book"/>
        </w:rPr>
        <w:t>tendenziale</w:t>
      </w:r>
    </w:p>
    <w:p>
      <w:pPr>
        <w:pStyle w:val="BodyText"/>
        <w:tabs>
          <w:tab w:pos="2546" w:val="left" w:leader="none"/>
        </w:tabs>
        <w:spacing w:line="297" w:lineRule="auto" w:before="60"/>
        <w:ind w:left="1128" w:right="3808"/>
        <w:rPr>
          <w:rFonts w:ascii="Franklin Gothic Book"/>
        </w:rPr>
      </w:pPr>
      <w:r>
        <w:rPr>
          <w:rFonts w:ascii="Franklin Gothic Book"/>
        </w:rPr>
        <w:t>Tavola</w:t>
      </w:r>
      <w:r>
        <w:rPr>
          <w:rFonts w:ascii="Franklin Gothic Book"/>
          <w:spacing w:val="-1"/>
        </w:rPr>
        <w:t> </w:t>
      </w:r>
      <w:r>
        <w:rPr>
          <w:rFonts w:ascii="Franklin Gothic Book"/>
        </w:rPr>
        <w:t>II.4</w:t>
        <w:tab/>
        <w:t>Quadro macroeconomico programmatico Tavola</w:t>
      </w:r>
      <w:r>
        <w:rPr>
          <w:rFonts w:ascii="Franklin Gothic Book"/>
          <w:spacing w:val="-1"/>
        </w:rPr>
        <w:t> </w:t>
      </w:r>
      <w:r>
        <w:rPr>
          <w:rFonts w:ascii="Franklin Gothic Book"/>
        </w:rPr>
        <w:t>III.1a</w:t>
        <w:tab/>
        <w:t>Conto della PA a legislazione vigente (in</w:t>
      </w:r>
      <w:r>
        <w:rPr>
          <w:rFonts w:ascii="Franklin Gothic Book"/>
          <w:spacing w:val="-15"/>
        </w:rPr>
        <w:t> </w:t>
      </w:r>
      <w:r>
        <w:rPr>
          <w:rFonts w:ascii="Franklin Gothic Book"/>
        </w:rPr>
        <w:t>milioni)</w:t>
      </w:r>
    </w:p>
    <w:p>
      <w:pPr>
        <w:pStyle w:val="BodyText"/>
        <w:spacing w:line="297" w:lineRule="auto" w:before="1"/>
        <w:ind w:left="1128" w:right="2633"/>
        <w:jc w:val="both"/>
        <w:rPr>
          <w:rFonts w:ascii="Franklin Gothic Book"/>
        </w:rPr>
      </w:pPr>
      <w:r>
        <w:rPr>
          <w:rFonts w:ascii="Franklin Gothic Book"/>
        </w:rPr>
        <w:t>Tavola III.1b Conto della PA a legislazione vigente (in percentuale del PIL) Tavola III.1c Conto della PA a legislazione vigente (variazioni percentuali) Tavola III.2 Quadro programmatico sintetico di finanza pubblica</w:t>
      </w:r>
    </w:p>
    <w:p>
      <w:pPr>
        <w:pStyle w:val="BodyText"/>
        <w:tabs>
          <w:tab w:pos="2546" w:val="left" w:leader="none"/>
        </w:tabs>
        <w:spacing w:line="297" w:lineRule="auto"/>
        <w:ind w:left="1128" w:right="4404"/>
        <w:rPr>
          <w:rFonts w:ascii="Franklin Gothic Book"/>
        </w:rPr>
      </w:pPr>
      <w:r>
        <w:rPr>
          <w:rFonts w:ascii="Franklin Gothic Book"/>
        </w:rPr>
        <w:t>Tavola</w:t>
      </w:r>
      <w:r>
        <w:rPr>
          <w:rFonts w:ascii="Franklin Gothic Book"/>
          <w:spacing w:val="-1"/>
        </w:rPr>
        <w:t> </w:t>
      </w:r>
      <w:r>
        <w:rPr>
          <w:rFonts w:ascii="Franklin Gothic Book"/>
        </w:rPr>
        <w:t>III.3</w:t>
        <w:tab/>
        <w:t>La finanza pubblica corretta per il ciclo Tavola</w:t>
      </w:r>
      <w:r>
        <w:rPr>
          <w:rFonts w:ascii="Franklin Gothic Book"/>
          <w:spacing w:val="-1"/>
        </w:rPr>
        <w:t> </w:t>
      </w:r>
      <w:r>
        <w:rPr>
          <w:rFonts w:ascii="Franklin Gothic Book"/>
        </w:rPr>
        <w:t>III.4</w:t>
        <w:tab/>
        <w:t>Misure una tantum a legislazione</w:t>
      </w:r>
      <w:r>
        <w:rPr>
          <w:rFonts w:ascii="Franklin Gothic Book"/>
          <w:spacing w:val="-7"/>
        </w:rPr>
        <w:t> </w:t>
      </w:r>
      <w:r>
        <w:rPr>
          <w:rFonts w:ascii="Franklin Gothic Book"/>
        </w:rPr>
        <w:t>vigente</w:t>
      </w:r>
    </w:p>
    <w:p>
      <w:pPr>
        <w:pStyle w:val="BodyText"/>
        <w:tabs>
          <w:tab w:pos="2546" w:val="left" w:leader="none"/>
        </w:tabs>
        <w:ind w:left="1128"/>
        <w:rPr>
          <w:rFonts w:ascii="Franklin Gothic Book" w:hAnsi="Franklin Gothic Book"/>
        </w:rPr>
      </w:pPr>
      <w:r>
        <w:rPr>
          <w:rFonts w:ascii="Franklin Gothic Book" w:hAnsi="Franklin Gothic Book"/>
          <w:spacing w:val="-5"/>
        </w:rPr>
        <w:t>Tavola</w:t>
      </w:r>
      <w:r>
        <w:rPr>
          <w:rFonts w:ascii="Franklin Gothic Book" w:hAnsi="Franklin Gothic Book"/>
          <w:spacing w:val="-7"/>
        </w:rPr>
        <w:t> </w:t>
      </w:r>
      <w:r>
        <w:rPr>
          <w:rFonts w:ascii="Franklin Gothic Book" w:hAnsi="Franklin Gothic Book"/>
          <w:spacing w:val="-4"/>
        </w:rPr>
        <w:t>III.5</w:t>
        <w:tab/>
      </w:r>
      <w:r>
        <w:rPr>
          <w:rFonts w:ascii="Franklin Gothic Book" w:hAnsi="Franklin Gothic Book"/>
          <w:spacing w:val="-5"/>
        </w:rPr>
        <w:t>Flessibilità accordata all’Italia </w:t>
      </w:r>
      <w:r>
        <w:rPr>
          <w:rFonts w:ascii="Franklin Gothic Book" w:hAnsi="Franklin Gothic Book"/>
          <w:spacing w:val="-4"/>
        </w:rPr>
        <w:t>nel Patto </w:t>
      </w:r>
      <w:r>
        <w:rPr>
          <w:rFonts w:ascii="Franklin Gothic Book" w:hAnsi="Franklin Gothic Book"/>
        </w:rPr>
        <w:t>di</w:t>
      </w:r>
      <w:r>
        <w:rPr>
          <w:rFonts w:ascii="Franklin Gothic Book" w:hAnsi="Franklin Gothic Book"/>
          <w:spacing w:val="-26"/>
        </w:rPr>
        <w:t> </w:t>
      </w:r>
      <w:r>
        <w:rPr>
          <w:rFonts w:ascii="Franklin Gothic Book" w:hAnsi="Franklin Gothic Book"/>
          <w:spacing w:val="-5"/>
        </w:rPr>
        <w:t>Stabilità</w:t>
      </w:r>
    </w:p>
    <w:p>
      <w:pPr>
        <w:pStyle w:val="BodyText"/>
        <w:tabs>
          <w:tab w:pos="2546" w:val="left" w:leader="none"/>
        </w:tabs>
        <w:spacing w:before="60"/>
        <w:ind w:left="1128"/>
        <w:rPr>
          <w:rFonts w:ascii="Franklin Gothic Book"/>
        </w:rPr>
      </w:pPr>
      <w:r>
        <w:rPr>
          <w:rFonts w:ascii="Franklin Gothic Book"/>
          <w:spacing w:val="-5"/>
        </w:rPr>
        <w:t>Tavola</w:t>
      </w:r>
      <w:r>
        <w:rPr>
          <w:rFonts w:ascii="Franklin Gothic Book"/>
          <w:spacing w:val="-7"/>
        </w:rPr>
        <w:t> </w:t>
      </w:r>
      <w:r>
        <w:rPr>
          <w:rFonts w:ascii="Franklin Gothic Book"/>
          <w:spacing w:val="-4"/>
        </w:rPr>
        <w:t>III.6</w:t>
        <w:tab/>
      </w:r>
      <w:r>
        <w:rPr>
          <w:rFonts w:ascii="Franklin Gothic Book"/>
          <w:spacing w:val="-5"/>
        </w:rPr>
        <w:t>Deviazioni</w:t>
      </w:r>
      <w:r>
        <w:rPr>
          <w:rFonts w:ascii="Franklin Gothic Book"/>
          <w:spacing w:val="-8"/>
        </w:rPr>
        <w:t> </w:t>
      </w:r>
      <w:r>
        <w:rPr>
          <w:rFonts w:ascii="Franklin Gothic Book"/>
          <w:spacing w:val="-5"/>
        </w:rPr>
        <w:t>significative</w:t>
      </w:r>
    </w:p>
    <w:p>
      <w:pPr>
        <w:pStyle w:val="BodyText"/>
        <w:tabs>
          <w:tab w:pos="2546" w:val="left" w:leader="none"/>
        </w:tabs>
        <w:spacing w:before="60"/>
        <w:ind w:left="1128"/>
        <w:rPr>
          <w:rFonts w:ascii="Franklin Gothic Book"/>
        </w:rPr>
      </w:pPr>
      <w:r>
        <w:rPr>
          <w:rFonts w:ascii="Franklin Gothic Book"/>
        </w:rPr>
        <w:t>Tavola</w:t>
      </w:r>
      <w:r>
        <w:rPr>
          <w:rFonts w:ascii="Franklin Gothic Book"/>
          <w:spacing w:val="-1"/>
        </w:rPr>
        <w:t> </w:t>
      </w:r>
      <w:r>
        <w:rPr>
          <w:rFonts w:ascii="Franklin Gothic Book"/>
        </w:rPr>
        <w:t>III.7</w:t>
        <w:tab/>
        <w:t>Debito delle Amministrazioni pubbliche per</w:t>
      </w:r>
      <w:r>
        <w:rPr>
          <w:rFonts w:ascii="Franklin Gothic Book"/>
          <w:spacing w:val="-5"/>
        </w:rPr>
        <w:t> </w:t>
      </w:r>
      <w:r>
        <w:rPr>
          <w:rFonts w:ascii="Franklin Gothic Book"/>
        </w:rPr>
        <w:t>sottosettore</w:t>
      </w:r>
    </w:p>
    <w:p>
      <w:pPr>
        <w:pStyle w:val="BodyText"/>
        <w:tabs>
          <w:tab w:pos="2546" w:val="left" w:leader="none"/>
        </w:tabs>
        <w:spacing w:before="60"/>
        <w:ind w:left="2546" w:right="1494" w:hanging="1419"/>
        <w:rPr>
          <w:rFonts w:ascii="Franklin Gothic Book"/>
        </w:rPr>
      </w:pPr>
      <w:r>
        <w:rPr>
          <w:rFonts w:ascii="Franklin Gothic Book"/>
        </w:rPr>
        <w:t>Tavola</w:t>
      </w:r>
      <w:r>
        <w:rPr>
          <w:rFonts w:ascii="Franklin Gothic Book"/>
          <w:spacing w:val="-1"/>
        </w:rPr>
        <w:t> </w:t>
      </w:r>
      <w:r>
        <w:rPr>
          <w:rFonts w:ascii="Franklin Gothic Book"/>
        </w:rPr>
        <w:t>III.8</w:t>
        <w:tab/>
        <w:t>Rispetto della regola del debito: criterio </w:t>
      </w:r>
      <w:r>
        <w:rPr>
          <w:rFonts w:ascii="Franklin Gothic Book"/>
          <w:i/>
        </w:rPr>
        <w:t>forward looking </w:t>
      </w:r>
      <w:r>
        <w:rPr>
          <w:rFonts w:ascii="Franklin Gothic Book"/>
        </w:rPr>
        <w:t>e debito corretto per il</w:t>
      </w:r>
      <w:r>
        <w:rPr>
          <w:rFonts w:ascii="Franklin Gothic Book"/>
          <w:spacing w:val="-2"/>
        </w:rPr>
        <w:t> </w:t>
      </w:r>
      <w:r>
        <w:rPr>
          <w:rFonts w:ascii="Franklin Gothic Book"/>
        </w:rPr>
        <w:t>ciclo</w:t>
      </w:r>
    </w:p>
    <w:p>
      <w:pPr>
        <w:pStyle w:val="BodyText"/>
        <w:tabs>
          <w:tab w:pos="2546" w:val="left" w:leader="none"/>
        </w:tabs>
        <w:spacing w:before="60"/>
        <w:ind w:left="2546" w:right="2871" w:hanging="1419"/>
        <w:rPr>
          <w:rFonts w:ascii="Franklin Gothic Book"/>
        </w:rPr>
      </w:pPr>
      <w:r>
        <w:rPr>
          <w:rFonts w:ascii="Franklin Gothic Book"/>
        </w:rPr>
        <w:t>Tavola III.9</w:t>
        <w:tab/>
        <w:t>Effetti cumulati degli ultimi provvedimenti varati nel 2019 sull'indebitamento netto della</w:t>
      </w:r>
      <w:r>
        <w:rPr>
          <w:rFonts w:ascii="Franklin Gothic Book"/>
          <w:spacing w:val="-5"/>
        </w:rPr>
        <w:t> </w:t>
      </w:r>
      <w:r>
        <w:rPr>
          <w:rFonts w:ascii="Franklin Gothic Book"/>
        </w:rPr>
        <w:t>PA</w:t>
      </w:r>
    </w:p>
    <w:p>
      <w:pPr>
        <w:pStyle w:val="BodyText"/>
        <w:tabs>
          <w:tab w:pos="2546" w:val="left" w:leader="none"/>
        </w:tabs>
        <w:spacing w:before="61"/>
        <w:ind w:left="2546" w:right="2871" w:hanging="1419"/>
        <w:rPr>
          <w:rFonts w:ascii="Franklin Gothic Book"/>
        </w:rPr>
      </w:pPr>
      <w:r>
        <w:rPr>
          <w:rFonts w:ascii="Franklin Gothic Book"/>
        </w:rPr>
        <w:t>Tavola III.10</w:t>
        <w:tab/>
        <w:t>Effetti cumulati degli ultimi provvedimenti varati nel 2019 sull'indebitamento netto della</w:t>
      </w:r>
      <w:r>
        <w:rPr>
          <w:rFonts w:ascii="Franklin Gothic Book"/>
          <w:spacing w:val="-4"/>
        </w:rPr>
        <w:t> </w:t>
      </w:r>
      <w:r>
        <w:rPr>
          <w:rFonts w:ascii="Franklin Gothic Book"/>
        </w:rPr>
        <w:t>PA</w:t>
      </w:r>
    </w:p>
    <w:p>
      <w:pPr>
        <w:pStyle w:val="BodyText"/>
        <w:tabs>
          <w:tab w:pos="2546" w:val="left" w:leader="none"/>
        </w:tabs>
        <w:spacing w:before="60"/>
        <w:ind w:left="2546" w:right="2396" w:hanging="1419"/>
        <w:rPr>
          <w:rFonts w:ascii="Franklin Gothic Book"/>
        </w:rPr>
      </w:pPr>
      <w:r>
        <w:rPr>
          <w:rFonts w:ascii="Franklin Gothic Book"/>
        </w:rPr>
        <w:t>Tavola III.11</w:t>
        <w:tab/>
        <w:t>Effetti netti cumulati degli ultimi provvedimenti varati nel 2019 sull'indebitamento netto della PA per</w:t>
      </w:r>
      <w:r>
        <w:rPr>
          <w:rFonts w:ascii="Franklin Gothic Book"/>
          <w:spacing w:val="-7"/>
        </w:rPr>
        <w:t> </w:t>
      </w:r>
      <w:r>
        <w:rPr>
          <w:rFonts w:ascii="Franklin Gothic Book"/>
        </w:rPr>
        <w:t>sottosettore</w:t>
      </w:r>
    </w:p>
    <w:p>
      <w:pPr>
        <w:pStyle w:val="BodyText"/>
        <w:tabs>
          <w:tab w:pos="2546" w:val="left" w:leader="none"/>
        </w:tabs>
        <w:spacing w:before="58"/>
        <w:ind w:left="2546" w:right="1672" w:hanging="1419"/>
        <w:rPr>
          <w:rFonts w:ascii="Franklin Gothic Book"/>
        </w:rPr>
      </w:pPr>
      <w:r>
        <w:rPr>
          <w:rFonts w:ascii="Franklin Gothic Book"/>
        </w:rPr>
        <w:t>Tavola III.12</w:t>
        <w:tab/>
        <w:t>Effetti del Decreto Legge n. 32 del 2019 sull'indebitamento netto della PA</w:t>
      </w:r>
    </w:p>
    <w:p>
      <w:pPr>
        <w:pStyle w:val="BodyText"/>
        <w:tabs>
          <w:tab w:pos="2546" w:val="left" w:leader="none"/>
        </w:tabs>
        <w:spacing w:before="61"/>
        <w:ind w:left="2546" w:right="1671" w:hanging="1419"/>
        <w:rPr>
          <w:rFonts w:ascii="Franklin Gothic Book"/>
        </w:rPr>
      </w:pPr>
      <w:r>
        <w:rPr>
          <w:rFonts w:ascii="Franklin Gothic Book"/>
        </w:rPr>
        <w:t>Tavola III.13</w:t>
        <w:tab/>
        <w:t>Effetti del Decreto Legge n. 34 del 2019 sull'indebitamento netto della PA</w:t>
      </w:r>
    </w:p>
    <w:p>
      <w:pPr>
        <w:pStyle w:val="BodyText"/>
        <w:tabs>
          <w:tab w:pos="2546" w:val="left" w:leader="none"/>
        </w:tabs>
        <w:spacing w:before="60"/>
        <w:ind w:left="1128"/>
        <w:rPr>
          <w:rFonts w:ascii="Franklin Gothic Book"/>
        </w:rPr>
      </w:pPr>
      <w:r>
        <w:rPr>
          <w:rFonts w:ascii="Franklin Gothic Book"/>
        </w:rPr>
        <w:t>Tavola IV.1</w:t>
        <w:tab/>
        <w:t>Raccomandazioni per il 2018 e per il</w:t>
      </w:r>
      <w:r>
        <w:rPr>
          <w:rFonts w:ascii="Franklin Gothic Book"/>
          <w:spacing w:val="-7"/>
        </w:rPr>
        <w:t> </w:t>
      </w:r>
      <w:r>
        <w:rPr>
          <w:rFonts w:ascii="Franklin Gothic Book"/>
        </w:rPr>
        <w:t>2019</w:t>
      </w:r>
    </w:p>
    <w:p>
      <w:pPr>
        <w:pStyle w:val="BodyText"/>
        <w:rPr>
          <w:rFonts w:ascii="Franklin Gothic Book"/>
          <w:sz w:val="24"/>
        </w:rPr>
      </w:pPr>
    </w:p>
    <w:p>
      <w:pPr>
        <w:pStyle w:val="BodyText"/>
        <w:rPr>
          <w:rFonts w:ascii="Franklin Gothic Book"/>
          <w:sz w:val="24"/>
        </w:rPr>
      </w:pPr>
    </w:p>
    <w:p>
      <w:pPr>
        <w:pStyle w:val="BodyText"/>
        <w:spacing w:before="9"/>
        <w:rPr>
          <w:rFonts w:ascii="Franklin Gothic Book"/>
          <w:sz w:val="21"/>
        </w:rPr>
      </w:pPr>
    </w:p>
    <w:p>
      <w:pPr>
        <w:pStyle w:val="Heading1"/>
        <w:spacing w:before="0"/>
        <w:ind w:left="1128"/>
        <w:jc w:val="both"/>
      </w:pPr>
      <w:r>
        <w:rPr>
          <w:color w:val="086D44"/>
        </w:rPr>
        <w:t>INDICE DELLE FIGURE</w:t>
      </w:r>
    </w:p>
    <w:p>
      <w:pPr>
        <w:pStyle w:val="BodyText"/>
        <w:spacing w:before="8"/>
        <w:rPr>
          <w:rFonts w:ascii="Franklin Gothic Heavy"/>
          <w:b/>
          <w:sz w:val="32"/>
        </w:rPr>
      </w:pPr>
    </w:p>
    <w:p>
      <w:pPr>
        <w:pStyle w:val="BodyText"/>
        <w:tabs>
          <w:tab w:pos="2546" w:val="left" w:leader="none"/>
        </w:tabs>
        <w:spacing w:line="297" w:lineRule="auto"/>
        <w:ind w:left="1128" w:right="5958"/>
        <w:rPr>
          <w:rFonts w:ascii="Franklin Gothic Book"/>
        </w:rPr>
      </w:pPr>
      <w:r>
        <w:rPr>
          <w:rFonts w:ascii="Franklin Gothic Book"/>
        </w:rPr>
        <w:t>Figura I.1</w:t>
        <w:tab/>
        <w:t>Prodotto interno lordo Figura II.1</w:t>
        <w:tab/>
        <w:t>PMI globale e per</w:t>
      </w:r>
      <w:r>
        <w:rPr>
          <w:rFonts w:ascii="Franklin Gothic Book"/>
          <w:spacing w:val="-6"/>
        </w:rPr>
        <w:t> </w:t>
      </w:r>
      <w:r>
        <w:rPr>
          <w:rFonts w:ascii="Franklin Gothic Book"/>
        </w:rPr>
        <w:t>settori</w:t>
      </w:r>
    </w:p>
    <w:p>
      <w:pPr>
        <w:pStyle w:val="BodyText"/>
        <w:tabs>
          <w:tab w:pos="2546" w:val="left" w:leader="none"/>
        </w:tabs>
        <w:spacing w:line="295" w:lineRule="auto"/>
        <w:ind w:left="1128" w:right="2381"/>
        <w:rPr>
          <w:rFonts w:ascii="Franklin Gothic Book"/>
        </w:rPr>
      </w:pPr>
      <w:r>
        <w:rPr>
          <w:rFonts w:ascii="Franklin Gothic Book"/>
        </w:rPr>
        <w:t>Figura II.2</w:t>
        <w:tab/>
        <w:t>Prospettive sul tasso di cambio dollaro/euro e prezzo del Brent Figura II.3</w:t>
        <w:tab/>
        <w:t>Prodotto interno lordo e contributi alla crescita</w:t>
      </w:r>
      <w:r>
        <w:rPr>
          <w:rFonts w:ascii="Franklin Gothic Book"/>
          <w:spacing w:val="-14"/>
        </w:rPr>
        <w:t> </w:t>
      </w:r>
      <w:r>
        <w:rPr>
          <w:rFonts w:ascii="Franklin Gothic Book"/>
        </w:rPr>
        <w:t>congiunturali</w:t>
      </w:r>
    </w:p>
    <w:p>
      <w:pPr>
        <w:pStyle w:val="BodyText"/>
        <w:tabs>
          <w:tab w:pos="2546" w:val="left" w:leader="none"/>
        </w:tabs>
        <w:spacing w:before="3"/>
        <w:ind w:left="1128"/>
        <w:rPr>
          <w:rFonts w:ascii="Franklin Gothic Book"/>
        </w:rPr>
      </w:pPr>
      <w:r>
        <w:rPr>
          <w:rFonts w:ascii="Franklin Gothic Book"/>
        </w:rPr>
        <w:t>Figura II.4</w:t>
        <w:tab/>
        <w:t>Trasformazioni dei contratti a tempo indeterminato per</w:t>
      </w:r>
      <w:r>
        <w:rPr>
          <w:rFonts w:ascii="Franklin Gothic Book"/>
          <w:spacing w:val="-8"/>
        </w:rPr>
        <w:t> </w:t>
      </w:r>
      <w:r>
        <w:rPr>
          <w:rFonts w:ascii="Franklin Gothic Book"/>
        </w:rPr>
        <w:t>dimensione</w:t>
      </w:r>
    </w:p>
    <w:p>
      <w:pPr>
        <w:pStyle w:val="BodyText"/>
        <w:spacing w:before="1"/>
        <w:ind w:left="2546"/>
        <w:rPr>
          <w:rFonts w:ascii="Franklin Gothic Book" w:hAnsi="Franklin Gothic Book"/>
        </w:rPr>
      </w:pPr>
      <w:r>
        <w:rPr>
          <w:rFonts w:ascii="Franklin Gothic Book" w:hAnsi="Franklin Gothic Book"/>
        </w:rPr>
        <w:t>d’azienda</w:t>
      </w:r>
    </w:p>
    <w:p>
      <w:pPr>
        <w:spacing w:after="0"/>
        <w:rPr>
          <w:rFonts w:ascii="Franklin Gothic Book" w:hAnsi="Franklin Gothic Book"/>
        </w:rPr>
        <w:sectPr>
          <w:headerReference w:type="even" r:id="rId32"/>
          <w:pgSz w:w="11910" w:h="16840"/>
          <w:pgMar w:header="838" w:footer="866" w:top="1100" w:bottom="1060" w:left="1140" w:right="0"/>
        </w:sectPr>
      </w:pPr>
    </w:p>
    <w:p>
      <w:pPr>
        <w:spacing w:before="80"/>
        <w:ind w:left="278" w:right="0" w:firstLine="0"/>
        <w:jc w:val="left"/>
        <w:rPr>
          <w:rFonts w:ascii="Franklin Gothic Heavy"/>
          <w:b/>
          <w:sz w:val="18"/>
        </w:rPr>
      </w:pPr>
      <w:r>
        <w:rPr/>
        <w:pict>
          <v:line style="position:absolute;mso-position-horizontal-relative:page;mso-position-vertical-relative:paragraph;z-index:-251646976;mso-wrap-distance-left:0;mso-wrap-distance-right:0" from="69.503998pt,17.648544pt" to="483.453998pt,17.648544pt" stroked="true" strokeweight=".48pt" strokecolor="#000000">
            <v:stroke dashstyle="solid"/>
            <w10:wrap type="topAndBottom"/>
          </v:line>
        </w:pict>
      </w:r>
      <w:r>
        <w:rPr>
          <w:rFonts w:ascii="Franklin Gothic Heavy"/>
          <w:b/>
          <w:color w:val="086D44"/>
          <w:sz w:val="18"/>
        </w:rPr>
        <w:t>INDICE</w:t>
      </w:r>
    </w:p>
    <w:p>
      <w:pPr>
        <w:pStyle w:val="BodyText"/>
        <w:rPr>
          <w:rFonts w:ascii="Franklin Gothic Heavy"/>
          <w:b/>
          <w:sz w:val="20"/>
        </w:rPr>
      </w:pPr>
    </w:p>
    <w:p>
      <w:pPr>
        <w:pStyle w:val="BodyText"/>
        <w:rPr>
          <w:rFonts w:ascii="Franklin Gothic Heavy"/>
          <w:b/>
          <w:sz w:val="20"/>
        </w:rPr>
      </w:pPr>
    </w:p>
    <w:p>
      <w:pPr>
        <w:pStyle w:val="BodyText"/>
        <w:rPr>
          <w:rFonts w:ascii="Franklin Gothic Heavy"/>
          <w:b/>
          <w:sz w:val="20"/>
        </w:rPr>
      </w:pPr>
    </w:p>
    <w:p>
      <w:pPr>
        <w:pStyle w:val="BodyText"/>
        <w:rPr>
          <w:rFonts w:ascii="Franklin Gothic Heavy"/>
          <w:b/>
          <w:sz w:val="20"/>
        </w:rPr>
      </w:pPr>
    </w:p>
    <w:p>
      <w:pPr>
        <w:pStyle w:val="BodyText"/>
        <w:rPr>
          <w:rFonts w:ascii="Franklin Gothic Heavy"/>
          <w:b/>
          <w:sz w:val="20"/>
        </w:rPr>
      </w:pPr>
    </w:p>
    <w:p>
      <w:pPr>
        <w:pStyle w:val="BodyText"/>
        <w:rPr>
          <w:rFonts w:ascii="Franklin Gothic Heavy"/>
          <w:b/>
          <w:sz w:val="20"/>
        </w:rPr>
      </w:pPr>
    </w:p>
    <w:p>
      <w:pPr>
        <w:pStyle w:val="BodyText"/>
        <w:rPr>
          <w:rFonts w:ascii="Franklin Gothic Heavy"/>
          <w:b/>
          <w:sz w:val="20"/>
        </w:rPr>
      </w:pPr>
    </w:p>
    <w:p>
      <w:pPr>
        <w:pStyle w:val="Heading1"/>
        <w:spacing w:before="274"/>
      </w:pPr>
      <w:r>
        <w:rPr>
          <w:color w:val="086D44"/>
        </w:rPr>
        <w:t>INDICE DEI BOX</w:t>
      </w:r>
    </w:p>
    <w:p>
      <w:pPr>
        <w:pStyle w:val="BodyText"/>
        <w:spacing w:before="7"/>
        <w:rPr>
          <w:rFonts w:ascii="Franklin Gothic Heavy"/>
          <w:b/>
          <w:sz w:val="32"/>
        </w:rPr>
      </w:pPr>
    </w:p>
    <w:p>
      <w:pPr>
        <w:pStyle w:val="BodyText"/>
        <w:tabs>
          <w:tab w:pos="1685" w:val="left" w:leader="none"/>
        </w:tabs>
        <w:spacing w:line="295" w:lineRule="auto"/>
        <w:ind w:left="1704" w:right="4246" w:hanging="1426"/>
        <w:rPr>
          <w:rFonts w:ascii="Franklin Gothic Book"/>
        </w:rPr>
      </w:pPr>
      <w:r>
        <w:rPr>
          <w:rFonts w:ascii="Franklin Gothic Book"/>
        </w:rPr>
        <w:t>Capitolo</w:t>
      </w:r>
      <w:r>
        <w:rPr>
          <w:rFonts w:ascii="Franklin Gothic Book"/>
          <w:spacing w:val="-1"/>
        </w:rPr>
        <w:t> </w:t>
      </w:r>
      <w:r>
        <w:rPr>
          <w:rFonts w:ascii="Franklin Gothic Book"/>
        </w:rPr>
        <w:t>II</w:t>
        <w:tab/>
        <w:t>Credito al settore privato: recenti andamenti in Italia La performance delle esportazioni</w:t>
      </w:r>
      <w:r>
        <w:rPr>
          <w:rFonts w:ascii="Franklin Gothic Book"/>
          <w:spacing w:val="-5"/>
        </w:rPr>
        <w:t> </w:t>
      </w:r>
      <w:r>
        <w:rPr>
          <w:rFonts w:ascii="Franklin Gothic Book"/>
        </w:rPr>
        <w:t>italiane</w:t>
      </w:r>
    </w:p>
    <w:p>
      <w:pPr>
        <w:pStyle w:val="BodyText"/>
        <w:spacing w:before="3"/>
        <w:ind w:left="1704"/>
        <w:rPr>
          <w:rFonts w:ascii="Franklin Gothic Book"/>
        </w:rPr>
      </w:pPr>
      <w:r>
        <w:rPr>
          <w:rFonts w:ascii="Franklin Gothic Book"/>
        </w:rPr>
        <w:t>La revisione delle stime di crescita per il 2019 e gli anni seguenti</w:t>
      </w:r>
    </w:p>
    <w:p>
      <w:pPr>
        <w:pStyle w:val="BodyText"/>
        <w:spacing w:before="60"/>
        <w:ind w:left="1697"/>
        <w:rPr>
          <w:rFonts w:ascii="Franklin Gothic Book" w:hAnsi="Franklin Gothic Book"/>
        </w:rPr>
      </w:pPr>
      <w:r>
        <w:rPr>
          <w:rFonts w:ascii="Franklin Gothic Book" w:hAnsi="Franklin Gothic Book"/>
        </w:rPr>
        <w:t>Un’analisi di rischio (o di sensitività) sulle variabili esogene</w:t>
      </w:r>
    </w:p>
    <w:p>
      <w:pPr>
        <w:pStyle w:val="BodyText"/>
        <w:spacing w:before="8"/>
        <w:rPr>
          <w:rFonts w:ascii="Franklin Gothic Book"/>
          <w:sz w:val="30"/>
        </w:rPr>
      </w:pPr>
    </w:p>
    <w:p>
      <w:pPr>
        <w:pStyle w:val="BodyText"/>
        <w:tabs>
          <w:tab w:pos="1697" w:val="left" w:leader="none"/>
        </w:tabs>
        <w:spacing w:before="1"/>
        <w:ind w:left="278"/>
        <w:rPr>
          <w:rFonts w:ascii="Franklin Gothic Book"/>
        </w:rPr>
      </w:pPr>
      <w:r>
        <w:rPr>
          <w:rFonts w:ascii="Franklin Gothic Book"/>
        </w:rPr>
        <w:t>Capitolo</w:t>
      </w:r>
      <w:r>
        <w:rPr>
          <w:rFonts w:ascii="Franklin Gothic Book"/>
          <w:spacing w:val="-1"/>
        </w:rPr>
        <w:t> </w:t>
      </w:r>
      <w:r>
        <w:rPr>
          <w:rFonts w:ascii="Franklin Gothic Book"/>
        </w:rPr>
        <w:t>III</w:t>
        <w:tab/>
        <w:t>Le</w:t>
      </w:r>
      <w:r>
        <w:rPr>
          <w:rFonts w:ascii="Franklin Gothic Book"/>
          <w:spacing w:val="19"/>
        </w:rPr>
        <w:t> </w:t>
      </w:r>
      <w:r>
        <w:rPr>
          <w:rFonts w:ascii="Franklin Gothic Book"/>
        </w:rPr>
        <w:t>tendenze</w:t>
      </w:r>
      <w:r>
        <w:rPr>
          <w:rFonts w:ascii="Franklin Gothic Book"/>
          <w:spacing w:val="16"/>
        </w:rPr>
        <w:t> </w:t>
      </w:r>
      <w:r>
        <w:rPr>
          <w:rFonts w:ascii="Franklin Gothic Book"/>
        </w:rPr>
        <w:t>di</w:t>
      </w:r>
      <w:r>
        <w:rPr>
          <w:rFonts w:ascii="Franklin Gothic Book"/>
          <w:spacing w:val="18"/>
        </w:rPr>
        <w:t> </w:t>
      </w:r>
      <w:r>
        <w:rPr>
          <w:rFonts w:ascii="Franklin Gothic Book"/>
        </w:rPr>
        <w:t>medio-lungo</w:t>
      </w:r>
      <w:r>
        <w:rPr>
          <w:rFonts w:ascii="Franklin Gothic Book"/>
          <w:spacing w:val="18"/>
        </w:rPr>
        <w:t> </w:t>
      </w:r>
      <w:r>
        <w:rPr>
          <w:rFonts w:ascii="Franklin Gothic Book"/>
        </w:rPr>
        <w:t>periodo</w:t>
      </w:r>
      <w:r>
        <w:rPr>
          <w:rFonts w:ascii="Franklin Gothic Book"/>
          <w:spacing w:val="17"/>
        </w:rPr>
        <w:t> </w:t>
      </w:r>
      <w:r>
        <w:rPr>
          <w:rFonts w:ascii="Franklin Gothic Book"/>
        </w:rPr>
        <w:t>del</w:t>
      </w:r>
      <w:r>
        <w:rPr>
          <w:rFonts w:ascii="Franklin Gothic Book"/>
          <w:spacing w:val="15"/>
        </w:rPr>
        <w:t> </w:t>
      </w:r>
      <w:r>
        <w:rPr>
          <w:rFonts w:ascii="Franklin Gothic Book"/>
        </w:rPr>
        <w:t>sistema</w:t>
      </w:r>
      <w:r>
        <w:rPr>
          <w:rFonts w:ascii="Franklin Gothic Book"/>
          <w:spacing w:val="17"/>
        </w:rPr>
        <w:t> </w:t>
      </w:r>
      <w:r>
        <w:rPr>
          <w:rFonts w:ascii="Franklin Gothic Book"/>
        </w:rPr>
        <w:t>pensionistico</w:t>
      </w:r>
      <w:r>
        <w:rPr>
          <w:rFonts w:ascii="Franklin Gothic Book"/>
          <w:spacing w:val="18"/>
        </w:rPr>
        <w:t> </w:t>
      </w:r>
      <w:r>
        <w:rPr>
          <w:rFonts w:ascii="Franklin Gothic Book"/>
        </w:rPr>
        <w:t>italiano</w:t>
      </w:r>
      <w:r>
        <w:rPr>
          <w:rFonts w:ascii="Franklin Gothic Book"/>
          <w:spacing w:val="17"/>
        </w:rPr>
        <w:t> </w:t>
      </w:r>
      <w:r>
        <w:rPr>
          <w:rFonts w:ascii="Franklin Gothic Book"/>
        </w:rPr>
        <w:t>e</w:t>
      </w:r>
    </w:p>
    <w:p>
      <w:pPr>
        <w:pStyle w:val="BodyText"/>
        <w:ind w:left="1697"/>
        <w:rPr>
          <w:rFonts w:ascii="Franklin Gothic Book" w:hAnsi="Franklin Gothic Book"/>
        </w:rPr>
      </w:pPr>
      <w:r>
        <w:rPr>
          <w:rFonts w:ascii="Franklin Gothic Book" w:hAnsi="Franklin Gothic Book"/>
        </w:rPr>
        <w:t>delle spese pubbliche connesse all’invecchiamento</w:t>
      </w:r>
    </w:p>
    <w:p>
      <w:pPr>
        <w:pStyle w:val="BodyText"/>
        <w:spacing w:before="60"/>
        <w:ind w:left="1697" w:right="2835"/>
        <w:rPr>
          <w:rFonts w:ascii="Franklin Gothic Book" w:hAnsi="Franklin Gothic Book"/>
        </w:rPr>
      </w:pPr>
      <w:r>
        <w:rPr>
          <w:rFonts w:ascii="Franklin Gothic Book" w:hAnsi="Franklin Gothic Book"/>
        </w:rPr>
        <w:t>La stima del Pil potenziale e dell’</w:t>
      </w:r>
      <w:r>
        <w:rPr>
          <w:rFonts w:ascii="Franklin Gothic Book" w:hAnsi="Franklin Gothic Book"/>
          <w:i/>
        </w:rPr>
        <w:t>output gap </w:t>
      </w:r>
      <w:r>
        <w:rPr>
          <w:rFonts w:ascii="Franklin Gothic Book" w:hAnsi="Franklin Gothic Book"/>
        </w:rPr>
        <w:t>nelle diverse istituzioni internazionali</w:t>
      </w:r>
    </w:p>
    <w:p>
      <w:pPr>
        <w:pStyle w:val="BodyText"/>
        <w:spacing w:before="58"/>
        <w:ind w:left="1697"/>
        <w:rPr>
          <w:rFonts w:ascii="Franklin Gothic Book"/>
        </w:rPr>
      </w:pPr>
      <w:r>
        <w:rPr>
          <w:rFonts w:ascii="Franklin Gothic Book"/>
        </w:rPr>
        <w:t>Semplificazioni e sperimentazioni in materia contabile</w:t>
      </w:r>
    </w:p>
    <w:p>
      <w:pPr>
        <w:pStyle w:val="BodyText"/>
        <w:spacing w:before="61"/>
        <w:ind w:left="1697"/>
        <w:rPr>
          <w:rFonts w:ascii="Franklin Gothic Book" w:hAnsi="Franklin Gothic Book"/>
        </w:rPr>
      </w:pPr>
      <w:r>
        <w:rPr>
          <w:rFonts w:ascii="Franklin Gothic Book" w:hAnsi="Franklin Gothic Book"/>
        </w:rPr>
        <w:t>Valutazione degli incassi derivanti dall’attività di contrasto dell’evasione</w:t>
      </w:r>
    </w:p>
    <w:p>
      <w:pPr>
        <w:pStyle w:val="BodyText"/>
        <w:ind w:left="1697"/>
        <w:rPr>
          <w:rFonts w:ascii="Franklin Gothic Book"/>
        </w:rPr>
      </w:pPr>
      <w:r>
        <w:rPr>
          <w:rFonts w:ascii="Franklin Gothic Book"/>
        </w:rPr>
        <w:t>fiscale</w:t>
      </w:r>
    </w:p>
    <w:p>
      <w:pPr>
        <w:spacing w:after="0"/>
        <w:rPr>
          <w:rFonts w:ascii="Franklin Gothic Book"/>
        </w:rPr>
        <w:sectPr>
          <w:headerReference w:type="default" r:id="rId33"/>
          <w:footerReference w:type="default" r:id="rId34"/>
          <w:footerReference w:type="even" r:id="rId35"/>
          <w:pgSz w:w="11910" w:h="16840"/>
          <w:pgMar w:header="0" w:footer="866" w:top="740" w:bottom="1060" w:left="1140" w:right="0"/>
          <w:pgNumType w:start="9"/>
        </w:sectPr>
      </w:pPr>
    </w:p>
    <w:p>
      <w:pPr>
        <w:pStyle w:val="BodyText"/>
        <w:spacing w:before="4"/>
        <w:rPr>
          <w:rFonts w:ascii="Times New Roman"/>
          <w:sz w:val="17"/>
        </w:rPr>
      </w:pPr>
    </w:p>
    <w:p>
      <w:pPr>
        <w:spacing w:after="0"/>
        <w:rPr>
          <w:rFonts w:ascii="Times New Roman"/>
          <w:sz w:val="17"/>
        </w:rPr>
        <w:sectPr>
          <w:headerReference w:type="even" r:id="rId36"/>
          <w:pgSz w:w="11910" w:h="16840"/>
          <w:pgMar w:header="838" w:footer="866" w:top="1100" w:bottom="1060" w:left="1140" w:right="0"/>
        </w:sectPr>
      </w:pPr>
    </w:p>
    <w:p>
      <w:pPr>
        <w:pStyle w:val="BodyText"/>
        <w:spacing w:line="20" w:lineRule="exact"/>
        <w:ind w:left="245"/>
        <w:rPr>
          <w:rFonts w:ascii="Times New Roman"/>
          <w:sz w:val="2"/>
        </w:rPr>
      </w:pPr>
      <w:r>
        <w:rPr>
          <w:rFonts w:ascii="Times New Roman"/>
          <w:sz w:val="2"/>
        </w:rPr>
        <w:pict>
          <v:group style="width:413.95pt;height:.5pt;mso-position-horizontal-relative:char;mso-position-vertical-relative:line" coordorigin="0,0" coordsize="8279,10">
            <v:line style="position:absolute" from="0,5" to="8279,5" stroked="true" strokeweight=".48pt" strokecolor="#000000">
              <v:stroke dashstyle="solid"/>
            </v:line>
          </v:group>
        </w:pict>
      </w:r>
      <w:r>
        <w:rPr>
          <w:rFonts w:ascii="Times New Roman"/>
          <w:sz w:val="2"/>
        </w:rPr>
      </w:r>
    </w:p>
    <w:p>
      <w:pPr>
        <w:pStyle w:val="BodyText"/>
        <w:rPr>
          <w:rFonts w:ascii="Times New Roman"/>
          <w:sz w:val="20"/>
        </w:rPr>
      </w:pPr>
    </w:p>
    <w:p>
      <w:pPr>
        <w:pStyle w:val="BodyText"/>
        <w:rPr>
          <w:rFonts w:ascii="Times New Roman"/>
          <w:sz w:val="20"/>
        </w:rPr>
      </w:pPr>
    </w:p>
    <w:p>
      <w:pPr>
        <w:pStyle w:val="BodyText"/>
        <w:spacing w:before="5"/>
        <w:rPr>
          <w:rFonts w:ascii="Times New Roman"/>
        </w:rPr>
      </w:pPr>
    </w:p>
    <w:p>
      <w:pPr>
        <w:pStyle w:val="Heading1"/>
        <w:numPr>
          <w:ilvl w:val="0"/>
          <w:numId w:val="2"/>
        </w:numPr>
        <w:tabs>
          <w:tab w:pos="551" w:val="left" w:leader="none"/>
        </w:tabs>
        <w:spacing w:line="240" w:lineRule="auto" w:before="99" w:after="0"/>
        <w:ind w:left="562" w:right="2655" w:hanging="284"/>
        <w:jc w:val="left"/>
      </w:pPr>
      <w:bookmarkStart w:name="CAPITOLO I" w:id="5"/>
      <w:bookmarkEnd w:id="5"/>
      <w:r>
        <w:rPr>
          <w:b w:val="0"/>
        </w:rPr>
      </w:r>
      <w:bookmarkStart w:name="CAPITOLO I" w:id="6"/>
      <w:bookmarkEnd w:id="6"/>
      <w:r>
        <w:rPr>
          <w:color w:val="086D44"/>
        </w:rPr>
        <w:t>QUA</w:t>
      </w:r>
      <w:r>
        <w:rPr>
          <w:color w:val="086D44"/>
        </w:rPr>
        <w:t>DRO COMPLESSIVO E OBIETTIVI DI POLITICA</w:t>
      </w:r>
      <w:r>
        <w:rPr>
          <w:color w:val="086D44"/>
          <w:spacing w:val="-25"/>
        </w:rPr>
        <w:t> </w:t>
      </w:r>
      <w:r>
        <w:rPr>
          <w:color w:val="086D44"/>
        </w:rPr>
        <w:t>DI BILANCIO</w:t>
      </w:r>
    </w:p>
    <w:p>
      <w:pPr>
        <w:pStyle w:val="BodyText"/>
        <w:rPr>
          <w:rFonts w:ascii="Franklin Gothic Heavy"/>
          <w:b/>
          <w:sz w:val="36"/>
        </w:rPr>
      </w:pPr>
    </w:p>
    <w:p>
      <w:pPr>
        <w:pStyle w:val="BodyText"/>
        <w:rPr>
          <w:rFonts w:ascii="Franklin Gothic Heavy"/>
          <w:b/>
          <w:sz w:val="36"/>
        </w:rPr>
      </w:pPr>
    </w:p>
    <w:p>
      <w:pPr>
        <w:pStyle w:val="BodyText"/>
        <w:rPr>
          <w:rFonts w:ascii="Franklin Gothic Heavy"/>
          <w:b/>
          <w:sz w:val="36"/>
        </w:rPr>
      </w:pPr>
    </w:p>
    <w:p>
      <w:pPr>
        <w:pStyle w:val="BodyText"/>
        <w:spacing w:before="2"/>
        <w:rPr>
          <w:rFonts w:ascii="Franklin Gothic Heavy"/>
          <w:b/>
          <w:sz w:val="30"/>
        </w:rPr>
      </w:pPr>
    </w:p>
    <w:p>
      <w:pPr>
        <w:pStyle w:val="Heading2"/>
        <w:numPr>
          <w:ilvl w:val="1"/>
          <w:numId w:val="2"/>
        </w:numPr>
        <w:tabs>
          <w:tab w:pos="651" w:val="left" w:leader="none"/>
        </w:tabs>
        <w:spacing w:line="240" w:lineRule="auto" w:before="0" w:after="0"/>
        <w:ind w:left="650" w:right="0" w:hanging="373"/>
        <w:jc w:val="left"/>
      </w:pPr>
      <w:r>
        <w:rPr>
          <w:color w:val="086D44"/>
        </w:rPr>
        <w:t>TENDENZE RECENTI E PROSPETTIVE PER L’ECONOMIA</w:t>
      </w:r>
      <w:r>
        <w:rPr>
          <w:color w:val="086D44"/>
          <w:spacing w:val="-6"/>
        </w:rPr>
        <w:t> </w:t>
      </w:r>
      <w:r>
        <w:rPr>
          <w:color w:val="086D44"/>
        </w:rPr>
        <w:t>ITALIANA</w:t>
      </w:r>
    </w:p>
    <w:p>
      <w:pPr>
        <w:pStyle w:val="BodyText"/>
        <w:spacing w:before="8"/>
        <w:rPr>
          <w:rFonts w:ascii="Franklin Gothic Heavy"/>
          <w:b/>
        </w:rPr>
      </w:pPr>
    </w:p>
    <w:p>
      <w:pPr>
        <w:pStyle w:val="BodyText"/>
        <w:spacing w:line="252" w:lineRule="auto"/>
        <w:ind w:left="278" w:right="2265" w:firstLine="453"/>
        <w:jc w:val="both"/>
      </w:pPr>
      <w:r>
        <w:rPr/>
        <w:t>Il primo semestre del 2019 ha visto una lieve ripresa dell’attività economica dopo</w:t>
      </w:r>
      <w:r>
        <w:rPr>
          <w:spacing w:val="-5"/>
        </w:rPr>
        <w:t> </w:t>
      </w:r>
      <w:r>
        <w:rPr/>
        <w:t>la</w:t>
      </w:r>
      <w:r>
        <w:rPr>
          <w:spacing w:val="-4"/>
        </w:rPr>
        <w:t> </w:t>
      </w:r>
      <w:r>
        <w:rPr/>
        <w:t>flessione</w:t>
      </w:r>
      <w:r>
        <w:rPr>
          <w:spacing w:val="-5"/>
        </w:rPr>
        <w:t> </w:t>
      </w:r>
      <w:r>
        <w:rPr/>
        <w:t>della</w:t>
      </w:r>
      <w:r>
        <w:rPr>
          <w:spacing w:val="-6"/>
        </w:rPr>
        <w:t> </w:t>
      </w:r>
      <w:r>
        <w:rPr/>
        <w:t>seconda</w:t>
      </w:r>
      <w:r>
        <w:rPr>
          <w:spacing w:val="-5"/>
        </w:rPr>
        <w:t> </w:t>
      </w:r>
      <w:r>
        <w:rPr/>
        <w:t>metà</w:t>
      </w:r>
      <w:r>
        <w:rPr>
          <w:spacing w:val="-4"/>
        </w:rPr>
        <w:t> </w:t>
      </w:r>
      <w:r>
        <w:rPr/>
        <w:t>del</w:t>
      </w:r>
      <w:r>
        <w:rPr>
          <w:spacing w:val="-5"/>
        </w:rPr>
        <w:t> </w:t>
      </w:r>
      <w:r>
        <w:rPr/>
        <w:t>2018.</w:t>
      </w:r>
      <w:r>
        <w:rPr>
          <w:spacing w:val="-6"/>
        </w:rPr>
        <w:t> </w:t>
      </w:r>
      <w:r>
        <w:rPr/>
        <w:t>Tuttavia,</w:t>
      </w:r>
      <w:r>
        <w:rPr>
          <w:spacing w:val="-2"/>
        </w:rPr>
        <w:t> </w:t>
      </w:r>
      <w:r>
        <w:rPr/>
        <w:t>sia</w:t>
      </w:r>
      <w:r>
        <w:rPr>
          <w:spacing w:val="-5"/>
        </w:rPr>
        <w:t> </w:t>
      </w:r>
      <w:r>
        <w:rPr/>
        <w:t>l’esiguità</w:t>
      </w:r>
      <w:r>
        <w:rPr>
          <w:spacing w:val="-4"/>
        </w:rPr>
        <w:t> </w:t>
      </w:r>
      <w:r>
        <w:rPr/>
        <w:t>del</w:t>
      </w:r>
      <w:r>
        <w:rPr>
          <w:spacing w:val="-4"/>
        </w:rPr>
        <w:t> </w:t>
      </w:r>
      <w:r>
        <w:rPr/>
        <w:t>recupero registrato dal PIL rispetto al quarto trimestre del 2018 (0,15 punti percentuali in termini reali),</w:t>
      </w:r>
      <w:r>
        <w:rPr>
          <w:vertAlign w:val="superscript"/>
        </w:rPr>
        <w:t>1</w:t>
      </w:r>
      <w:r>
        <w:rPr>
          <w:vertAlign w:val="baseline"/>
        </w:rPr>
        <w:t> sia il permanere di una sostanziale debolezza degli indicatori congiunturali per i rimanenti mesi dell’anno portano a limare la previsione di crescita annuale del PIL reale allo 0,1 per cento, dallo 0,2 del</w:t>
      </w:r>
      <w:r>
        <w:rPr>
          <w:spacing w:val="-18"/>
          <w:vertAlign w:val="baseline"/>
        </w:rPr>
        <w:t> </w:t>
      </w:r>
      <w:r>
        <w:rPr>
          <w:vertAlign w:val="baseline"/>
        </w:rPr>
        <w:t>DEF.</w:t>
      </w:r>
    </w:p>
    <w:p>
      <w:pPr>
        <w:pStyle w:val="BodyText"/>
        <w:spacing w:line="252" w:lineRule="auto" w:before="2"/>
        <w:ind w:left="278" w:right="2265" w:firstLine="453"/>
        <w:jc w:val="both"/>
      </w:pPr>
      <w:r>
        <w:rPr/>
        <w:t>In conseguenza di scarse pressioni inflazionistiche e sulla base dei dati del primo semestre, la variazione del deflatore del PIL viene anch’essa lievemente ridotta. Nel complesso, la stima di crescita nominale per il 2019 scende all’1,0 per cento, dall’1,2 per cento del DEF.</w:t>
      </w:r>
    </w:p>
    <w:p>
      <w:pPr>
        <w:pStyle w:val="BodyText"/>
        <w:spacing w:line="252" w:lineRule="auto"/>
        <w:ind w:left="278" w:right="2262" w:firstLine="453"/>
        <w:jc w:val="both"/>
      </w:pPr>
      <w:r>
        <w:rPr/>
        <w:pict>
          <v:group style="position:absolute;margin-left:70.944pt;margin-top:94.324631pt;width:411.1pt;height:2.9pt;mso-position-horizontal-relative:page;mso-position-vertical-relative:paragraph;z-index:251676672" coordorigin="1419,1886" coordsize="8222,58">
            <v:rect style="position:absolute;left:1418;top:1886;width:8222;height:58" filled="true" fillcolor="#086d44" stroked="false">
              <v:fill type="solid"/>
            </v:rect>
            <v:rect style="position:absolute;left:1418;top:1886;width:8222;height:58" filled="true" fillcolor="#086d44" stroked="false">
              <v:fill type="solid"/>
            </v:rect>
            <w10:wrap type="none"/>
          </v:group>
        </w:pict>
      </w:r>
      <w:r>
        <w:rPr/>
        <w:t>La sostanziale stagnazione dell’attività economica nel 2019 sarebbe la risultante</w:t>
      </w:r>
      <w:r>
        <w:rPr>
          <w:spacing w:val="-13"/>
        </w:rPr>
        <w:t> </w:t>
      </w:r>
      <w:r>
        <w:rPr/>
        <w:t>di</w:t>
      </w:r>
      <w:r>
        <w:rPr>
          <w:spacing w:val="-13"/>
        </w:rPr>
        <w:t> </w:t>
      </w:r>
      <w:r>
        <w:rPr/>
        <w:t>una</w:t>
      </w:r>
      <w:r>
        <w:rPr>
          <w:spacing w:val="-13"/>
        </w:rPr>
        <w:t> </w:t>
      </w:r>
      <w:r>
        <w:rPr/>
        <w:t>debole</w:t>
      </w:r>
      <w:r>
        <w:rPr>
          <w:spacing w:val="-15"/>
        </w:rPr>
        <w:t> </w:t>
      </w:r>
      <w:r>
        <w:rPr/>
        <w:t>crescita</w:t>
      </w:r>
      <w:r>
        <w:rPr>
          <w:spacing w:val="-13"/>
        </w:rPr>
        <w:t> </w:t>
      </w:r>
      <w:r>
        <w:rPr/>
        <w:t>della</w:t>
      </w:r>
      <w:r>
        <w:rPr>
          <w:spacing w:val="-14"/>
        </w:rPr>
        <w:t> </w:t>
      </w:r>
      <w:r>
        <w:rPr/>
        <w:t>domanda</w:t>
      </w:r>
      <w:r>
        <w:rPr>
          <w:spacing w:val="-13"/>
        </w:rPr>
        <w:t> </w:t>
      </w:r>
      <w:r>
        <w:rPr/>
        <w:t>interna,</w:t>
      </w:r>
      <w:r>
        <w:rPr>
          <w:spacing w:val="-12"/>
        </w:rPr>
        <w:t> </w:t>
      </w:r>
      <w:r>
        <w:rPr/>
        <w:t>di</w:t>
      </w:r>
      <w:r>
        <w:rPr>
          <w:spacing w:val="-13"/>
        </w:rPr>
        <w:t> </w:t>
      </w:r>
      <w:r>
        <w:rPr/>
        <w:t>un</w:t>
      </w:r>
      <w:r>
        <w:rPr>
          <w:spacing w:val="-13"/>
        </w:rPr>
        <w:t> </w:t>
      </w:r>
      <w:r>
        <w:rPr/>
        <w:t>accentuato</w:t>
      </w:r>
      <w:r>
        <w:rPr>
          <w:spacing w:val="-13"/>
        </w:rPr>
        <w:t> </w:t>
      </w:r>
      <w:r>
        <w:rPr/>
        <w:t>decumulo di scorte da parte delle imprese e di un contributo netto positivo alla crescita da parte del commercio estero. Il tasso di crescita dei consumi delle famiglie (0,4 per cento in media d’anno) sarebbe, infatti, al livello più basso dal 2014 e il ritmo di aumento degli investimenti scenderebbe in confronto al</w:t>
      </w:r>
      <w:r>
        <w:rPr>
          <w:spacing w:val="-10"/>
        </w:rPr>
        <w:t> </w:t>
      </w:r>
      <w:r>
        <w:rPr/>
        <w:t>2018.</w:t>
      </w:r>
    </w:p>
    <w:p>
      <w:pPr>
        <w:pStyle w:val="BodyText"/>
        <w:spacing w:before="8"/>
        <w:rPr>
          <w:sz w:val="26"/>
        </w:rPr>
      </w:pPr>
      <w:r>
        <w:rPr/>
        <w:pict>
          <v:shape style="position:absolute;margin-left:70.944pt;margin-top:16.74205pt;width:411.1pt;height:9.050pt;mso-position-horizontal-relative:page;mso-position-vertical-relative:paragraph;z-index:-251644928;mso-wrap-distance-left:0;mso-wrap-distance-right:0" type="#_x0000_t202" filled="true" fillcolor="#086d44" stroked="false">
            <v:textbox inset="0,0,0,0">
              <w:txbxContent>
                <w:p>
                  <w:pPr>
                    <w:spacing w:line="180" w:lineRule="exact" w:before="0"/>
                    <w:ind w:left="28" w:right="0" w:firstLine="0"/>
                    <w:jc w:val="left"/>
                    <w:rPr>
                      <w:rFonts w:ascii="Franklin Gothic Heavy"/>
                      <w:b/>
                      <w:sz w:val="17"/>
                    </w:rPr>
                  </w:pPr>
                  <w:r>
                    <w:rPr>
                      <w:rFonts w:ascii="Franklin Gothic Heavy"/>
                      <w:b/>
                      <w:color w:val="EFEFEF"/>
                      <w:sz w:val="17"/>
                    </w:rPr>
                    <w:t>FIGURA I.1: PRODOTTO INTERNO LORDO (variazione percentuale)</w:t>
                  </w:r>
                </w:p>
              </w:txbxContent>
            </v:textbox>
            <v:fill type="solid"/>
            <w10:wrap type="topAndBottom"/>
          </v:shape>
        </w:pict>
      </w:r>
    </w:p>
    <w:p>
      <w:pPr>
        <w:pStyle w:val="BodyText"/>
        <w:spacing w:line="57" w:lineRule="exact"/>
        <w:ind w:left="278"/>
        <w:rPr>
          <w:sz w:val="5"/>
        </w:rPr>
      </w:pPr>
      <w:r>
        <w:rPr>
          <w:position w:val="0"/>
          <w:sz w:val="5"/>
        </w:rPr>
        <w:pict>
          <v:group style="width:411.1pt;height:2.9pt;mso-position-horizontal-relative:char;mso-position-vertical-relative:line" coordorigin="0,0" coordsize="8222,58">
            <v:rect style="position:absolute;left:0;top:0;width:8222;height:58" filled="true" fillcolor="#086d44" stroked="false">
              <v:fill type="solid"/>
            </v:rect>
            <v:rect style="position:absolute;left:0;top:0;width:8222;height:58" filled="true" fillcolor="#086d44" stroked="false">
              <v:fill type="solid"/>
            </v:rect>
          </v:group>
        </w:pict>
      </w:r>
      <w:r>
        <w:rPr>
          <w:position w:val="0"/>
          <w:sz w:val="5"/>
        </w:rPr>
      </w:r>
    </w:p>
    <w:p>
      <w:pPr>
        <w:spacing w:before="37"/>
        <w:ind w:left="557" w:right="0" w:firstLine="0"/>
        <w:jc w:val="left"/>
        <w:rPr>
          <w:sz w:val="16"/>
        </w:rPr>
      </w:pPr>
      <w:r>
        <w:rPr/>
        <w:pict>
          <v:group style="position:absolute;margin-left:93.691002pt;margin-top:6.316718pt;width:378.15pt;height:173.65pt;mso-position-horizontal-relative:page;mso-position-vertical-relative:paragraph;z-index:251678720" coordorigin="1874,126" coordsize="7563,3473">
            <v:rect style="position:absolute;left:1923;top:134;width:7505;height:3458" filled="false" stroked="true" strokeweight=".75pt" strokecolor="#000000">
              <v:stroke dashstyle="solid"/>
            </v:rect>
            <v:shape style="position:absolute;left:2053;top:1671;width:519;height:1428" coordorigin="2053,1671" coordsize="519,1428" path="m2053,1671l2053,3099m2312,1671l2312,2399m2572,1671l2572,2511e" filled="false" stroked="true" strokeweight="5.16pt" strokecolor="#086939">
              <v:path arrowok="t"/>
              <v:stroke dashstyle="solid"/>
            </v:shape>
            <v:line style="position:absolute" from="2830,1671" to="2830,3236" stroked="true" strokeweight="5.28pt" strokecolor="#086939">
              <v:stroke dashstyle="solid"/>
            </v:line>
            <v:rect style="position:absolute;left:3036;top:1671;width:104;height:5" filled="true" fillcolor="#086939" stroked="false">
              <v:fill opacity="63480f" type="solid"/>
            </v:rect>
            <v:shape style="position:absolute;left:3346;top:1066;width:519;height:893" coordorigin="3347,1067" coordsize="519,893" path="m3347,1067l3347,1671m3606,1671l3606,1959m3865,1508l3865,1671e" filled="false" stroked="true" strokeweight="5.16pt" strokecolor="#086939">
              <v:path arrowok="t"/>
              <v:stroke dashstyle="solid"/>
            </v:shape>
            <v:line style="position:absolute" from="4124,1671" to="4124,1830" stroked="true" strokeweight="5.16pt" strokecolor="#086939">
              <v:stroke dashstyle="solid"/>
            </v:line>
            <v:line style="position:absolute" from="4382,1307" to="4382,1671" stroked="true" strokeweight="5.28pt" strokecolor="#086939">
              <v:stroke dashstyle="solid"/>
            </v:line>
            <v:line style="position:absolute" from="4900,1333" to="4900,1671" stroked="true" strokeweight="5.16pt" strokecolor="#086939">
              <v:stroke dashstyle="solid"/>
            </v:line>
            <v:line style="position:absolute" from="5159,1093" to="5159,1671" stroked="true" strokeweight="5.16pt" strokecolor="#086939">
              <v:stroke dashstyle="solid"/>
            </v:line>
            <v:shape style="position:absolute;left:5418;top:1085;width:260;height:586" coordorigin="5418,1086" coordsize="260,586" path="m5418,1251l5418,1671m5677,1086l5677,1671e" filled="false" stroked="true" strokeweight="5.16pt" strokecolor="#086939">
              <v:path arrowok="t"/>
              <v:stroke dashstyle="solid"/>
            </v:shape>
            <v:line style="position:absolute" from="5934,1309" to="5934,1671" stroked="true" strokeweight="5.16pt" strokecolor="#086939">
              <v:stroke dashstyle="solid"/>
            </v:line>
            <v:line style="position:absolute" from="6193,1328" to="6193,1671" stroked="true" strokeweight="5.16pt" strokecolor="#086939">
              <v:stroke dashstyle="solid"/>
            </v:line>
            <v:line style="position:absolute" from="6452,1083" to="6452,1671" stroked="true" strokeweight="5.16pt" strokecolor="#086939">
              <v:stroke dashstyle="solid"/>
            </v:line>
            <v:shape style="position:absolute;left:6711;top:821;width:260;height:850" coordorigin="6712,822" coordsize="260,850" path="m6712,947l6712,1671m6971,822l6971,1671e" filled="false" stroked="true" strokeweight="5.16pt" strokecolor="#086939">
              <v:path arrowok="t"/>
              <v:stroke dashstyle="solid"/>
            </v:shape>
            <v:line style="position:absolute" from="7229,1091" to="7229,1671" stroked="true" strokeweight="5.28pt" strokecolor="#086939">
              <v:stroke dashstyle="solid"/>
            </v:line>
            <v:line style="position:absolute" from="7487,1023" to="7487,1671" stroked="true" strokeweight="5.16pt" strokecolor="#086939">
              <v:stroke dashstyle="solid"/>
            </v:line>
            <v:shape style="position:absolute;left:7746;top:1090;width:778;height:771" coordorigin="7746,1091" coordsize="778,771" path="m7746,1091l7746,1671m8005,1359l8005,1671m8524,1671l8524,1861e" filled="false" stroked="true" strokeweight="5.16pt" strokecolor="#086939">
              <v:path arrowok="t"/>
              <v:stroke dashstyle="solid"/>
            </v:shape>
            <v:rect style="position:absolute;left:8728;top:1671;width:106;height:120" filled="true" fillcolor="#086939" stroked="false">
              <v:fill opacity="63480f" type="solid"/>
            </v:rect>
            <v:line style="position:absolute" from="9040,1487" to="9040,1671" stroked="true" strokeweight="5.16pt" strokecolor="#086939">
              <v:stroke dashstyle="solid"/>
            </v:line>
            <v:shape style="position:absolute;left:2001;top:1671;width:881;height:1565" coordorigin="2002,1671" coordsize="881,1565" path="m2002,3099l2105,3099,2105,1671,2002,1671,2002,3099xm2261,2399l2364,2399,2364,1671,2261,1671,2261,2399xm2520,2511l2623,2511,2623,1671,2520,1671,2520,2511xm2777,3236l2882,3236,2882,1671,2777,1671,2777,3236xe" filled="false" stroked="true" strokeweight="2.5pt" strokecolor="#086939">
              <v:path arrowok="t"/>
              <v:stroke dashstyle="solid"/>
            </v:shape>
            <v:line style="position:absolute" from="3011,1674" to="3164,1674" stroked="true" strokeweight="2.74pt" strokecolor="#086939">
              <v:stroke dashstyle="solid"/>
            </v:line>
            <v:shape style="position:absolute;left:3295;top:1066;width:1140;height:893" coordorigin="3295,1067" coordsize="1140,893" path="m3295,1067l3398,1067,3398,1671,3295,1671,3295,1067xm3554,1959l3658,1959,3658,1671,3554,1671,3554,1959xm3814,1508l3917,1508,3917,1671,3814,1671,3814,1508xm4073,1830l4176,1830,4176,1671,4073,1671,4073,1830xm4330,1307l4435,1307,4435,1671,4330,1671,4330,1307xe" filled="false" stroked="true" strokeweight="2.5pt" strokecolor="#086939">
              <v:path arrowok="t"/>
              <v:stroke dashstyle="solid"/>
            </v:shape>
            <v:line style="position:absolute" from="4564,1699" to="4717,1699" stroked="true" strokeweight="5.26pt" strokecolor="#086939">
              <v:stroke dashstyle="solid"/>
            </v:line>
            <v:shape style="position:absolute;left:4848;top:821;width:3209;height:850" coordorigin="4848,822" coordsize="3209,850" path="m4848,1333l4951,1333,4951,1671,4848,1671,4848,1333xm5107,1093l5210,1093,5210,1671,5107,1671,5107,1093xm5366,1251l5470,1251,5470,1671,5366,1671,5366,1251xm5626,1086l5729,1086,5729,1671,5626,1671,5626,1086xm5882,1309l5986,1309,5986,1671,5882,1671,5882,1309xm6142,1328l6245,1328,6245,1671,6142,1671,6142,1328xm6401,1083l6504,1083,6504,1671,6401,1671,6401,1083xm6660,947l6763,947,6763,1671,6660,1671,6660,947xm6919,822l7022,822,7022,1671,6919,1671,6919,822xm7176,1091l7282,1091,7282,1671,7176,1671,7176,1091xm7435,1023l7538,1023,7538,1671,7435,1671,7435,1023xm7694,1091l7798,1091,7798,1671,7694,1671,7694,1091xm7954,1359l8057,1359,8057,1671,7954,1671,7954,1359xe" filled="false" stroked="true" strokeweight="2.5pt" strokecolor="#086939">
              <v:path arrowok="t"/>
              <v:stroke dashstyle="solid"/>
            </v:shape>
            <v:line style="position:absolute" from="8188,1650" to="8341,1650" stroked="true" strokeweight="4.66pt" strokecolor="#086939">
              <v:stroke dashstyle="solid"/>
            </v:line>
            <v:shape style="position:absolute;left:8472;top:1486;width:620;height:375" coordorigin="8472,1487" coordsize="620,375" path="m8472,1861l8575,1861,8575,1671,8472,1671,8472,1861xm8729,1791l8834,1791,8834,1671,8729,1671,8729,1791xm8988,1487l9091,1487,9091,1671,8988,1671,8988,1487xe" filled="false" stroked="true" strokeweight="2.5pt" strokecolor="#086939">
              <v:path arrowok="t"/>
              <v:stroke dashstyle="solid"/>
            </v:shape>
            <v:line style="position:absolute" from="9222,1646" to="9375,1646" stroked="true" strokeweight="5.020pt" strokecolor="#086939">
              <v:stroke dashstyle="solid"/>
            </v:line>
            <v:shape style="position:absolute;left:1873;top:133;width:51;height:3458" coordorigin="1874,134" coordsize="51,3458" path="m1924,3591l1924,134m1874,3591l1924,3591m1874,3207l1924,3207m1874,2823l1924,2823m1874,2439l1924,2439m1874,2055l1924,2055m1874,1671l1924,1671m1874,1287l1924,1287m1874,903l1924,903m1874,517l1924,517m1874,134l1924,134e" filled="false" stroked="true" strokeweight=".75pt" strokecolor="#858585">
              <v:path arrowok="t"/>
              <v:stroke dashstyle="solid"/>
            </v:shape>
            <v:shape style="position:absolute;left:1923;top:1670;width:7505;height:50" coordorigin="1924,1671" coordsize="7505,50" path="m1924,1671l9428,1671m1924,1671l1924,1721m2182,1671l2182,1721m2441,1671l2441,1721m2700,1671l2700,1721m2959,1671l2959,1721m3218,1671l3218,1721m3478,1671l3478,1721m3734,1671l3734,1721m3994,1671l3994,1721m4253,1671l4253,1721m4512,1671l4512,1721m4771,1671l4771,1721m5030,1671l5030,1721m5287,1671l5287,1721m5546,1671l5546,1721m5806,1671l5806,1721m6065,1671l6065,1721m6324,1671l6324,1721m6581,1671l6581,1721m6840,1671l6840,1721m7099,1671l7099,1721m7358,1671l7358,1721m7618,1671l7618,1721m7877,1671l7877,1721m8134,1671l8134,1721m8393,1671l8393,1721m8652,1671l8652,1721m8911,1671l8911,1721m9170,1671l9170,1721m9428,1671l9428,1721e" filled="false" stroked="true" strokeweight=".5pt" strokecolor="#000000">
              <v:path arrowok="t"/>
              <v:stroke dashstyle="solid"/>
            </v:shape>
            <v:shape style="position:absolute;left:2053;top:965;width:7246;height:1949" coordorigin="2053,966" coordsize="7246,1949" path="m2053,2914l2311,2874,2570,2751,2830,2799,3089,2451,3348,2123,3605,1986,3864,1554,4123,1592,4382,1650,4642,1592,4901,1549,5158,1364,5417,1350,5676,1189,5935,1182,6194,1242,6454,1199,6710,1165,6970,1040,7229,980,7488,966,7747,1002,8006,1139,8263,1275,8522,1484,8782,1659,9041,1691,9299,1691e" filled="false" stroked="true" strokeweight="2.5pt" strokecolor="#d6c700">
              <v:path arrowok="t"/>
              <v:stroke dashstyle="solid"/>
            </v:shape>
            <v:line style="position:absolute" from="4947,2726" to="5331,2726" stroked="true" strokeweight="4.1783pt" strokecolor="#086939">
              <v:stroke dashstyle="solid"/>
            </v:line>
            <v:rect style="position:absolute;left:4947;top:2683;width:384;height:84" filled="false" stroked="true" strokeweight="2.5pt" strokecolor="#086939">
              <v:stroke dashstyle="solid"/>
            </v:rect>
            <v:line style="position:absolute" from="4947,3032" to="5331,3032" stroked="true" strokeweight="2.5pt" strokecolor="#d6c700">
              <v:stroke dashstyle="solid"/>
            </v:line>
            <v:shape style="position:absolute;left:1873;top:126;width:7563;height:3473" type="#_x0000_t202" filled="false" stroked="false">
              <v:textbox inset="0,0,0,0">
                <w:txbxContent>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6"/>
                      <w:rPr>
                        <w:sz w:val="17"/>
                      </w:rPr>
                    </w:pPr>
                  </w:p>
                  <w:p>
                    <w:pPr>
                      <w:spacing w:line="396" w:lineRule="auto" w:before="0"/>
                      <w:ind w:left="3498" w:right="940" w:firstLine="0"/>
                      <w:jc w:val="left"/>
                      <w:rPr>
                        <w:sz w:val="16"/>
                      </w:rPr>
                    </w:pPr>
                    <w:r>
                      <w:rPr>
                        <w:sz w:val="16"/>
                      </w:rPr>
                      <w:t>PIL (variazione congiunturale annualizzata) PIL (variazione tendenziale)</w:t>
                    </w:r>
                  </w:p>
                </w:txbxContent>
              </v:textbox>
              <w10:wrap type="none"/>
            </v:shape>
            <w10:wrap type="none"/>
          </v:group>
        </w:pict>
      </w:r>
      <w:r>
        <w:rPr>
          <w:w w:val="100"/>
          <w:sz w:val="16"/>
        </w:rPr>
        <w:t>4</w:t>
      </w:r>
    </w:p>
    <w:p>
      <w:pPr>
        <w:pStyle w:val="BodyText"/>
        <w:rPr>
          <w:sz w:val="17"/>
        </w:rPr>
      </w:pPr>
    </w:p>
    <w:p>
      <w:pPr>
        <w:spacing w:before="0"/>
        <w:ind w:left="557" w:right="0" w:firstLine="0"/>
        <w:jc w:val="left"/>
        <w:rPr>
          <w:sz w:val="16"/>
        </w:rPr>
      </w:pPr>
      <w:r>
        <w:rPr>
          <w:w w:val="100"/>
          <w:sz w:val="16"/>
        </w:rPr>
        <w:t>3</w:t>
      </w:r>
    </w:p>
    <w:p>
      <w:pPr>
        <w:pStyle w:val="BodyText"/>
        <w:spacing w:before="2"/>
        <w:rPr>
          <w:sz w:val="17"/>
        </w:rPr>
      </w:pPr>
    </w:p>
    <w:p>
      <w:pPr>
        <w:spacing w:before="0"/>
        <w:ind w:left="557" w:right="0" w:firstLine="0"/>
        <w:jc w:val="left"/>
        <w:rPr>
          <w:sz w:val="16"/>
        </w:rPr>
      </w:pPr>
      <w:r>
        <w:rPr>
          <w:w w:val="100"/>
          <w:sz w:val="16"/>
        </w:rPr>
        <w:t>2</w:t>
      </w:r>
    </w:p>
    <w:p>
      <w:pPr>
        <w:pStyle w:val="BodyText"/>
        <w:spacing w:before="1"/>
        <w:rPr>
          <w:sz w:val="17"/>
        </w:rPr>
      </w:pPr>
    </w:p>
    <w:p>
      <w:pPr>
        <w:spacing w:before="0"/>
        <w:ind w:left="557" w:right="0" w:firstLine="0"/>
        <w:jc w:val="left"/>
        <w:rPr>
          <w:sz w:val="16"/>
        </w:rPr>
      </w:pPr>
      <w:r>
        <w:rPr>
          <w:w w:val="100"/>
          <w:sz w:val="16"/>
        </w:rPr>
        <w:t>1</w:t>
      </w:r>
    </w:p>
    <w:p>
      <w:pPr>
        <w:pStyle w:val="BodyText"/>
        <w:rPr>
          <w:sz w:val="17"/>
        </w:rPr>
      </w:pPr>
    </w:p>
    <w:p>
      <w:pPr>
        <w:spacing w:before="1"/>
        <w:ind w:left="557" w:right="0" w:firstLine="0"/>
        <w:jc w:val="left"/>
        <w:rPr>
          <w:sz w:val="16"/>
        </w:rPr>
      </w:pPr>
      <w:r>
        <w:rPr>
          <w:w w:val="100"/>
          <w:sz w:val="16"/>
        </w:rPr>
        <w:t>0</w:t>
      </w:r>
    </w:p>
    <w:p>
      <w:pPr>
        <w:pStyle w:val="BodyText"/>
        <w:spacing w:before="1"/>
        <w:rPr>
          <w:sz w:val="17"/>
        </w:rPr>
      </w:pPr>
    </w:p>
    <w:p>
      <w:pPr>
        <w:spacing w:before="0"/>
        <w:ind w:left="498" w:right="0" w:firstLine="0"/>
        <w:jc w:val="left"/>
        <w:rPr>
          <w:sz w:val="16"/>
        </w:rPr>
      </w:pPr>
      <w:r>
        <w:rPr>
          <w:sz w:val="16"/>
        </w:rPr>
        <w:t>-1</w:t>
      </w:r>
    </w:p>
    <w:p>
      <w:pPr>
        <w:pStyle w:val="BodyText"/>
        <w:rPr>
          <w:sz w:val="17"/>
        </w:rPr>
      </w:pPr>
    </w:p>
    <w:p>
      <w:pPr>
        <w:spacing w:before="1"/>
        <w:ind w:left="498" w:right="0" w:firstLine="0"/>
        <w:jc w:val="left"/>
        <w:rPr>
          <w:sz w:val="16"/>
        </w:rPr>
      </w:pPr>
      <w:r>
        <w:rPr>
          <w:sz w:val="16"/>
        </w:rPr>
        <w:t>-2</w:t>
      </w:r>
    </w:p>
    <w:p>
      <w:pPr>
        <w:pStyle w:val="BodyText"/>
        <w:spacing w:before="1"/>
        <w:rPr>
          <w:sz w:val="17"/>
        </w:rPr>
      </w:pPr>
    </w:p>
    <w:p>
      <w:pPr>
        <w:spacing w:before="0"/>
        <w:ind w:left="498" w:right="0" w:firstLine="0"/>
        <w:jc w:val="left"/>
        <w:rPr>
          <w:sz w:val="16"/>
        </w:rPr>
      </w:pPr>
      <w:r>
        <w:rPr>
          <w:sz w:val="16"/>
        </w:rPr>
        <w:t>-3</w:t>
      </w:r>
    </w:p>
    <w:p>
      <w:pPr>
        <w:pStyle w:val="BodyText"/>
        <w:rPr>
          <w:sz w:val="17"/>
        </w:rPr>
      </w:pPr>
    </w:p>
    <w:p>
      <w:pPr>
        <w:spacing w:before="1"/>
        <w:ind w:left="498" w:right="0" w:firstLine="0"/>
        <w:jc w:val="left"/>
        <w:rPr>
          <w:sz w:val="16"/>
        </w:rPr>
      </w:pPr>
      <w:r>
        <w:rPr>
          <w:sz w:val="16"/>
        </w:rPr>
        <w:t>-4</w:t>
      </w:r>
    </w:p>
    <w:p>
      <w:pPr>
        <w:pStyle w:val="BodyText"/>
        <w:spacing w:before="1"/>
        <w:rPr>
          <w:sz w:val="17"/>
        </w:rPr>
      </w:pPr>
    </w:p>
    <w:p>
      <w:pPr>
        <w:spacing w:before="0"/>
        <w:ind w:left="498" w:right="0" w:firstLine="0"/>
        <w:jc w:val="left"/>
        <w:rPr>
          <w:sz w:val="16"/>
        </w:rPr>
      </w:pPr>
      <w:r>
        <w:rPr>
          <w:sz w:val="16"/>
        </w:rPr>
        <w:t>-5</w:t>
      </w:r>
    </w:p>
    <w:p>
      <w:pPr>
        <w:spacing w:before="14"/>
        <w:ind w:left="741" w:right="0" w:firstLine="0"/>
        <w:jc w:val="left"/>
        <w:rPr>
          <w:sz w:val="16"/>
        </w:rPr>
      </w:pPr>
      <w:r>
        <w:rPr/>
        <w:pict>
          <v:line style="position:absolute;mso-position-horizontal-relative:page;mso-position-vertical-relative:paragraph;z-index:-251642880;mso-wrap-distance-left:0;mso-wrap-distance-right:0" from="70.944pt,13.901697pt" to="482.014pt,13.901697pt" stroked="true" strokeweight=".48004pt" strokecolor="#000000">
            <v:stroke dashstyle="solid"/>
            <w10:wrap type="topAndBottom"/>
          </v:line>
        </w:pict>
      </w:r>
      <w:r>
        <w:rPr>
          <w:sz w:val="16"/>
        </w:rPr>
        <w:t>2T12 4T12 2T13 4T13 2T14 4T14 2T15 4T15 2T16 4T16 2T17 4T17 2T18 4T18 2T19</w:t>
      </w:r>
    </w:p>
    <w:p>
      <w:pPr>
        <w:spacing w:before="0" w:after="22"/>
        <w:ind w:left="278" w:right="0" w:firstLine="0"/>
        <w:jc w:val="left"/>
        <w:rPr>
          <w:rFonts w:ascii="Franklin Gothic Book"/>
          <w:sz w:val="17"/>
        </w:rPr>
      </w:pPr>
      <w:r>
        <w:rPr>
          <w:rFonts w:ascii="Franklin Gothic Book"/>
          <w:sz w:val="17"/>
        </w:rPr>
        <w:t>Fonte: ISTAT.</w:t>
      </w:r>
    </w:p>
    <w:p>
      <w:pPr>
        <w:pStyle w:val="BodyText"/>
        <w:spacing w:line="30" w:lineRule="exact"/>
        <w:ind w:left="249"/>
        <w:rPr>
          <w:rFonts w:ascii="Franklin Gothic Book"/>
          <w:sz w:val="3"/>
        </w:rPr>
      </w:pPr>
      <w:r>
        <w:rPr>
          <w:rFonts w:ascii="Franklin Gothic Book"/>
          <w:position w:val="0"/>
          <w:sz w:val="3"/>
        </w:rPr>
        <w:pict>
          <v:group style="width:411.8pt;height:1.45pt;mso-position-horizontal-relative:char;mso-position-vertical-relative:line" coordorigin="0,0" coordsize="8236,29">
            <v:line style="position:absolute" from="0,14" to="8236,14" stroked="true" strokeweight="1.44pt" strokecolor="#086d44">
              <v:stroke dashstyle="solid"/>
            </v:line>
          </v:group>
        </w:pict>
      </w:r>
      <w:r>
        <w:rPr>
          <w:rFonts w:ascii="Franklin Gothic Book"/>
          <w:position w:val="0"/>
          <w:sz w:val="3"/>
        </w:rPr>
      </w:r>
    </w:p>
    <w:p>
      <w:pPr>
        <w:pStyle w:val="BodyText"/>
        <w:rPr>
          <w:rFonts w:ascii="Franklin Gothic Book"/>
          <w:sz w:val="20"/>
        </w:rPr>
      </w:pPr>
    </w:p>
    <w:p>
      <w:pPr>
        <w:pStyle w:val="BodyText"/>
        <w:spacing w:before="7"/>
        <w:rPr>
          <w:rFonts w:ascii="Franklin Gothic Book"/>
          <w:sz w:val="23"/>
        </w:rPr>
      </w:pPr>
      <w:r>
        <w:rPr/>
        <w:pict>
          <v:group style="position:absolute;margin-left:93.599998pt;margin-top:15.412109pt;width:21.4pt;height:2.15pt;mso-position-horizontal-relative:page;mso-position-vertical-relative:paragraph;z-index:-251640832;mso-wrap-distance-left:0;mso-wrap-distance-right:0" coordorigin="1872,308" coordsize="428,43">
            <v:line style="position:absolute" from="1872,329" to="2299,329" stroked="true" strokeweight="2.050pt" strokecolor="#aaaaaa">
              <v:stroke dashstyle="solid"/>
            </v:line>
            <v:rect style="position:absolute;left:1872;top:310;width:5;height:5" filled="true" fillcolor="#9f9f9f" stroked="false">
              <v:fill type="solid"/>
            </v:rect>
            <v:rect style="position:absolute;left:1872;top:310;width:5;height:5" filled="true" fillcolor="#9f9f9f" stroked="false">
              <v:fill type="solid"/>
            </v:rect>
            <v:line style="position:absolute" from="1877,313" to="2295,313" stroked="true" strokeweight=".23999pt" strokecolor="#9f9f9f">
              <v:stroke dashstyle="solid"/>
            </v:line>
            <v:rect style="position:absolute;left:2294;top:310;width:5;height:5" filled="true" fillcolor="#e2e2e2" stroked="false">
              <v:fill type="solid"/>
            </v:rect>
            <v:rect style="position:absolute;left:2294;top:310;width:5;height:5" filled="true" fillcolor="#9f9f9f" stroked="false">
              <v:fill type="solid"/>
            </v:rect>
            <v:rect style="position:absolute;left:1872;top:315;width:5;height:32" filled="true" fillcolor="#9f9f9f" stroked="false">
              <v:fill type="solid"/>
            </v:rect>
            <v:rect style="position:absolute;left:2294;top:315;width:5;height:32" filled="true" fillcolor="#e2e2e2" stroked="false">
              <v:fill type="solid"/>
            </v:rect>
            <v:rect style="position:absolute;left:1872;top:346;width:5;height:5" filled="true" fillcolor="#9f9f9f" stroked="false">
              <v:fill type="solid"/>
            </v:rect>
            <v:rect style="position:absolute;left:1872;top:346;width:5;height:5" filled="true" fillcolor="#e2e2e2" stroked="false">
              <v:fill type="solid"/>
            </v:rect>
            <v:line style="position:absolute" from="1877,349" to="2295,349" stroked="true" strokeweight=".24005pt" strokecolor="#e2e2e2">
              <v:stroke dashstyle="solid"/>
            </v:line>
            <v:rect style="position:absolute;left:2294;top:346;width:5;height:5" filled="true" fillcolor="#e2e2e2" stroked="false">
              <v:fill type="solid"/>
            </v:rect>
            <v:rect style="position:absolute;left:2294;top:346;width:5;height:5" filled="true" fillcolor="#e2e2e2" stroked="false">
              <v:fill type="solid"/>
            </v:rect>
            <w10:wrap type="topAndBottom"/>
          </v:group>
        </w:pict>
      </w:r>
    </w:p>
    <w:p>
      <w:pPr>
        <w:spacing w:line="189" w:lineRule="exact" w:before="20"/>
        <w:ind w:left="732" w:right="0" w:firstLine="0"/>
        <w:jc w:val="left"/>
        <w:rPr>
          <w:sz w:val="16"/>
        </w:rPr>
      </w:pPr>
      <w:r>
        <w:rPr>
          <w:position w:val="6"/>
          <w:sz w:val="10"/>
        </w:rPr>
        <w:t>1 </w:t>
      </w:r>
      <w:r>
        <w:rPr>
          <w:sz w:val="16"/>
        </w:rPr>
        <w:t>Variazione cumulata del prodotto interno lordo in termini reali dal quarto trimestre del 2018 al secondo</w:t>
      </w:r>
    </w:p>
    <w:p>
      <w:pPr>
        <w:spacing w:line="185" w:lineRule="exact" w:before="0"/>
        <w:ind w:left="278" w:right="0" w:firstLine="0"/>
        <w:jc w:val="left"/>
        <w:rPr>
          <w:sz w:val="16"/>
        </w:rPr>
      </w:pPr>
      <w:r>
        <w:rPr>
          <w:sz w:val="16"/>
        </w:rPr>
        <w:t>del 2019 secondo i dati pubblicati dall’Istat il 30 agosto 2019.</w:t>
      </w:r>
    </w:p>
    <w:p>
      <w:pPr>
        <w:spacing w:after="0" w:line="185" w:lineRule="exact"/>
        <w:jc w:val="left"/>
        <w:rPr>
          <w:sz w:val="16"/>
        </w:rPr>
        <w:sectPr>
          <w:headerReference w:type="default" r:id="rId37"/>
          <w:footerReference w:type="default" r:id="rId38"/>
          <w:footerReference w:type="even" r:id="rId39"/>
          <w:pgSz w:w="11910" w:h="16840"/>
          <w:pgMar w:header="0" w:footer="866" w:top="1100" w:bottom="1060" w:left="1140" w:right="0"/>
          <w:pgNumType w:start="1"/>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1128" w:right="1413" w:firstLine="453"/>
        <w:jc w:val="both"/>
      </w:pPr>
      <w:r>
        <w:rPr/>
        <w:t>La crescita delle esportazioni nel primo semestre è stata più dinamica che nel 2018. Sebbene si profili una decelerazione dell’export nella seconda metà dell’anno, la debole crescita delle importazioni darebbe luogo ad un impatto netto del commercio estero sulla crescita del PIL di 0,6 punti percentuali. Grazie anche ad un andamento favorevole dei prezzi energetici e degli altri prezzi all’importazione, il surplus delle partite correnti della bilancia dei pagamenti quest’anno salirebbe al 2,7 per cento del PIL, dal 2,5 per cento del 2018.</w:t>
      </w:r>
    </w:p>
    <w:p>
      <w:pPr>
        <w:pStyle w:val="BodyText"/>
        <w:spacing w:line="252" w:lineRule="auto"/>
        <w:ind w:left="1128" w:right="1414" w:firstLine="453"/>
        <w:jc w:val="both"/>
      </w:pPr>
      <w:r>
        <w:rPr/>
        <w:t>Il rallentamento della crescita del PIL a partire dalla prima metà dell’anno scorso è stato guidato dal settore manifatturiero, che aveva invece registrato una forte espansione nel 2017. All’interno del manifatturiero, nei primi sette mesi di quest’anno la produzione e le esportazioni di beni di consumo non durevoli hanno registrato un andamento positivo, mentre i beni strumentali, i beni di consumo durevoli</w:t>
      </w:r>
      <w:r>
        <w:rPr>
          <w:spacing w:val="-11"/>
        </w:rPr>
        <w:t> </w:t>
      </w:r>
      <w:r>
        <w:rPr/>
        <w:t>(in</w:t>
      </w:r>
      <w:r>
        <w:rPr>
          <w:spacing w:val="-9"/>
        </w:rPr>
        <w:t> </w:t>
      </w:r>
      <w:r>
        <w:rPr/>
        <w:t>particolare</w:t>
      </w:r>
      <w:r>
        <w:rPr>
          <w:spacing w:val="-9"/>
        </w:rPr>
        <w:t> </w:t>
      </w:r>
      <w:r>
        <w:rPr/>
        <w:t>l’auto)</w:t>
      </w:r>
      <w:r>
        <w:rPr>
          <w:spacing w:val="-9"/>
        </w:rPr>
        <w:t> </w:t>
      </w:r>
      <w:r>
        <w:rPr/>
        <w:t>e</w:t>
      </w:r>
      <w:r>
        <w:rPr>
          <w:spacing w:val="-9"/>
        </w:rPr>
        <w:t> </w:t>
      </w:r>
      <w:r>
        <w:rPr/>
        <w:t>i</w:t>
      </w:r>
      <w:r>
        <w:rPr>
          <w:spacing w:val="-10"/>
        </w:rPr>
        <w:t> </w:t>
      </w:r>
      <w:r>
        <w:rPr/>
        <w:t>prodotti</w:t>
      </w:r>
      <w:r>
        <w:rPr>
          <w:spacing w:val="-9"/>
        </w:rPr>
        <w:t> </w:t>
      </w:r>
      <w:r>
        <w:rPr/>
        <w:t>intermedi</w:t>
      </w:r>
      <w:r>
        <w:rPr>
          <w:spacing w:val="-10"/>
        </w:rPr>
        <w:t> </w:t>
      </w:r>
      <w:r>
        <w:rPr/>
        <w:t>hanno</w:t>
      </w:r>
      <w:r>
        <w:rPr>
          <w:spacing w:val="-10"/>
        </w:rPr>
        <w:t> </w:t>
      </w:r>
      <w:r>
        <w:rPr/>
        <w:t>subìto</w:t>
      </w:r>
      <w:r>
        <w:rPr>
          <w:spacing w:val="-11"/>
        </w:rPr>
        <w:t> </w:t>
      </w:r>
      <w:r>
        <w:rPr/>
        <w:t>una</w:t>
      </w:r>
      <w:r>
        <w:rPr>
          <w:spacing w:val="-9"/>
        </w:rPr>
        <w:t> </w:t>
      </w:r>
      <w:r>
        <w:rPr/>
        <w:t>contrazione. Va</w:t>
      </w:r>
      <w:r>
        <w:rPr>
          <w:spacing w:val="-7"/>
        </w:rPr>
        <w:t> </w:t>
      </w:r>
      <w:r>
        <w:rPr/>
        <w:t>segnalato,</w:t>
      </w:r>
      <w:r>
        <w:rPr>
          <w:spacing w:val="-5"/>
        </w:rPr>
        <w:t> </w:t>
      </w:r>
      <w:r>
        <w:rPr/>
        <w:t>tuttavia,</w:t>
      </w:r>
      <w:r>
        <w:rPr>
          <w:spacing w:val="-5"/>
        </w:rPr>
        <w:t> </w:t>
      </w:r>
      <w:r>
        <w:rPr/>
        <w:t>che</w:t>
      </w:r>
      <w:r>
        <w:rPr>
          <w:spacing w:val="-7"/>
        </w:rPr>
        <w:t> </w:t>
      </w:r>
      <w:r>
        <w:rPr/>
        <w:t>in</w:t>
      </w:r>
      <w:r>
        <w:rPr>
          <w:spacing w:val="-6"/>
        </w:rPr>
        <w:t> </w:t>
      </w:r>
      <w:r>
        <w:rPr/>
        <w:t>termini</w:t>
      </w:r>
      <w:r>
        <w:rPr>
          <w:spacing w:val="-7"/>
        </w:rPr>
        <w:t> </w:t>
      </w:r>
      <w:r>
        <w:rPr/>
        <w:t>di</w:t>
      </w:r>
      <w:r>
        <w:rPr>
          <w:spacing w:val="-9"/>
        </w:rPr>
        <w:t> </w:t>
      </w:r>
      <w:r>
        <w:rPr/>
        <w:t>produzione</w:t>
      </w:r>
      <w:r>
        <w:rPr>
          <w:spacing w:val="-7"/>
        </w:rPr>
        <w:t> </w:t>
      </w:r>
      <w:r>
        <w:rPr/>
        <w:t>manifatturiera</w:t>
      </w:r>
      <w:r>
        <w:rPr>
          <w:spacing w:val="-6"/>
        </w:rPr>
        <w:t> </w:t>
      </w:r>
      <w:r>
        <w:rPr/>
        <w:t>nel</w:t>
      </w:r>
      <w:r>
        <w:rPr>
          <w:spacing w:val="-6"/>
        </w:rPr>
        <w:t> </w:t>
      </w:r>
      <w:r>
        <w:rPr/>
        <w:t>2019</w:t>
      </w:r>
      <w:r>
        <w:rPr>
          <w:spacing w:val="-6"/>
        </w:rPr>
        <w:t> </w:t>
      </w:r>
      <w:r>
        <w:rPr/>
        <w:t>l’Italia ha tenuto il passo con il resto dell’area euro e ha registrato una flessione nettamente inferiore a quella della</w:t>
      </w:r>
      <w:r>
        <w:rPr>
          <w:spacing w:val="-5"/>
        </w:rPr>
        <w:t> </w:t>
      </w:r>
      <w:r>
        <w:rPr/>
        <w:t>Germania.</w:t>
      </w:r>
    </w:p>
    <w:p>
      <w:pPr>
        <w:pStyle w:val="BodyText"/>
        <w:spacing w:line="252" w:lineRule="auto" w:before="1"/>
        <w:ind w:left="1128" w:right="1412" w:firstLine="453"/>
        <w:jc w:val="both"/>
      </w:pPr>
      <w:r>
        <w:rPr/>
        <w:t>Per contro, l’andamento del settore dei servizi è risultato nettamente più debole in Italia rispetto alla media degli altri paesi dell’area euro. Nel primo semestre del 2019, ad esempio, il valore aggiunto del commercio, trasporto, alloggio</w:t>
      </w:r>
      <w:r>
        <w:rPr>
          <w:spacing w:val="-20"/>
        </w:rPr>
        <w:t> </w:t>
      </w:r>
      <w:r>
        <w:rPr/>
        <w:t>e</w:t>
      </w:r>
      <w:r>
        <w:rPr>
          <w:spacing w:val="-18"/>
        </w:rPr>
        <w:t> </w:t>
      </w:r>
      <w:r>
        <w:rPr/>
        <w:t>ristorazione</w:t>
      </w:r>
      <w:r>
        <w:rPr>
          <w:spacing w:val="-19"/>
        </w:rPr>
        <w:t> </w:t>
      </w:r>
      <w:r>
        <w:rPr/>
        <w:t>(la</w:t>
      </w:r>
      <w:r>
        <w:rPr>
          <w:spacing w:val="-18"/>
        </w:rPr>
        <w:t> </w:t>
      </w:r>
      <w:r>
        <w:rPr/>
        <w:t>maggiore</w:t>
      </w:r>
      <w:r>
        <w:rPr>
          <w:spacing w:val="-18"/>
        </w:rPr>
        <w:t> </w:t>
      </w:r>
      <w:r>
        <w:rPr/>
        <w:t>componente</w:t>
      </w:r>
      <w:r>
        <w:rPr>
          <w:spacing w:val="-15"/>
        </w:rPr>
        <w:t> </w:t>
      </w:r>
      <w:r>
        <w:rPr/>
        <w:t>del</w:t>
      </w:r>
      <w:r>
        <w:rPr>
          <w:spacing w:val="-19"/>
        </w:rPr>
        <w:t> </w:t>
      </w:r>
      <w:r>
        <w:rPr/>
        <w:t>settore</w:t>
      </w:r>
      <w:r>
        <w:rPr>
          <w:spacing w:val="-17"/>
        </w:rPr>
        <w:t> </w:t>
      </w:r>
      <w:r>
        <w:rPr/>
        <w:t>dei</w:t>
      </w:r>
      <w:r>
        <w:rPr>
          <w:spacing w:val="-19"/>
        </w:rPr>
        <w:t> </w:t>
      </w:r>
      <w:r>
        <w:rPr/>
        <w:t>servizi)</w:t>
      </w:r>
      <w:r>
        <w:rPr>
          <w:spacing w:val="-17"/>
        </w:rPr>
        <w:t> </w:t>
      </w:r>
      <w:r>
        <w:rPr/>
        <w:t>ha</w:t>
      </w:r>
      <w:r>
        <w:rPr>
          <w:spacing w:val="-20"/>
        </w:rPr>
        <w:t> </w:t>
      </w:r>
      <w:r>
        <w:rPr/>
        <w:t>registrato una contrazione dello 0,3 per cento in confronto allo stesso periodo del 2018, mentre nell’area euro è aumentato di quasi l’1,8 per cento. Il settore delle costruzioni</w:t>
      </w:r>
      <w:r>
        <w:rPr>
          <w:spacing w:val="-8"/>
        </w:rPr>
        <w:t> </w:t>
      </w:r>
      <w:r>
        <w:rPr/>
        <w:t>nel</w:t>
      </w:r>
      <w:r>
        <w:rPr>
          <w:spacing w:val="-8"/>
        </w:rPr>
        <w:t> </w:t>
      </w:r>
      <w:r>
        <w:rPr/>
        <w:t>primo</w:t>
      </w:r>
      <w:r>
        <w:rPr>
          <w:spacing w:val="-7"/>
        </w:rPr>
        <w:t> </w:t>
      </w:r>
      <w:r>
        <w:rPr/>
        <w:t>semestre</w:t>
      </w:r>
      <w:r>
        <w:rPr>
          <w:spacing w:val="-7"/>
        </w:rPr>
        <w:t> </w:t>
      </w:r>
      <w:r>
        <w:rPr/>
        <w:t>ha</w:t>
      </w:r>
      <w:r>
        <w:rPr>
          <w:spacing w:val="-8"/>
        </w:rPr>
        <w:t> </w:t>
      </w:r>
      <w:r>
        <w:rPr/>
        <w:t>registrato</w:t>
      </w:r>
      <w:r>
        <w:rPr>
          <w:spacing w:val="-8"/>
        </w:rPr>
        <w:t> </w:t>
      </w:r>
      <w:r>
        <w:rPr/>
        <w:t>una</w:t>
      </w:r>
      <w:r>
        <w:rPr>
          <w:spacing w:val="-7"/>
        </w:rPr>
        <w:t> </w:t>
      </w:r>
      <w:r>
        <w:rPr/>
        <w:t>crescita</w:t>
      </w:r>
      <w:r>
        <w:rPr>
          <w:spacing w:val="-8"/>
        </w:rPr>
        <w:t> </w:t>
      </w:r>
      <w:r>
        <w:rPr/>
        <w:t>media</w:t>
      </w:r>
      <w:r>
        <w:rPr>
          <w:spacing w:val="-8"/>
        </w:rPr>
        <w:t> </w:t>
      </w:r>
      <w:r>
        <w:rPr/>
        <w:t>del</w:t>
      </w:r>
      <w:r>
        <w:rPr>
          <w:spacing w:val="-8"/>
        </w:rPr>
        <w:t> </w:t>
      </w:r>
      <w:r>
        <w:rPr/>
        <w:t>valore</w:t>
      </w:r>
      <w:r>
        <w:rPr>
          <w:spacing w:val="-7"/>
        </w:rPr>
        <w:t> </w:t>
      </w:r>
      <w:r>
        <w:rPr/>
        <w:t>aggiunto pari al 3,3 per cento, ma anch’essa è risultata inferiore alla media dell’area euro (4,1 per</w:t>
      </w:r>
      <w:r>
        <w:rPr>
          <w:spacing w:val="-3"/>
        </w:rPr>
        <w:t> </w:t>
      </w:r>
      <w:r>
        <w:rPr/>
        <w:t>cento).</w:t>
      </w:r>
    </w:p>
    <w:p>
      <w:pPr>
        <w:pStyle w:val="BodyText"/>
        <w:spacing w:line="252" w:lineRule="auto"/>
        <w:ind w:left="1128" w:right="1413" w:firstLine="453"/>
        <w:jc w:val="both"/>
      </w:pPr>
      <w:r>
        <w:rPr/>
        <w:t>Nel complesso, dunque, gli andamenti più recenti confermano che l’industria, pur</w:t>
      </w:r>
      <w:r>
        <w:rPr>
          <w:spacing w:val="-5"/>
        </w:rPr>
        <w:t> </w:t>
      </w:r>
      <w:r>
        <w:rPr/>
        <w:t>colpita</w:t>
      </w:r>
      <w:r>
        <w:rPr>
          <w:spacing w:val="-6"/>
        </w:rPr>
        <w:t> </w:t>
      </w:r>
      <w:r>
        <w:rPr/>
        <w:t>da</w:t>
      </w:r>
      <w:r>
        <w:rPr>
          <w:spacing w:val="-6"/>
        </w:rPr>
        <w:t> </w:t>
      </w:r>
      <w:r>
        <w:rPr/>
        <w:t>un’evoluzione</w:t>
      </w:r>
      <w:r>
        <w:rPr>
          <w:spacing w:val="-6"/>
        </w:rPr>
        <w:t> </w:t>
      </w:r>
      <w:r>
        <w:rPr/>
        <w:t>negativa</w:t>
      </w:r>
      <w:r>
        <w:rPr>
          <w:spacing w:val="-6"/>
        </w:rPr>
        <w:t> </w:t>
      </w:r>
      <w:r>
        <w:rPr/>
        <w:t>della</w:t>
      </w:r>
      <w:r>
        <w:rPr>
          <w:spacing w:val="-6"/>
        </w:rPr>
        <w:t> </w:t>
      </w:r>
      <w:r>
        <w:rPr/>
        <w:t>produzione</w:t>
      </w:r>
      <w:r>
        <w:rPr>
          <w:spacing w:val="-6"/>
        </w:rPr>
        <w:t> </w:t>
      </w:r>
      <w:r>
        <w:rPr/>
        <w:t>e</w:t>
      </w:r>
      <w:r>
        <w:rPr>
          <w:spacing w:val="-6"/>
        </w:rPr>
        <w:t> </w:t>
      </w:r>
      <w:r>
        <w:rPr/>
        <w:t>degli</w:t>
      </w:r>
      <w:r>
        <w:rPr>
          <w:spacing w:val="-6"/>
        </w:rPr>
        <w:t> </w:t>
      </w:r>
      <w:r>
        <w:rPr/>
        <w:t>interscambi</w:t>
      </w:r>
      <w:r>
        <w:rPr>
          <w:spacing w:val="-6"/>
        </w:rPr>
        <w:t> </w:t>
      </w:r>
      <w:r>
        <w:rPr/>
        <w:t>a</w:t>
      </w:r>
      <w:r>
        <w:rPr>
          <w:spacing w:val="-6"/>
        </w:rPr>
        <w:t> </w:t>
      </w:r>
      <w:r>
        <w:rPr/>
        <w:t>livello internazionale, non ha registrato un arretramento nei confronti dell’area, mentre le altre componenti dell’offerta, in special modo i servizi, risentono maggiormente della bassa crescita della domanda</w:t>
      </w:r>
      <w:r>
        <w:rPr>
          <w:spacing w:val="-7"/>
        </w:rPr>
        <w:t> </w:t>
      </w:r>
      <w:r>
        <w:rPr/>
        <w:t>interna.</w:t>
      </w:r>
    </w:p>
    <w:p>
      <w:pPr>
        <w:pStyle w:val="BodyText"/>
        <w:spacing w:line="252" w:lineRule="auto" w:before="1"/>
        <w:ind w:left="1128" w:right="1411" w:firstLine="453"/>
        <w:jc w:val="both"/>
      </w:pPr>
      <w:r>
        <w:rPr/>
        <w:t>Nel valutare le prospettive cicliche di breve termine, va rilevato che le valutazioni delle imprese manifatturiere a livello internazionale restano pessimistiche e si è recentemente registrata una flessione della produzione industriale anche negli USA e in Cina. I settori dei servizi e delle costruzioni, come detto, hanno sostenuto la crescita dell’economia europea, ma stanno mostrando segnali di rallentamento. I fattori geopolitici, dalla ‘guerra dei dazi’ alle tensioni mediorientali, dal rischio di una </w:t>
      </w:r>
      <w:r>
        <w:rPr>
          <w:i/>
        </w:rPr>
        <w:t>no-deal Brexit </w:t>
      </w:r>
      <w:r>
        <w:rPr/>
        <w:t>a quello di uno shock di offerta nel mercato del petrolio, preoccupano imprese e consumatori e hanno già causato una caduta di investimenti e consumi durevoli nelle principali economie.</w:t>
      </w:r>
    </w:p>
    <w:p>
      <w:pPr>
        <w:pStyle w:val="BodyText"/>
        <w:spacing w:line="252" w:lineRule="auto"/>
        <w:ind w:left="1128" w:right="1411" w:firstLine="453"/>
        <w:jc w:val="both"/>
      </w:pPr>
      <w:r>
        <w:rPr/>
        <w:t>Di fronte a questo peggioramento del ciclo economico, l’intonazione della politica</w:t>
      </w:r>
      <w:r>
        <w:rPr>
          <w:spacing w:val="-4"/>
        </w:rPr>
        <w:t> </w:t>
      </w:r>
      <w:r>
        <w:rPr/>
        <w:t>monetaria</w:t>
      </w:r>
      <w:r>
        <w:rPr>
          <w:spacing w:val="-5"/>
        </w:rPr>
        <w:t> </w:t>
      </w:r>
      <w:r>
        <w:rPr/>
        <w:t>negli</w:t>
      </w:r>
      <w:r>
        <w:rPr>
          <w:spacing w:val="-2"/>
        </w:rPr>
        <w:t> </w:t>
      </w:r>
      <w:r>
        <w:rPr/>
        <w:t>Usa,</w:t>
      </w:r>
      <w:r>
        <w:rPr>
          <w:spacing w:val="-3"/>
        </w:rPr>
        <w:t> </w:t>
      </w:r>
      <w:r>
        <w:rPr/>
        <w:t>in</w:t>
      </w:r>
      <w:r>
        <w:rPr>
          <w:spacing w:val="-4"/>
        </w:rPr>
        <w:t> </w:t>
      </w:r>
      <w:r>
        <w:rPr/>
        <w:t>Europa</w:t>
      </w:r>
      <w:r>
        <w:rPr>
          <w:spacing w:val="-5"/>
        </w:rPr>
        <w:t> </w:t>
      </w:r>
      <w:r>
        <w:rPr/>
        <w:t>e</w:t>
      </w:r>
      <w:r>
        <w:rPr>
          <w:spacing w:val="-4"/>
        </w:rPr>
        <w:t> </w:t>
      </w:r>
      <w:r>
        <w:rPr/>
        <w:t>in</w:t>
      </w:r>
      <w:r>
        <w:rPr>
          <w:spacing w:val="-5"/>
        </w:rPr>
        <w:t> </w:t>
      </w:r>
      <w:r>
        <w:rPr/>
        <w:t>altri</w:t>
      </w:r>
      <w:r>
        <w:rPr>
          <w:spacing w:val="-4"/>
        </w:rPr>
        <w:t> </w:t>
      </w:r>
      <w:r>
        <w:rPr/>
        <w:t>importanti</w:t>
      </w:r>
      <w:r>
        <w:rPr>
          <w:spacing w:val="-5"/>
        </w:rPr>
        <w:t> </w:t>
      </w:r>
      <w:r>
        <w:rPr/>
        <w:t>paesi,</w:t>
      </w:r>
      <w:r>
        <w:rPr>
          <w:spacing w:val="-4"/>
        </w:rPr>
        <w:t> </w:t>
      </w:r>
      <w:r>
        <w:rPr/>
        <w:t>fra</w:t>
      </w:r>
      <w:r>
        <w:rPr>
          <w:spacing w:val="-4"/>
        </w:rPr>
        <w:t> </w:t>
      </w:r>
      <w:r>
        <w:rPr/>
        <w:t>cui</w:t>
      </w:r>
      <w:r>
        <w:rPr>
          <w:spacing w:val="-4"/>
        </w:rPr>
        <w:t> </w:t>
      </w:r>
      <w:r>
        <w:rPr/>
        <w:t>la</w:t>
      </w:r>
      <w:r>
        <w:rPr>
          <w:spacing w:val="-5"/>
        </w:rPr>
        <w:t> </w:t>
      </w:r>
      <w:r>
        <w:rPr/>
        <w:t>Cina,</w:t>
      </w:r>
      <w:r>
        <w:rPr>
          <w:spacing w:val="-6"/>
        </w:rPr>
        <w:t> </w:t>
      </w:r>
      <w:r>
        <w:rPr/>
        <w:t>è tornata verso lo stimolo, dapprima attraverso le comunicazioni fornite ai mercati</w:t>
      </w:r>
      <w:r>
        <w:rPr>
          <w:spacing w:val="-42"/>
        </w:rPr>
        <w:t> </w:t>
      </w:r>
      <w:r>
        <w:rPr/>
        <w:t>e quindi</w:t>
      </w:r>
      <w:r>
        <w:rPr>
          <w:spacing w:val="-14"/>
        </w:rPr>
        <w:t> </w:t>
      </w:r>
      <w:r>
        <w:rPr/>
        <w:t>attraverso</w:t>
      </w:r>
      <w:r>
        <w:rPr>
          <w:spacing w:val="-14"/>
        </w:rPr>
        <w:t> </w:t>
      </w:r>
      <w:r>
        <w:rPr/>
        <w:t>concrete</w:t>
      </w:r>
      <w:r>
        <w:rPr>
          <w:spacing w:val="-13"/>
        </w:rPr>
        <w:t> </w:t>
      </w:r>
      <w:r>
        <w:rPr/>
        <w:t>decisioni,</w:t>
      </w:r>
      <w:r>
        <w:rPr>
          <w:spacing w:val="-13"/>
        </w:rPr>
        <w:t> </w:t>
      </w:r>
      <w:r>
        <w:rPr/>
        <w:t>quali</w:t>
      </w:r>
      <w:r>
        <w:rPr>
          <w:spacing w:val="-13"/>
        </w:rPr>
        <w:t> </w:t>
      </w:r>
      <w:r>
        <w:rPr/>
        <w:t>quelle</w:t>
      </w:r>
      <w:r>
        <w:rPr>
          <w:spacing w:val="-14"/>
        </w:rPr>
        <w:t> </w:t>
      </w:r>
      <w:r>
        <w:rPr/>
        <w:t>annunciate</w:t>
      </w:r>
      <w:r>
        <w:rPr>
          <w:spacing w:val="-14"/>
        </w:rPr>
        <w:t> </w:t>
      </w:r>
      <w:r>
        <w:rPr/>
        <w:t>questo</w:t>
      </w:r>
      <w:r>
        <w:rPr>
          <w:spacing w:val="-13"/>
        </w:rPr>
        <w:t> </w:t>
      </w:r>
      <w:r>
        <w:rPr/>
        <w:t>mese</w:t>
      </w:r>
      <w:r>
        <w:rPr>
          <w:spacing w:val="-14"/>
        </w:rPr>
        <w:t> </w:t>
      </w:r>
      <w:r>
        <w:rPr/>
        <w:t>dalla</w:t>
      </w:r>
      <w:r>
        <w:rPr>
          <w:spacing w:val="-13"/>
        </w:rPr>
        <w:t> </w:t>
      </w:r>
      <w:r>
        <w:rPr/>
        <w:t>BCE e dalla Fed. Grazie a questa svolta, le condizioni finanziarie sono fortemente migliorate, sia in termini di quotazioni nei mercati azionari, sia in termini di tassi di interesse a breve e a lungo termine. Gli </w:t>
      </w:r>
      <w:r>
        <w:rPr>
          <w:i/>
        </w:rPr>
        <w:t>spread </w:t>
      </w:r>
      <w:r>
        <w:rPr/>
        <w:t>sui titoli corporate e bancari si sono notevolmente ristretti e, per quanto riguarda l’Italia, il differenziale contro</w:t>
      </w:r>
      <w:r>
        <w:rPr>
          <w:spacing w:val="-38"/>
        </w:rPr>
        <w:t> </w:t>
      </w:r>
      <w:r>
        <w:rPr/>
        <w:t>il</w:t>
      </w:r>
    </w:p>
    <w:p>
      <w:pPr>
        <w:spacing w:after="0" w:line="252" w:lineRule="auto"/>
        <w:jc w:val="both"/>
        <w:sectPr>
          <w:headerReference w:type="even" r:id="rId40"/>
          <w:headerReference w:type="default" r:id="rId41"/>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278" w:right="2265"/>
        <w:jc w:val="both"/>
      </w:pPr>
      <w:r>
        <w:rPr/>
        <w:t>Bund è quasi tornato al livello medio dei primi quattro mesi del 2018, con il rendimento a dieci anni al livello più basso mai registrato.</w:t>
      </w:r>
    </w:p>
    <w:p>
      <w:pPr>
        <w:pStyle w:val="BodyText"/>
        <w:spacing w:line="252" w:lineRule="auto" w:before="2"/>
        <w:ind w:left="278" w:right="2261" w:firstLine="453"/>
        <w:jc w:val="both"/>
      </w:pPr>
      <w:r>
        <w:rPr/>
        <w:t>L’opinione</w:t>
      </w:r>
      <w:r>
        <w:rPr>
          <w:spacing w:val="-9"/>
        </w:rPr>
        <w:t> </w:t>
      </w:r>
      <w:r>
        <w:rPr/>
        <w:t>prevalente</w:t>
      </w:r>
      <w:r>
        <w:rPr>
          <w:spacing w:val="-8"/>
        </w:rPr>
        <w:t> </w:t>
      </w:r>
      <w:r>
        <w:rPr/>
        <w:t>fra</w:t>
      </w:r>
      <w:r>
        <w:rPr>
          <w:spacing w:val="-8"/>
        </w:rPr>
        <w:t> </w:t>
      </w:r>
      <w:r>
        <w:rPr/>
        <w:t>le</w:t>
      </w:r>
      <w:r>
        <w:rPr>
          <w:spacing w:val="-8"/>
        </w:rPr>
        <w:t> </w:t>
      </w:r>
      <w:r>
        <w:rPr/>
        <w:t>istituzioni</w:t>
      </w:r>
      <w:r>
        <w:rPr>
          <w:spacing w:val="-8"/>
        </w:rPr>
        <w:t> </w:t>
      </w:r>
      <w:r>
        <w:rPr/>
        <w:t>internazionali</w:t>
      </w:r>
      <w:r>
        <w:rPr>
          <w:spacing w:val="-8"/>
        </w:rPr>
        <w:t> </w:t>
      </w:r>
      <w:r>
        <w:rPr/>
        <w:t>e</w:t>
      </w:r>
      <w:r>
        <w:rPr>
          <w:spacing w:val="-9"/>
        </w:rPr>
        <w:t> </w:t>
      </w:r>
      <w:r>
        <w:rPr/>
        <w:t>i</w:t>
      </w:r>
      <w:r>
        <w:rPr>
          <w:spacing w:val="-6"/>
        </w:rPr>
        <w:t> </w:t>
      </w:r>
      <w:r>
        <w:rPr>
          <w:i/>
        </w:rPr>
        <w:t>policy</w:t>
      </w:r>
      <w:r>
        <w:rPr>
          <w:i/>
          <w:spacing w:val="-8"/>
        </w:rPr>
        <w:t> </w:t>
      </w:r>
      <w:r>
        <w:rPr>
          <w:i/>
        </w:rPr>
        <w:t>maker</w:t>
      </w:r>
      <w:r>
        <w:rPr>
          <w:i/>
          <w:spacing w:val="-8"/>
        </w:rPr>
        <w:t> </w:t>
      </w:r>
      <w:r>
        <w:rPr/>
        <w:t>è</w:t>
      </w:r>
      <w:r>
        <w:rPr>
          <w:spacing w:val="-8"/>
        </w:rPr>
        <w:t> </w:t>
      </w:r>
      <w:r>
        <w:rPr/>
        <w:t>che</w:t>
      </w:r>
      <w:r>
        <w:rPr>
          <w:spacing w:val="-8"/>
        </w:rPr>
        <w:t> </w:t>
      </w:r>
      <w:r>
        <w:rPr/>
        <w:t>sia opportuno introdurre in Europa uno stimolo fiscale, non solo per contrastare l’indebolimento</w:t>
      </w:r>
      <w:r>
        <w:rPr>
          <w:spacing w:val="-16"/>
        </w:rPr>
        <w:t> </w:t>
      </w:r>
      <w:r>
        <w:rPr/>
        <w:t>ciclico</w:t>
      </w:r>
      <w:r>
        <w:rPr>
          <w:spacing w:val="-19"/>
        </w:rPr>
        <w:t> </w:t>
      </w:r>
      <w:r>
        <w:rPr/>
        <w:t>ma</w:t>
      </w:r>
      <w:r>
        <w:rPr>
          <w:spacing w:val="-16"/>
        </w:rPr>
        <w:t> </w:t>
      </w:r>
      <w:r>
        <w:rPr/>
        <w:t>anche</w:t>
      </w:r>
      <w:r>
        <w:rPr>
          <w:spacing w:val="-17"/>
        </w:rPr>
        <w:t> </w:t>
      </w:r>
      <w:r>
        <w:rPr/>
        <w:t>per</w:t>
      </w:r>
      <w:r>
        <w:rPr>
          <w:spacing w:val="-16"/>
        </w:rPr>
        <w:t> </w:t>
      </w:r>
      <w:r>
        <w:rPr/>
        <w:t>affrontare</w:t>
      </w:r>
      <w:r>
        <w:rPr>
          <w:spacing w:val="-19"/>
        </w:rPr>
        <w:t> </w:t>
      </w:r>
      <w:r>
        <w:rPr/>
        <w:t>con</w:t>
      </w:r>
      <w:r>
        <w:rPr>
          <w:spacing w:val="-15"/>
        </w:rPr>
        <w:t> </w:t>
      </w:r>
      <w:r>
        <w:rPr/>
        <w:t>determinazione</w:t>
      </w:r>
      <w:r>
        <w:rPr>
          <w:spacing w:val="-18"/>
        </w:rPr>
        <w:t> </w:t>
      </w:r>
      <w:r>
        <w:rPr/>
        <w:t>nodi</w:t>
      </w:r>
      <w:r>
        <w:rPr>
          <w:spacing w:val="-16"/>
        </w:rPr>
        <w:t> </w:t>
      </w:r>
      <w:r>
        <w:rPr/>
        <w:t>strutturali quali la carenza di investimenti pubblici, i cambiamenti climatici e le tensioni sociali, e costruire un nuovo paradigma di crescita sostenibile a livello sociale e ambientale, basato sull’innovazione tecnologica e lo sviluppo delle</w:t>
      </w:r>
      <w:r>
        <w:rPr>
          <w:spacing w:val="-26"/>
        </w:rPr>
        <w:t> </w:t>
      </w:r>
      <w:r>
        <w:rPr/>
        <w:t>competenze.</w:t>
      </w:r>
    </w:p>
    <w:p>
      <w:pPr>
        <w:pStyle w:val="BodyText"/>
        <w:spacing w:line="252" w:lineRule="auto"/>
        <w:ind w:left="278" w:right="2262" w:firstLine="453"/>
        <w:jc w:val="both"/>
      </w:pPr>
      <w:r>
        <w:rPr/>
        <w:t>È</w:t>
      </w:r>
      <w:r>
        <w:rPr>
          <w:spacing w:val="-5"/>
        </w:rPr>
        <w:t> </w:t>
      </w:r>
      <w:r>
        <w:rPr/>
        <w:t>noto</w:t>
      </w:r>
      <w:r>
        <w:rPr>
          <w:spacing w:val="-4"/>
        </w:rPr>
        <w:t> </w:t>
      </w:r>
      <w:r>
        <w:rPr/>
        <w:t>che</w:t>
      </w:r>
      <w:r>
        <w:rPr>
          <w:spacing w:val="-5"/>
        </w:rPr>
        <w:t> </w:t>
      </w:r>
      <w:r>
        <w:rPr/>
        <w:t>la</w:t>
      </w:r>
      <w:r>
        <w:rPr>
          <w:spacing w:val="-4"/>
        </w:rPr>
        <w:t> </w:t>
      </w:r>
      <w:r>
        <w:rPr/>
        <w:t>politica</w:t>
      </w:r>
      <w:r>
        <w:rPr>
          <w:spacing w:val="-4"/>
        </w:rPr>
        <w:t> </w:t>
      </w:r>
      <w:r>
        <w:rPr/>
        <w:t>fiscale</w:t>
      </w:r>
      <w:r>
        <w:rPr>
          <w:spacing w:val="-4"/>
        </w:rPr>
        <w:t> </w:t>
      </w:r>
      <w:r>
        <w:rPr/>
        <w:t>ha</w:t>
      </w:r>
      <w:r>
        <w:rPr>
          <w:spacing w:val="-5"/>
        </w:rPr>
        <w:t> </w:t>
      </w:r>
      <w:r>
        <w:rPr/>
        <w:t>tempi</w:t>
      </w:r>
      <w:r>
        <w:rPr>
          <w:spacing w:val="-4"/>
        </w:rPr>
        <w:t> </w:t>
      </w:r>
      <w:r>
        <w:rPr/>
        <w:t>di</w:t>
      </w:r>
      <w:r>
        <w:rPr>
          <w:spacing w:val="-5"/>
        </w:rPr>
        <w:t> </w:t>
      </w:r>
      <w:r>
        <w:rPr/>
        <w:t>reazione</w:t>
      </w:r>
      <w:r>
        <w:rPr>
          <w:spacing w:val="-4"/>
        </w:rPr>
        <w:t> </w:t>
      </w:r>
      <w:r>
        <w:rPr/>
        <w:t>lenti</w:t>
      </w:r>
      <w:r>
        <w:rPr>
          <w:spacing w:val="-5"/>
        </w:rPr>
        <w:t> </w:t>
      </w:r>
      <w:r>
        <w:rPr/>
        <w:t>e</w:t>
      </w:r>
      <w:r>
        <w:rPr>
          <w:spacing w:val="-3"/>
        </w:rPr>
        <w:t> </w:t>
      </w:r>
      <w:r>
        <w:rPr/>
        <w:t>talvolta</w:t>
      </w:r>
      <w:r>
        <w:rPr>
          <w:spacing w:val="-5"/>
        </w:rPr>
        <w:t> </w:t>
      </w:r>
      <w:r>
        <w:rPr/>
        <w:t>può</w:t>
      </w:r>
      <w:r>
        <w:rPr>
          <w:spacing w:val="-4"/>
        </w:rPr>
        <w:t> </w:t>
      </w:r>
      <w:r>
        <w:rPr/>
        <w:t>giungere in ritardo rispetto alle fasi cicliche. Tuttavia, l’esperienza del 2009 dimostra che interventi di politica fiscale rapidi e incisivi possono essere efficaci in fasi di forte caduta dell’attività economica e costituiscono quindi un’assicurazione contro i </w:t>
      </w:r>
      <w:r>
        <w:rPr>
          <w:i/>
        </w:rPr>
        <w:t>tail </w:t>
      </w:r>
      <w:r>
        <w:rPr>
          <w:i/>
        </w:rPr>
        <w:t>risk </w:t>
      </w:r>
      <w:r>
        <w:rPr/>
        <w:t>economici e finanziari. Inoltre, con riferimento all’area euro, esistono senza dubbio</w:t>
      </w:r>
      <w:r>
        <w:rPr>
          <w:spacing w:val="-21"/>
        </w:rPr>
        <w:t> </w:t>
      </w:r>
      <w:r>
        <w:rPr/>
        <w:t>spazi</w:t>
      </w:r>
      <w:r>
        <w:rPr>
          <w:spacing w:val="-19"/>
        </w:rPr>
        <w:t> </w:t>
      </w:r>
      <w:r>
        <w:rPr/>
        <w:t>di</w:t>
      </w:r>
      <w:r>
        <w:rPr>
          <w:spacing w:val="-21"/>
        </w:rPr>
        <w:t> </w:t>
      </w:r>
      <w:r>
        <w:rPr/>
        <w:t>accomodamento</w:t>
      </w:r>
      <w:r>
        <w:rPr>
          <w:spacing w:val="-19"/>
        </w:rPr>
        <w:t> </w:t>
      </w:r>
      <w:r>
        <w:rPr/>
        <w:t>della</w:t>
      </w:r>
      <w:r>
        <w:rPr>
          <w:spacing w:val="-19"/>
        </w:rPr>
        <w:t> </w:t>
      </w:r>
      <w:r>
        <w:rPr/>
        <w:t>politica</w:t>
      </w:r>
      <w:r>
        <w:rPr>
          <w:spacing w:val="-19"/>
        </w:rPr>
        <w:t> </w:t>
      </w:r>
      <w:r>
        <w:rPr/>
        <w:t>fiscale,</w:t>
      </w:r>
      <w:r>
        <w:rPr>
          <w:spacing w:val="-18"/>
        </w:rPr>
        <w:t> </w:t>
      </w:r>
      <w:r>
        <w:rPr/>
        <w:t>specialmente</w:t>
      </w:r>
      <w:r>
        <w:rPr>
          <w:spacing w:val="-20"/>
        </w:rPr>
        <w:t> </w:t>
      </w:r>
      <w:r>
        <w:rPr/>
        <w:t>nel</w:t>
      </w:r>
      <w:r>
        <w:rPr>
          <w:spacing w:val="-19"/>
        </w:rPr>
        <w:t> </w:t>
      </w:r>
      <w:r>
        <w:rPr/>
        <w:t>caso</w:t>
      </w:r>
      <w:r>
        <w:rPr>
          <w:spacing w:val="-21"/>
        </w:rPr>
        <w:t> </w:t>
      </w:r>
      <w:r>
        <w:rPr/>
        <w:t>di</w:t>
      </w:r>
      <w:r>
        <w:rPr>
          <w:spacing w:val="-20"/>
        </w:rPr>
        <w:t> </w:t>
      </w:r>
      <w:r>
        <w:rPr/>
        <w:t>Paesi attualmente caratterizzati da surplus di</w:t>
      </w:r>
      <w:r>
        <w:rPr>
          <w:spacing w:val="-4"/>
        </w:rPr>
        <w:t> </w:t>
      </w:r>
      <w:r>
        <w:rPr/>
        <w:t>bilancio.</w:t>
      </w:r>
    </w:p>
    <w:p>
      <w:pPr>
        <w:pStyle w:val="BodyText"/>
        <w:spacing w:line="252" w:lineRule="auto"/>
        <w:ind w:left="278" w:right="2261" w:firstLine="453"/>
        <w:jc w:val="both"/>
      </w:pPr>
      <w:r>
        <w:rPr/>
        <w:t>Con riferimento all’economia italiana, le valutazioni più recenti basate su modelli interni di </w:t>
      </w:r>
      <w:r>
        <w:rPr>
          <w:i/>
        </w:rPr>
        <w:t>nowcasting </w:t>
      </w:r>
      <w:r>
        <w:rPr/>
        <w:t>indicano una crescita del PIL intorno allo zero nel terzo</w:t>
      </w:r>
      <w:r>
        <w:rPr>
          <w:spacing w:val="-14"/>
        </w:rPr>
        <w:t> </w:t>
      </w:r>
      <w:r>
        <w:rPr/>
        <w:t>trimestre</w:t>
      </w:r>
      <w:r>
        <w:rPr>
          <w:spacing w:val="-12"/>
        </w:rPr>
        <w:t> </w:t>
      </w:r>
      <w:r>
        <w:rPr/>
        <w:t>ed</w:t>
      </w:r>
      <w:r>
        <w:rPr>
          <w:spacing w:val="-15"/>
        </w:rPr>
        <w:t> </w:t>
      </w:r>
      <w:r>
        <w:rPr/>
        <w:t>un</w:t>
      </w:r>
      <w:r>
        <w:rPr>
          <w:spacing w:val="-14"/>
        </w:rPr>
        <w:t> </w:t>
      </w:r>
      <w:r>
        <w:rPr/>
        <w:t>intervallo</w:t>
      </w:r>
      <w:r>
        <w:rPr>
          <w:spacing w:val="-14"/>
        </w:rPr>
        <w:t> </w:t>
      </w:r>
      <w:r>
        <w:rPr/>
        <w:t>di</w:t>
      </w:r>
      <w:r>
        <w:rPr>
          <w:spacing w:val="-14"/>
        </w:rPr>
        <w:t> </w:t>
      </w:r>
      <w:r>
        <w:rPr/>
        <w:t>0,0-0,2</w:t>
      </w:r>
      <w:r>
        <w:rPr>
          <w:spacing w:val="-13"/>
        </w:rPr>
        <w:t> </w:t>
      </w:r>
      <w:r>
        <w:rPr/>
        <w:t>per</w:t>
      </w:r>
      <w:r>
        <w:rPr>
          <w:spacing w:val="-13"/>
        </w:rPr>
        <w:t> </w:t>
      </w:r>
      <w:r>
        <w:rPr/>
        <w:t>cento</w:t>
      </w:r>
      <w:r>
        <w:rPr>
          <w:spacing w:val="-13"/>
        </w:rPr>
        <w:t> </w:t>
      </w:r>
      <w:r>
        <w:rPr/>
        <w:t>per</w:t>
      </w:r>
      <w:r>
        <w:rPr>
          <w:spacing w:val="-13"/>
        </w:rPr>
        <w:t> </w:t>
      </w:r>
      <w:r>
        <w:rPr/>
        <w:t>la</w:t>
      </w:r>
      <w:r>
        <w:rPr>
          <w:spacing w:val="-14"/>
        </w:rPr>
        <w:t> </w:t>
      </w:r>
      <w:r>
        <w:rPr/>
        <w:t>crescita</w:t>
      </w:r>
      <w:r>
        <w:rPr>
          <w:spacing w:val="-14"/>
        </w:rPr>
        <w:t> </w:t>
      </w:r>
      <w:r>
        <w:rPr/>
        <w:t>trimestrale</w:t>
      </w:r>
      <w:r>
        <w:rPr>
          <w:spacing w:val="-13"/>
        </w:rPr>
        <w:t> </w:t>
      </w:r>
      <w:r>
        <w:rPr/>
        <w:t>negli ultimi</w:t>
      </w:r>
      <w:r>
        <w:rPr>
          <w:spacing w:val="-8"/>
        </w:rPr>
        <w:t> </w:t>
      </w:r>
      <w:r>
        <w:rPr/>
        <w:t>tre</w:t>
      </w:r>
      <w:r>
        <w:rPr>
          <w:spacing w:val="-6"/>
        </w:rPr>
        <w:t> </w:t>
      </w:r>
      <w:r>
        <w:rPr/>
        <w:t>mesi</w:t>
      </w:r>
      <w:r>
        <w:rPr>
          <w:spacing w:val="-7"/>
        </w:rPr>
        <w:t> </w:t>
      </w:r>
      <w:r>
        <w:rPr/>
        <w:t>dell’anno.</w:t>
      </w:r>
      <w:r>
        <w:rPr>
          <w:spacing w:val="-7"/>
        </w:rPr>
        <w:t> </w:t>
      </w:r>
      <w:r>
        <w:rPr/>
        <w:t>Poiché</w:t>
      </w:r>
      <w:r>
        <w:rPr>
          <w:spacing w:val="-7"/>
        </w:rPr>
        <w:t> </w:t>
      </w:r>
      <w:r>
        <w:rPr/>
        <w:t>la</w:t>
      </w:r>
      <w:r>
        <w:rPr>
          <w:spacing w:val="-7"/>
        </w:rPr>
        <w:t> </w:t>
      </w:r>
      <w:r>
        <w:rPr/>
        <w:t>stima</w:t>
      </w:r>
      <w:r>
        <w:rPr>
          <w:spacing w:val="-8"/>
        </w:rPr>
        <w:t> </w:t>
      </w:r>
      <w:r>
        <w:rPr/>
        <w:t>di</w:t>
      </w:r>
      <w:r>
        <w:rPr>
          <w:spacing w:val="-10"/>
        </w:rPr>
        <w:t> </w:t>
      </w:r>
      <w:r>
        <w:rPr/>
        <w:t>crescita</w:t>
      </w:r>
      <w:r>
        <w:rPr>
          <w:spacing w:val="-7"/>
        </w:rPr>
        <w:t> </w:t>
      </w:r>
      <w:r>
        <w:rPr/>
        <w:t>per</w:t>
      </w:r>
      <w:r>
        <w:rPr>
          <w:spacing w:val="-7"/>
        </w:rPr>
        <w:t> </w:t>
      </w:r>
      <w:r>
        <w:rPr/>
        <w:t>il</w:t>
      </w:r>
      <w:r>
        <w:rPr>
          <w:spacing w:val="-7"/>
        </w:rPr>
        <w:t> </w:t>
      </w:r>
      <w:r>
        <w:rPr/>
        <w:t>primo</w:t>
      </w:r>
      <w:r>
        <w:rPr>
          <w:spacing w:val="-7"/>
        </w:rPr>
        <w:t> </w:t>
      </w:r>
      <w:r>
        <w:rPr/>
        <w:t>semestre</w:t>
      </w:r>
      <w:r>
        <w:rPr>
          <w:spacing w:val="-8"/>
        </w:rPr>
        <w:t> </w:t>
      </w:r>
      <w:r>
        <w:rPr/>
        <w:t>del</w:t>
      </w:r>
      <w:r>
        <w:rPr>
          <w:spacing w:val="-7"/>
        </w:rPr>
        <w:t> </w:t>
      </w:r>
      <w:r>
        <w:rPr/>
        <w:t>2019 formulata nel DEF è stata sostanzialmente confermata, è la revisione al ribasso dell’andamento del secondo semestre ad aver causato la limatura della previsione di crescita media</w:t>
      </w:r>
      <w:r>
        <w:rPr>
          <w:spacing w:val="-4"/>
        </w:rPr>
        <w:t> </w:t>
      </w:r>
      <w:r>
        <w:rPr/>
        <w:t>annuale.</w:t>
      </w:r>
    </w:p>
    <w:p>
      <w:pPr>
        <w:pStyle w:val="BodyText"/>
        <w:rPr>
          <w:sz w:val="26"/>
        </w:rPr>
      </w:pPr>
    </w:p>
    <w:p>
      <w:pPr>
        <w:pStyle w:val="BodyText"/>
        <w:spacing w:before="3"/>
        <w:rPr>
          <w:sz w:val="21"/>
        </w:rPr>
      </w:pPr>
    </w:p>
    <w:p>
      <w:pPr>
        <w:pStyle w:val="Heading2"/>
        <w:numPr>
          <w:ilvl w:val="1"/>
          <w:numId w:val="2"/>
        </w:numPr>
        <w:tabs>
          <w:tab w:pos="651" w:val="left" w:leader="none"/>
        </w:tabs>
        <w:spacing w:line="218" w:lineRule="auto" w:before="0" w:after="0"/>
        <w:ind w:left="674" w:right="3750" w:hanging="396"/>
        <w:jc w:val="left"/>
      </w:pPr>
      <w:r>
        <w:rPr>
          <w:color w:val="086D44"/>
        </w:rPr>
        <w:t>SCENARIO MACROECONOMICO E FINANZA</w:t>
      </w:r>
      <w:r>
        <w:rPr>
          <w:color w:val="086D44"/>
          <w:spacing w:val="-21"/>
        </w:rPr>
        <w:t> </w:t>
      </w:r>
      <w:r>
        <w:rPr>
          <w:color w:val="086D44"/>
        </w:rPr>
        <w:t>PUBBLICA TENDENZIALI</w:t>
      </w:r>
    </w:p>
    <w:p>
      <w:pPr>
        <w:pStyle w:val="BodyText"/>
        <w:spacing w:before="3"/>
        <w:rPr>
          <w:rFonts w:ascii="Franklin Gothic Heavy"/>
          <w:b/>
          <w:sz w:val="23"/>
        </w:rPr>
      </w:pPr>
    </w:p>
    <w:p>
      <w:pPr>
        <w:pStyle w:val="BodyText"/>
        <w:spacing w:line="252" w:lineRule="auto"/>
        <w:ind w:left="278" w:right="2262" w:firstLine="453"/>
        <w:jc w:val="both"/>
      </w:pPr>
      <w:r>
        <w:rPr/>
        <w:t>Il recupero dei mercati finanziari italiani è uno sviluppo decisamente positivo per l’economia nazionale, in quanto deriva non solo da fattori internazionali, ma anche</w:t>
      </w:r>
      <w:r>
        <w:rPr>
          <w:spacing w:val="-10"/>
        </w:rPr>
        <w:t> </w:t>
      </w:r>
      <w:r>
        <w:rPr/>
        <w:t>dall’accordo</w:t>
      </w:r>
      <w:r>
        <w:rPr>
          <w:spacing w:val="-15"/>
        </w:rPr>
        <w:t> </w:t>
      </w:r>
      <w:r>
        <w:rPr/>
        <w:t>con</w:t>
      </w:r>
      <w:r>
        <w:rPr>
          <w:spacing w:val="-11"/>
        </w:rPr>
        <w:t> </w:t>
      </w:r>
      <w:r>
        <w:rPr/>
        <w:t>la</w:t>
      </w:r>
      <w:r>
        <w:rPr>
          <w:spacing w:val="-10"/>
        </w:rPr>
        <w:t> </w:t>
      </w:r>
      <w:r>
        <w:rPr/>
        <w:t>Commissione</w:t>
      </w:r>
      <w:r>
        <w:rPr>
          <w:spacing w:val="-10"/>
        </w:rPr>
        <w:t> </w:t>
      </w:r>
      <w:r>
        <w:rPr/>
        <w:t>Europea</w:t>
      </w:r>
      <w:r>
        <w:rPr>
          <w:spacing w:val="-13"/>
        </w:rPr>
        <w:t> </w:t>
      </w:r>
      <w:r>
        <w:rPr/>
        <w:t>con</w:t>
      </w:r>
      <w:r>
        <w:rPr>
          <w:spacing w:val="-12"/>
        </w:rPr>
        <w:t> </w:t>
      </w:r>
      <w:r>
        <w:rPr/>
        <w:t>cui</w:t>
      </w:r>
      <w:r>
        <w:rPr>
          <w:spacing w:val="-11"/>
        </w:rPr>
        <w:t> </w:t>
      </w:r>
      <w:r>
        <w:rPr/>
        <w:t>si</w:t>
      </w:r>
      <w:r>
        <w:rPr>
          <w:spacing w:val="-12"/>
        </w:rPr>
        <w:t> </w:t>
      </w:r>
      <w:r>
        <w:rPr/>
        <w:t>è</w:t>
      </w:r>
      <w:r>
        <w:rPr>
          <w:spacing w:val="-12"/>
        </w:rPr>
        <w:t> </w:t>
      </w:r>
      <w:r>
        <w:rPr/>
        <w:t>sventata</w:t>
      </w:r>
      <w:r>
        <w:rPr>
          <w:spacing w:val="-9"/>
        </w:rPr>
        <w:t> </w:t>
      </w:r>
      <w:r>
        <w:rPr/>
        <w:t>una</w:t>
      </w:r>
      <w:r>
        <w:rPr>
          <w:spacing w:val="-10"/>
        </w:rPr>
        <w:t> </w:t>
      </w:r>
      <w:r>
        <w:rPr/>
        <w:t>procedura per disavanzo eccessivo e dal riorientamento della politica estera e di bilancio del Paese operato dal nuovo Governo verso un convinto sostegno all’integrazione europea, all’approfondimento dell’Unione Monetaria e alla sostenibilità della finanza pubblica. Se la percezione di minore incertezza evidenziata dal restringimento dello </w:t>
      </w:r>
      <w:r>
        <w:rPr>
          <w:i/>
        </w:rPr>
        <w:t>spread </w:t>
      </w:r>
      <w:r>
        <w:rPr/>
        <w:t>sovrano si diffonderà dai mercati finanziari anche ai consumatori e alle imprese, e se essa si tradurrà in maggiore domanda di credito, la domanda interna potrebbe rafforzarsi anche in presenza di un quadro internazionale ancora</w:t>
      </w:r>
      <w:r>
        <w:rPr>
          <w:spacing w:val="-2"/>
        </w:rPr>
        <w:t> </w:t>
      </w:r>
      <w:r>
        <w:rPr/>
        <w:t>difficile.</w:t>
      </w:r>
    </w:p>
    <w:p>
      <w:pPr>
        <w:pStyle w:val="BodyText"/>
        <w:spacing w:line="252" w:lineRule="auto" w:before="1"/>
        <w:ind w:left="278" w:right="2264" w:firstLine="453"/>
        <w:jc w:val="both"/>
      </w:pPr>
      <w:r>
        <w:rPr/>
        <w:t>Tuttavia, come si è detto, gli indicatori ciclici non fanno ancora intravvedere una</w:t>
      </w:r>
      <w:r>
        <w:rPr>
          <w:spacing w:val="-9"/>
        </w:rPr>
        <w:t> </w:t>
      </w:r>
      <w:r>
        <w:rPr/>
        <w:t>chiara</w:t>
      </w:r>
      <w:r>
        <w:rPr>
          <w:spacing w:val="-10"/>
        </w:rPr>
        <w:t> </w:t>
      </w:r>
      <w:r>
        <w:rPr/>
        <w:t>inversione</w:t>
      </w:r>
      <w:r>
        <w:rPr>
          <w:spacing w:val="-8"/>
        </w:rPr>
        <w:t> </w:t>
      </w:r>
      <w:r>
        <w:rPr/>
        <w:t>di</w:t>
      </w:r>
      <w:r>
        <w:rPr>
          <w:spacing w:val="-13"/>
        </w:rPr>
        <w:t> </w:t>
      </w:r>
      <w:r>
        <w:rPr/>
        <w:t>tendenza</w:t>
      </w:r>
      <w:r>
        <w:rPr>
          <w:spacing w:val="-9"/>
        </w:rPr>
        <w:t> </w:t>
      </w:r>
      <w:r>
        <w:rPr/>
        <w:t>del</w:t>
      </w:r>
      <w:r>
        <w:rPr>
          <w:spacing w:val="-10"/>
        </w:rPr>
        <w:t> </w:t>
      </w:r>
      <w:r>
        <w:rPr/>
        <w:t>ciclo</w:t>
      </w:r>
      <w:r>
        <w:rPr>
          <w:spacing w:val="-10"/>
        </w:rPr>
        <w:t> </w:t>
      </w:r>
      <w:r>
        <w:rPr/>
        <w:t>internazionale.</w:t>
      </w:r>
      <w:r>
        <w:rPr>
          <w:spacing w:val="-8"/>
        </w:rPr>
        <w:t> </w:t>
      </w:r>
      <w:r>
        <w:rPr/>
        <w:t>Inoltre,</w:t>
      </w:r>
      <w:r>
        <w:rPr>
          <w:spacing w:val="-9"/>
        </w:rPr>
        <w:t> </w:t>
      </w:r>
      <w:r>
        <w:rPr/>
        <w:t>il</w:t>
      </w:r>
      <w:r>
        <w:rPr>
          <w:spacing w:val="-11"/>
        </w:rPr>
        <w:t> </w:t>
      </w:r>
      <w:r>
        <w:rPr/>
        <w:t>trascinamento della crescita 2019 sull’anno prossimo è nettamente inferiore a quanto prefigurato nel DEF. Di conseguenza, la crescita reale tendenziale prevista per il 2020 viene rivista al ribasso, dallo 0,8 allo 0,4 per</w:t>
      </w:r>
      <w:r>
        <w:rPr>
          <w:spacing w:val="-6"/>
        </w:rPr>
        <w:t> </w:t>
      </w:r>
      <w:r>
        <w:rPr/>
        <w:t>cento.</w:t>
      </w:r>
    </w:p>
    <w:p>
      <w:pPr>
        <w:pStyle w:val="BodyText"/>
        <w:spacing w:line="252" w:lineRule="auto"/>
        <w:ind w:left="278" w:right="2261" w:firstLine="453"/>
        <w:jc w:val="both"/>
      </w:pPr>
      <w:r>
        <w:rPr/>
        <w:t>Le variabili esogene della previsione, che sono state valutate a inizio settembre, mostrano livelli attesi dei tassi di cambio e del prezzo del petrolio solo lievemente mutati in confronto al DEF. Viceversa, le previsioni di crescita del PIL mondiale e del commercio internazionale sono nettamente più sfavorevoli, mentre</w:t>
      </w:r>
    </w:p>
    <w:p>
      <w:pPr>
        <w:spacing w:after="0" w:line="252" w:lineRule="auto"/>
        <w:jc w:val="both"/>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1128" w:right="1415"/>
        <w:jc w:val="both"/>
      </w:pPr>
      <w:r>
        <w:rPr/>
        <w:t>i livelli attesi dei tassi d’interesse e dei rendimenti sui titoli di Stato sono decisamente più favorevoli.</w:t>
      </w:r>
    </w:p>
    <w:p>
      <w:pPr>
        <w:pStyle w:val="BodyText"/>
        <w:spacing w:line="252" w:lineRule="auto" w:before="2"/>
        <w:ind w:left="1128" w:right="1413" w:firstLine="453"/>
        <w:jc w:val="both"/>
      </w:pPr>
      <w:r>
        <w:rPr/>
        <w:t>Come illustrato dettagliatamente nel Capitolo II del presente documento, l’impatto</w:t>
      </w:r>
      <w:r>
        <w:rPr>
          <w:spacing w:val="-9"/>
        </w:rPr>
        <w:t> </w:t>
      </w:r>
      <w:r>
        <w:rPr/>
        <w:t>complessivo</w:t>
      </w:r>
      <w:r>
        <w:rPr>
          <w:spacing w:val="-8"/>
        </w:rPr>
        <w:t> </w:t>
      </w:r>
      <w:r>
        <w:rPr/>
        <w:t>dei</w:t>
      </w:r>
      <w:r>
        <w:rPr>
          <w:spacing w:val="-9"/>
        </w:rPr>
        <w:t> </w:t>
      </w:r>
      <w:r>
        <w:rPr/>
        <w:t>cambiamenti</w:t>
      </w:r>
      <w:r>
        <w:rPr>
          <w:spacing w:val="-8"/>
        </w:rPr>
        <w:t> </w:t>
      </w:r>
      <w:r>
        <w:rPr/>
        <w:t>delle</w:t>
      </w:r>
      <w:r>
        <w:rPr>
          <w:spacing w:val="-10"/>
        </w:rPr>
        <w:t> </w:t>
      </w:r>
      <w:r>
        <w:rPr/>
        <w:t>variabili</w:t>
      </w:r>
      <w:r>
        <w:rPr>
          <w:spacing w:val="-8"/>
        </w:rPr>
        <w:t> </w:t>
      </w:r>
      <w:r>
        <w:rPr/>
        <w:t>esogene</w:t>
      </w:r>
      <w:r>
        <w:rPr>
          <w:spacing w:val="-9"/>
        </w:rPr>
        <w:t> </w:t>
      </w:r>
      <w:r>
        <w:rPr/>
        <w:t>sulla</w:t>
      </w:r>
      <w:r>
        <w:rPr>
          <w:spacing w:val="-10"/>
        </w:rPr>
        <w:t> </w:t>
      </w:r>
      <w:r>
        <w:rPr/>
        <w:t>crescita</w:t>
      </w:r>
      <w:r>
        <w:rPr>
          <w:spacing w:val="-8"/>
        </w:rPr>
        <w:t> </w:t>
      </w:r>
      <w:r>
        <w:rPr/>
        <w:t>del</w:t>
      </w:r>
      <w:r>
        <w:rPr>
          <w:spacing w:val="-9"/>
        </w:rPr>
        <w:t> </w:t>
      </w:r>
      <w:r>
        <w:rPr/>
        <w:t>PIL è</w:t>
      </w:r>
      <w:r>
        <w:rPr>
          <w:spacing w:val="-4"/>
        </w:rPr>
        <w:t> </w:t>
      </w:r>
      <w:r>
        <w:rPr/>
        <w:t>pari</w:t>
      </w:r>
      <w:r>
        <w:rPr>
          <w:spacing w:val="-5"/>
        </w:rPr>
        <w:t> </w:t>
      </w:r>
      <w:r>
        <w:rPr/>
        <w:t>a</w:t>
      </w:r>
      <w:r>
        <w:rPr>
          <w:spacing w:val="-6"/>
        </w:rPr>
        <w:t> </w:t>
      </w:r>
      <w:r>
        <w:rPr/>
        <w:t>-0,1</w:t>
      </w:r>
      <w:r>
        <w:rPr>
          <w:spacing w:val="-6"/>
        </w:rPr>
        <w:t> </w:t>
      </w:r>
      <w:r>
        <w:rPr/>
        <w:t>punti</w:t>
      </w:r>
      <w:r>
        <w:rPr>
          <w:spacing w:val="-3"/>
        </w:rPr>
        <w:t> </w:t>
      </w:r>
      <w:r>
        <w:rPr/>
        <w:t>percentuali</w:t>
      </w:r>
      <w:r>
        <w:rPr>
          <w:spacing w:val="-4"/>
        </w:rPr>
        <w:t> </w:t>
      </w:r>
      <w:r>
        <w:rPr/>
        <w:t>quest’anno,</w:t>
      </w:r>
      <w:r>
        <w:rPr>
          <w:spacing w:val="-2"/>
        </w:rPr>
        <w:t> </w:t>
      </w:r>
      <w:r>
        <w:rPr/>
        <w:t>nullo</w:t>
      </w:r>
      <w:r>
        <w:rPr>
          <w:spacing w:val="-6"/>
        </w:rPr>
        <w:t> </w:t>
      </w:r>
      <w:r>
        <w:rPr/>
        <w:t>per</w:t>
      </w:r>
      <w:r>
        <w:rPr>
          <w:spacing w:val="-3"/>
        </w:rPr>
        <w:t> </w:t>
      </w:r>
      <w:r>
        <w:rPr/>
        <w:t>il</w:t>
      </w:r>
      <w:r>
        <w:rPr>
          <w:spacing w:val="-6"/>
        </w:rPr>
        <w:t> </w:t>
      </w:r>
      <w:r>
        <w:rPr/>
        <w:t>2020</w:t>
      </w:r>
      <w:r>
        <w:rPr>
          <w:spacing w:val="-4"/>
        </w:rPr>
        <w:t> </w:t>
      </w:r>
      <w:r>
        <w:rPr/>
        <w:t>e</w:t>
      </w:r>
      <w:r>
        <w:rPr>
          <w:spacing w:val="-6"/>
        </w:rPr>
        <w:t> </w:t>
      </w:r>
      <w:r>
        <w:rPr/>
        <w:t>decisamente</w:t>
      </w:r>
      <w:r>
        <w:rPr>
          <w:spacing w:val="-3"/>
        </w:rPr>
        <w:t> </w:t>
      </w:r>
      <w:r>
        <w:rPr/>
        <w:t>positivo per il 2021 e 2022, pur con tutti i rischi che caratterizzano un orizzonte previsivo pluriennale. Il fatto che nel 2020 le variabili esogene internazionali peggiorino nel complesso mentre quelle maggiormente guidate da fattori interni (quali lo </w:t>
      </w:r>
      <w:r>
        <w:rPr>
          <w:i/>
        </w:rPr>
        <w:t>spread</w:t>
      </w:r>
      <w:r>
        <w:rPr/>
        <w:t>) migliorino suggerisce che si dovrebbe verificare uno spostamento relativo della crescita della domanda aggregata dal settore estero alle componenti</w:t>
      </w:r>
      <w:r>
        <w:rPr>
          <w:spacing w:val="-20"/>
        </w:rPr>
        <w:t> </w:t>
      </w:r>
      <w:r>
        <w:rPr/>
        <w:t>interne.</w:t>
      </w:r>
    </w:p>
    <w:p>
      <w:pPr>
        <w:pStyle w:val="BodyText"/>
        <w:spacing w:before="8"/>
        <w:rPr>
          <w:sz w:val="23"/>
        </w:rPr>
      </w:pPr>
    </w:p>
    <w:tbl>
      <w:tblPr>
        <w:tblW w:w="0" w:type="auto"/>
        <w:jc w:val="left"/>
        <w:tblInd w:w="1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4"/>
        <w:gridCol w:w="962"/>
        <w:gridCol w:w="786"/>
        <w:gridCol w:w="786"/>
        <w:gridCol w:w="786"/>
        <w:gridCol w:w="786"/>
      </w:tblGrid>
      <w:tr>
        <w:trPr>
          <w:trHeight w:val="511" w:hRule="atLeast"/>
        </w:trPr>
        <w:tc>
          <w:tcPr>
            <w:tcW w:w="8220" w:type="dxa"/>
            <w:gridSpan w:val="6"/>
            <w:shd w:val="clear" w:color="auto" w:fill="006247"/>
          </w:tcPr>
          <w:p>
            <w:pPr>
              <w:pStyle w:val="TableParagraph"/>
              <w:spacing w:before="45"/>
              <w:ind w:left="69"/>
              <w:jc w:val="left"/>
              <w:rPr>
                <w:rFonts w:ascii="Franklin Gothic Heavy"/>
                <w:b/>
                <w:sz w:val="17"/>
              </w:rPr>
            </w:pPr>
            <w:r>
              <w:rPr>
                <w:rFonts w:ascii="Franklin Gothic Heavy"/>
                <w:b/>
                <w:color w:val="EFEFEF"/>
                <w:sz w:val="17"/>
              </w:rPr>
              <w:t>TAVOLA I.1: QUADRO MACROECONOMICO TENDENZIALE (variazioni percentuali, salvo ove non diversamente indicato)</w:t>
            </w:r>
          </w:p>
        </w:tc>
      </w:tr>
      <w:tr>
        <w:trPr>
          <w:trHeight w:val="228" w:hRule="atLeast"/>
        </w:trPr>
        <w:tc>
          <w:tcPr>
            <w:tcW w:w="4114" w:type="dxa"/>
            <w:tcBorders>
              <w:bottom w:val="single" w:sz="8" w:space="0" w:color="000000"/>
            </w:tcBorders>
          </w:tcPr>
          <w:p>
            <w:pPr>
              <w:pStyle w:val="TableParagraph"/>
              <w:jc w:val="left"/>
              <w:rPr>
                <w:rFonts w:ascii="Times New Roman"/>
                <w:sz w:val="16"/>
              </w:rPr>
            </w:pPr>
          </w:p>
        </w:tc>
        <w:tc>
          <w:tcPr>
            <w:tcW w:w="962" w:type="dxa"/>
            <w:tcBorders>
              <w:bottom w:val="single" w:sz="8" w:space="0" w:color="000000"/>
            </w:tcBorders>
          </w:tcPr>
          <w:p>
            <w:pPr>
              <w:pStyle w:val="TableParagraph"/>
              <w:ind w:right="190"/>
              <w:rPr>
                <w:sz w:val="17"/>
              </w:rPr>
            </w:pPr>
            <w:r>
              <w:rPr>
                <w:sz w:val="17"/>
              </w:rPr>
              <w:t>2018</w:t>
            </w:r>
          </w:p>
        </w:tc>
        <w:tc>
          <w:tcPr>
            <w:tcW w:w="786" w:type="dxa"/>
            <w:tcBorders>
              <w:bottom w:val="single" w:sz="8" w:space="0" w:color="000000"/>
            </w:tcBorders>
          </w:tcPr>
          <w:p>
            <w:pPr>
              <w:pStyle w:val="TableParagraph"/>
              <w:ind w:left="172" w:right="172"/>
              <w:jc w:val="center"/>
              <w:rPr>
                <w:sz w:val="17"/>
              </w:rPr>
            </w:pPr>
            <w:r>
              <w:rPr>
                <w:sz w:val="17"/>
              </w:rPr>
              <w:t>2019</w:t>
            </w:r>
          </w:p>
        </w:tc>
        <w:tc>
          <w:tcPr>
            <w:tcW w:w="786" w:type="dxa"/>
            <w:tcBorders>
              <w:bottom w:val="single" w:sz="8" w:space="0" w:color="000000"/>
            </w:tcBorders>
          </w:tcPr>
          <w:p>
            <w:pPr>
              <w:pStyle w:val="TableParagraph"/>
              <w:ind w:left="173" w:right="171"/>
              <w:jc w:val="center"/>
              <w:rPr>
                <w:sz w:val="17"/>
              </w:rPr>
            </w:pPr>
            <w:r>
              <w:rPr>
                <w:sz w:val="17"/>
              </w:rPr>
              <w:t>2020</w:t>
            </w:r>
          </w:p>
        </w:tc>
        <w:tc>
          <w:tcPr>
            <w:tcW w:w="786" w:type="dxa"/>
            <w:tcBorders>
              <w:bottom w:val="single" w:sz="8" w:space="0" w:color="000000"/>
            </w:tcBorders>
          </w:tcPr>
          <w:p>
            <w:pPr>
              <w:pStyle w:val="TableParagraph"/>
              <w:ind w:left="172" w:right="172"/>
              <w:jc w:val="center"/>
              <w:rPr>
                <w:sz w:val="17"/>
              </w:rPr>
            </w:pPr>
            <w:r>
              <w:rPr>
                <w:sz w:val="17"/>
              </w:rPr>
              <w:t>2021</w:t>
            </w:r>
          </w:p>
        </w:tc>
        <w:tc>
          <w:tcPr>
            <w:tcW w:w="786" w:type="dxa"/>
            <w:tcBorders>
              <w:bottom w:val="single" w:sz="8" w:space="0" w:color="000000"/>
            </w:tcBorders>
          </w:tcPr>
          <w:p>
            <w:pPr>
              <w:pStyle w:val="TableParagraph"/>
              <w:ind w:left="173" w:right="170"/>
              <w:jc w:val="center"/>
              <w:rPr>
                <w:sz w:val="17"/>
              </w:rPr>
            </w:pPr>
            <w:r>
              <w:rPr>
                <w:sz w:val="17"/>
              </w:rPr>
              <w:t>2022</w:t>
            </w:r>
          </w:p>
        </w:tc>
      </w:tr>
      <w:tr>
        <w:trPr>
          <w:trHeight w:val="266" w:hRule="atLeast"/>
        </w:trPr>
        <w:tc>
          <w:tcPr>
            <w:tcW w:w="4114" w:type="dxa"/>
            <w:tcBorders>
              <w:top w:val="single" w:sz="8" w:space="0" w:color="000000"/>
            </w:tcBorders>
          </w:tcPr>
          <w:p>
            <w:pPr>
              <w:pStyle w:val="TableParagraph"/>
              <w:spacing w:before="28"/>
              <w:ind w:left="69"/>
              <w:jc w:val="left"/>
              <w:rPr>
                <w:sz w:val="17"/>
              </w:rPr>
            </w:pPr>
            <w:r>
              <w:rPr>
                <w:sz w:val="17"/>
              </w:rPr>
              <w:t>PIL</w:t>
            </w:r>
          </w:p>
        </w:tc>
        <w:tc>
          <w:tcPr>
            <w:tcW w:w="962" w:type="dxa"/>
            <w:tcBorders>
              <w:top w:val="single" w:sz="8" w:space="0" w:color="000000"/>
            </w:tcBorders>
          </w:tcPr>
          <w:p>
            <w:pPr>
              <w:pStyle w:val="TableParagraph"/>
              <w:spacing w:before="28"/>
              <w:ind w:left="449"/>
              <w:jc w:val="left"/>
              <w:rPr>
                <w:sz w:val="17"/>
              </w:rPr>
            </w:pPr>
            <w:r>
              <w:rPr>
                <w:sz w:val="17"/>
              </w:rPr>
              <w:t>0,8</w:t>
            </w:r>
          </w:p>
        </w:tc>
        <w:tc>
          <w:tcPr>
            <w:tcW w:w="786" w:type="dxa"/>
            <w:tcBorders>
              <w:top w:val="single" w:sz="8" w:space="0" w:color="000000"/>
            </w:tcBorders>
          </w:tcPr>
          <w:p>
            <w:pPr>
              <w:pStyle w:val="TableParagraph"/>
              <w:spacing w:before="28"/>
              <w:ind w:left="173" w:right="171"/>
              <w:jc w:val="center"/>
              <w:rPr>
                <w:sz w:val="17"/>
              </w:rPr>
            </w:pPr>
            <w:r>
              <w:rPr>
                <w:sz w:val="17"/>
              </w:rPr>
              <w:t>0,1</w:t>
            </w:r>
          </w:p>
        </w:tc>
        <w:tc>
          <w:tcPr>
            <w:tcW w:w="786" w:type="dxa"/>
            <w:tcBorders>
              <w:top w:val="single" w:sz="8" w:space="0" w:color="000000"/>
            </w:tcBorders>
          </w:tcPr>
          <w:p>
            <w:pPr>
              <w:pStyle w:val="TableParagraph"/>
              <w:spacing w:before="28"/>
              <w:ind w:left="173" w:right="169"/>
              <w:jc w:val="center"/>
              <w:rPr>
                <w:sz w:val="17"/>
              </w:rPr>
            </w:pPr>
            <w:r>
              <w:rPr>
                <w:sz w:val="17"/>
              </w:rPr>
              <w:t>0,4</w:t>
            </w:r>
          </w:p>
        </w:tc>
        <w:tc>
          <w:tcPr>
            <w:tcW w:w="786" w:type="dxa"/>
            <w:tcBorders>
              <w:top w:val="single" w:sz="8" w:space="0" w:color="000000"/>
            </w:tcBorders>
          </w:tcPr>
          <w:p>
            <w:pPr>
              <w:pStyle w:val="TableParagraph"/>
              <w:spacing w:before="28"/>
              <w:ind w:left="173" w:right="170"/>
              <w:jc w:val="center"/>
              <w:rPr>
                <w:sz w:val="17"/>
              </w:rPr>
            </w:pPr>
            <w:r>
              <w:rPr>
                <w:sz w:val="17"/>
              </w:rPr>
              <w:t>0,8</w:t>
            </w:r>
          </w:p>
        </w:tc>
        <w:tc>
          <w:tcPr>
            <w:tcW w:w="786" w:type="dxa"/>
            <w:tcBorders>
              <w:top w:val="single" w:sz="8" w:space="0" w:color="000000"/>
            </w:tcBorders>
          </w:tcPr>
          <w:p>
            <w:pPr>
              <w:pStyle w:val="TableParagraph"/>
              <w:spacing w:before="28"/>
              <w:ind w:left="173" w:right="168"/>
              <w:jc w:val="center"/>
              <w:rPr>
                <w:sz w:val="17"/>
              </w:rPr>
            </w:pPr>
            <w:r>
              <w:rPr>
                <w:sz w:val="17"/>
              </w:rPr>
              <w:t>1,0</w:t>
            </w:r>
          </w:p>
        </w:tc>
      </w:tr>
      <w:tr>
        <w:trPr>
          <w:trHeight w:val="281" w:hRule="atLeast"/>
        </w:trPr>
        <w:tc>
          <w:tcPr>
            <w:tcW w:w="4114" w:type="dxa"/>
          </w:tcPr>
          <w:p>
            <w:pPr>
              <w:pStyle w:val="TableParagraph"/>
              <w:spacing w:before="45"/>
              <w:ind w:left="69"/>
              <w:jc w:val="left"/>
              <w:rPr>
                <w:sz w:val="17"/>
              </w:rPr>
            </w:pPr>
            <w:r>
              <w:rPr>
                <w:sz w:val="17"/>
              </w:rPr>
              <w:t>Deflatore PIL</w:t>
            </w:r>
          </w:p>
        </w:tc>
        <w:tc>
          <w:tcPr>
            <w:tcW w:w="962" w:type="dxa"/>
          </w:tcPr>
          <w:p>
            <w:pPr>
              <w:pStyle w:val="TableParagraph"/>
              <w:spacing w:before="45"/>
              <w:ind w:left="449"/>
              <w:jc w:val="left"/>
              <w:rPr>
                <w:sz w:val="17"/>
              </w:rPr>
            </w:pPr>
            <w:r>
              <w:rPr>
                <w:sz w:val="17"/>
              </w:rPr>
              <w:t>0,9</w:t>
            </w:r>
          </w:p>
        </w:tc>
        <w:tc>
          <w:tcPr>
            <w:tcW w:w="786" w:type="dxa"/>
          </w:tcPr>
          <w:p>
            <w:pPr>
              <w:pStyle w:val="TableParagraph"/>
              <w:spacing w:before="45"/>
              <w:ind w:left="173" w:right="171"/>
              <w:jc w:val="center"/>
              <w:rPr>
                <w:sz w:val="17"/>
              </w:rPr>
            </w:pPr>
            <w:r>
              <w:rPr>
                <w:sz w:val="17"/>
              </w:rPr>
              <w:t>0,9</w:t>
            </w:r>
          </w:p>
        </w:tc>
        <w:tc>
          <w:tcPr>
            <w:tcW w:w="786" w:type="dxa"/>
          </w:tcPr>
          <w:p>
            <w:pPr>
              <w:pStyle w:val="TableParagraph"/>
              <w:spacing w:before="45"/>
              <w:ind w:left="173" w:right="169"/>
              <w:jc w:val="center"/>
              <w:rPr>
                <w:sz w:val="17"/>
              </w:rPr>
            </w:pPr>
            <w:r>
              <w:rPr>
                <w:sz w:val="17"/>
              </w:rPr>
              <w:t>1,9</w:t>
            </w:r>
          </w:p>
        </w:tc>
        <w:tc>
          <w:tcPr>
            <w:tcW w:w="786" w:type="dxa"/>
          </w:tcPr>
          <w:p>
            <w:pPr>
              <w:pStyle w:val="TableParagraph"/>
              <w:spacing w:before="45"/>
              <w:ind w:left="173" w:right="170"/>
              <w:jc w:val="center"/>
              <w:rPr>
                <w:sz w:val="17"/>
              </w:rPr>
            </w:pPr>
            <w:r>
              <w:rPr>
                <w:sz w:val="17"/>
              </w:rPr>
              <w:t>1,5</w:t>
            </w:r>
          </w:p>
        </w:tc>
        <w:tc>
          <w:tcPr>
            <w:tcW w:w="786" w:type="dxa"/>
          </w:tcPr>
          <w:p>
            <w:pPr>
              <w:pStyle w:val="TableParagraph"/>
              <w:spacing w:before="45"/>
              <w:ind w:left="173" w:right="168"/>
              <w:jc w:val="center"/>
              <w:rPr>
                <w:sz w:val="17"/>
              </w:rPr>
            </w:pPr>
            <w:r>
              <w:rPr>
                <w:sz w:val="17"/>
              </w:rPr>
              <w:t>1,5</w:t>
            </w:r>
          </w:p>
        </w:tc>
      </w:tr>
      <w:tr>
        <w:trPr>
          <w:trHeight w:val="282" w:hRule="atLeast"/>
        </w:trPr>
        <w:tc>
          <w:tcPr>
            <w:tcW w:w="4114" w:type="dxa"/>
          </w:tcPr>
          <w:p>
            <w:pPr>
              <w:pStyle w:val="TableParagraph"/>
              <w:spacing w:before="44"/>
              <w:ind w:left="69"/>
              <w:jc w:val="left"/>
              <w:rPr>
                <w:sz w:val="17"/>
              </w:rPr>
            </w:pPr>
            <w:r>
              <w:rPr>
                <w:sz w:val="17"/>
              </w:rPr>
              <w:t>Deflatore consumi</w:t>
            </w:r>
          </w:p>
        </w:tc>
        <w:tc>
          <w:tcPr>
            <w:tcW w:w="962" w:type="dxa"/>
          </w:tcPr>
          <w:p>
            <w:pPr>
              <w:pStyle w:val="TableParagraph"/>
              <w:spacing w:before="44"/>
              <w:ind w:left="449"/>
              <w:jc w:val="left"/>
              <w:rPr>
                <w:sz w:val="17"/>
              </w:rPr>
            </w:pPr>
            <w:r>
              <w:rPr>
                <w:sz w:val="17"/>
              </w:rPr>
              <w:t>0,9</w:t>
            </w:r>
          </w:p>
        </w:tc>
        <w:tc>
          <w:tcPr>
            <w:tcW w:w="786" w:type="dxa"/>
          </w:tcPr>
          <w:p>
            <w:pPr>
              <w:pStyle w:val="TableParagraph"/>
              <w:spacing w:before="44"/>
              <w:ind w:left="173" w:right="171"/>
              <w:jc w:val="center"/>
              <w:rPr>
                <w:sz w:val="17"/>
              </w:rPr>
            </w:pPr>
            <w:r>
              <w:rPr>
                <w:sz w:val="17"/>
              </w:rPr>
              <w:t>0,8</w:t>
            </w:r>
          </w:p>
        </w:tc>
        <w:tc>
          <w:tcPr>
            <w:tcW w:w="786" w:type="dxa"/>
          </w:tcPr>
          <w:p>
            <w:pPr>
              <w:pStyle w:val="TableParagraph"/>
              <w:spacing w:before="44"/>
              <w:ind w:left="173" w:right="169"/>
              <w:jc w:val="center"/>
              <w:rPr>
                <w:sz w:val="17"/>
              </w:rPr>
            </w:pPr>
            <w:r>
              <w:rPr>
                <w:sz w:val="17"/>
              </w:rPr>
              <w:t>2,0</w:t>
            </w:r>
          </w:p>
        </w:tc>
        <w:tc>
          <w:tcPr>
            <w:tcW w:w="786" w:type="dxa"/>
          </w:tcPr>
          <w:p>
            <w:pPr>
              <w:pStyle w:val="TableParagraph"/>
              <w:spacing w:before="44"/>
              <w:ind w:left="173" w:right="170"/>
              <w:jc w:val="center"/>
              <w:rPr>
                <w:sz w:val="17"/>
              </w:rPr>
            </w:pPr>
            <w:r>
              <w:rPr>
                <w:sz w:val="17"/>
              </w:rPr>
              <w:t>1,7</w:t>
            </w:r>
          </w:p>
        </w:tc>
        <w:tc>
          <w:tcPr>
            <w:tcW w:w="786" w:type="dxa"/>
          </w:tcPr>
          <w:p>
            <w:pPr>
              <w:pStyle w:val="TableParagraph"/>
              <w:spacing w:before="44"/>
              <w:ind w:left="173" w:right="168"/>
              <w:jc w:val="center"/>
              <w:rPr>
                <w:sz w:val="17"/>
              </w:rPr>
            </w:pPr>
            <w:r>
              <w:rPr>
                <w:sz w:val="17"/>
              </w:rPr>
              <w:t>1,5</w:t>
            </w:r>
          </w:p>
        </w:tc>
      </w:tr>
      <w:tr>
        <w:trPr>
          <w:trHeight w:val="283" w:hRule="atLeast"/>
        </w:trPr>
        <w:tc>
          <w:tcPr>
            <w:tcW w:w="4114" w:type="dxa"/>
          </w:tcPr>
          <w:p>
            <w:pPr>
              <w:pStyle w:val="TableParagraph"/>
              <w:spacing w:before="45"/>
              <w:ind w:left="69"/>
              <w:jc w:val="left"/>
              <w:rPr>
                <w:sz w:val="17"/>
              </w:rPr>
            </w:pPr>
            <w:r>
              <w:rPr>
                <w:sz w:val="17"/>
              </w:rPr>
              <w:t>PIL nominale</w:t>
            </w:r>
          </w:p>
        </w:tc>
        <w:tc>
          <w:tcPr>
            <w:tcW w:w="962" w:type="dxa"/>
          </w:tcPr>
          <w:p>
            <w:pPr>
              <w:pStyle w:val="TableParagraph"/>
              <w:spacing w:before="45"/>
              <w:ind w:left="449"/>
              <w:jc w:val="left"/>
              <w:rPr>
                <w:sz w:val="17"/>
              </w:rPr>
            </w:pPr>
            <w:r>
              <w:rPr>
                <w:sz w:val="17"/>
              </w:rPr>
              <w:t>1,7</w:t>
            </w:r>
          </w:p>
        </w:tc>
        <w:tc>
          <w:tcPr>
            <w:tcW w:w="786" w:type="dxa"/>
          </w:tcPr>
          <w:p>
            <w:pPr>
              <w:pStyle w:val="TableParagraph"/>
              <w:spacing w:before="45"/>
              <w:ind w:left="173" w:right="171"/>
              <w:jc w:val="center"/>
              <w:rPr>
                <w:sz w:val="17"/>
              </w:rPr>
            </w:pPr>
            <w:r>
              <w:rPr>
                <w:sz w:val="17"/>
              </w:rPr>
              <w:t>1,0</w:t>
            </w:r>
          </w:p>
        </w:tc>
        <w:tc>
          <w:tcPr>
            <w:tcW w:w="786" w:type="dxa"/>
          </w:tcPr>
          <w:p>
            <w:pPr>
              <w:pStyle w:val="TableParagraph"/>
              <w:spacing w:before="45"/>
              <w:ind w:left="173" w:right="169"/>
              <w:jc w:val="center"/>
              <w:rPr>
                <w:sz w:val="17"/>
              </w:rPr>
            </w:pPr>
            <w:r>
              <w:rPr>
                <w:sz w:val="17"/>
              </w:rPr>
              <w:t>2,3</w:t>
            </w:r>
          </w:p>
        </w:tc>
        <w:tc>
          <w:tcPr>
            <w:tcW w:w="786" w:type="dxa"/>
          </w:tcPr>
          <w:p>
            <w:pPr>
              <w:pStyle w:val="TableParagraph"/>
              <w:spacing w:before="45"/>
              <w:ind w:left="173" w:right="170"/>
              <w:jc w:val="center"/>
              <w:rPr>
                <w:sz w:val="17"/>
              </w:rPr>
            </w:pPr>
            <w:r>
              <w:rPr>
                <w:sz w:val="17"/>
              </w:rPr>
              <w:t>2,3</w:t>
            </w:r>
          </w:p>
        </w:tc>
        <w:tc>
          <w:tcPr>
            <w:tcW w:w="786" w:type="dxa"/>
          </w:tcPr>
          <w:p>
            <w:pPr>
              <w:pStyle w:val="TableParagraph"/>
              <w:spacing w:before="45"/>
              <w:ind w:left="173" w:right="168"/>
              <w:jc w:val="center"/>
              <w:rPr>
                <w:sz w:val="17"/>
              </w:rPr>
            </w:pPr>
            <w:r>
              <w:rPr>
                <w:sz w:val="17"/>
              </w:rPr>
              <w:t>2,5</w:t>
            </w:r>
          </w:p>
        </w:tc>
      </w:tr>
      <w:tr>
        <w:trPr>
          <w:trHeight w:val="283" w:hRule="atLeast"/>
        </w:trPr>
        <w:tc>
          <w:tcPr>
            <w:tcW w:w="4114" w:type="dxa"/>
          </w:tcPr>
          <w:p>
            <w:pPr>
              <w:pStyle w:val="TableParagraph"/>
              <w:spacing w:before="45"/>
              <w:ind w:left="69"/>
              <w:jc w:val="left"/>
              <w:rPr>
                <w:sz w:val="17"/>
              </w:rPr>
            </w:pPr>
            <w:r>
              <w:rPr>
                <w:sz w:val="17"/>
              </w:rPr>
              <w:t>Occupazione ULA (2)</w:t>
            </w:r>
          </w:p>
        </w:tc>
        <w:tc>
          <w:tcPr>
            <w:tcW w:w="962" w:type="dxa"/>
          </w:tcPr>
          <w:p>
            <w:pPr>
              <w:pStyle w:val="TableParagraph"/>
              <w:spacing w:before="45"/>
              <w:ind w:left="449"/>
              <w:jc w:val="left"/>
              <w:rPr>
                <w:sz w:val="17"/>
              </w:rPr>
            </w:pPr>
            <w:r>
              <w:rPr>
                <w:sz w:val="17"/>
              </w:rPr>
              <w:t>0,8</w:t>
            </w:r>
          </w:p>
        </w:tc>
        <w:tc>
          <w:tcPr>
            <w:tcW w:w="786" w:type="dxa"/>
          </w:tcPr>
          <w:p>
            <w:pPr>
              <w:pStyle w:val="TableParagraph"/>
              <w:spacing w:before="45"/>
              <w:ind w:left="173" w:right="171"/>
              <w:jc w:val="center"/>
              <w:rPr>
                <w:sz w:val="17"/>
              </w:rPr>
            </w:pPr>
            <w:r>
              <w:rPr>
                <w:sz w:val="17"/>
              </w:rPr>
              <w:t>0,5</w:t>
            </w:r>
          </w:p>
        </w:tc>
        <w:tc>
          <w:tcPr>
            <w:tcW w:w="786" w:type="dxa"/>
          </w:tcPr>
          <w:p>
            <w:pPr>
              <w:pStyle w:val="TableParagraph"/>
              <w:spacing w:before="45"/>
              <w:ind w:left="173" w:right="169"/>
              <w:jc w:val="center"/>
              <w:rPr>
                <w:sz w:val="17"/>
              </w:rPr>
            </w:pPr>
            <w:r>
              <w:rPr>
                <w:sz w:val="17"/>
              </w:rPr>
              <w:t>0,2</w:t>
            </w:r>
          </w:p>
        </w:tc>
        <w:tc>
          <w:tcPr>
            <w:tcW w:w="786" w:type="dxa"/>
          </w:tcPr>
          <w:p>
            <w:pPr>
              <w:pStyle w:val="TableParagraph"/>
              <w:spacing w:before="45"/>
              <w:ind w:left="173" w:right="170"/>
              <w:jc w:val="center"/>
              <w:rPr>
                <w:sz w:val="17"/>
              </w:rPr>
            </w:pPr>
            <w:r>
              <w:rPr>
                <w:sz w:val="17"/>
              </w:rPr>
              <w:t>0,5</w:t>
            </w:r>
          </w:p>
        </w:tc>
        <w:tc>
          <w:tcPr>
            <w:tcW w:w="786" w:type="dxa"/>
          </w:tcPr>
          <w:p>
            <w:pPr>
              <w:pStyle w:val="TableParagraph"/>
              <w:spacing w:before="45"/>
              <w:ind w:left="173" w:right="168"/>
              <w:jc w:val="center"/>
              <w:rPr>
                <w:sz w:val="17"/>
              </w:rPr>
            </w:pPr>
            <w:r>
              <w:rPr>
                <w:sz w:val="17"/>
              </w:rPr>
              <w:t>0,7</w:t>
            </w:r>
          </w:p>
        </w:tc>
      </w:tr>
      <w:tr>
        <w:trPr>
          <w:trHeight w:val="283" w:hRule="atLeast"/>
        </w:trPr>
        <w:tc>
          <w:tcPr>
            <w:tcW w:w="4114" w:type="dxa"/>
          </w:tcPr>
          <w:p>
            <w:pPr>
              <w:pStyle w:val="TableParagraph"/>
              <w:spacing w:before="45"/>
              <w:ind w:left="69"/>
              <w:jc w:val="left"/>
              <w:rPr>
                <w:sz w:val="17"/>
              </w:rPr>
            </w:pPr>
            <w:r>
              <w:rPr>
                <w:sz w:val="17"/>
              </w:rPr>
              <w:t>Occupazione FL (3)</w:t>
            </w:r>
          </w:p>
        </w:tc>
        <w:tc>
          <w:tcPr>
            <w:tcW w:w="962" w:type="dxa"/>
          </w:tcPr>
          <w:p>
            <w:pPr>
              <w:pStyle w:val="TableParagraph"/>
              <w:spacing w:before="45"/>
              <w:ind w:left="449"/>
              <w:jc w:val="left"/>
              <w:rPr>
                <w:sz w:val="17"/>
              </w:rPr>
            </w:pPr>
            <w:r>
              <w:rPr>
                <w:sz w:val="17"/>
              </w:rPr>
              <w:t>0,8</w:t>
            </w:r>
          </w:p>
        </w:tc>
        <w:tc>
          <w:tcPr>
            <w:tcW w:w="786" w:type="dxa"/>
          </w:tcPr>
          <w:p>
            <w:pPr>
              <w:pStyle w:val="TableParagraph"/>
              <w:spacing w:before="45"/>
              <w:ind w:left="173" w:right="171"/>
              <w:jc w:val="center"/>
              <w:rPr>
                <w:sz w:val="17"/>
              </w:rPr>
            </w:pPr>
            <w:r>
              <w:rPr>
                <w:sz w:val="17"/>
              </w:rPr>
              <w:t>0,5</w:t>
            </w:r>
          </w:p>
        </w:tc>
        <w:tc>
          <w:tcPr>
            <w:tcW w:w="786" w:type="dxa"/>
          </w:tcPr>
          <w:p>
            <w:pPr>
              <w:pStyle w:val="TableParagraph"/>
              <w:spacing w:before="45"/>
              <w:ind w:left="173" w:right="169"/>
              <w:jc w:val="center"/>
              <w:rPr>
                <w:sz w:val="17"/>
              </w:rPr>
            </w:pPr>
            <w:r>
              <w:rPr>
                <w:sz w:val="17"/>
              </w:rPr>
              <w:t>0,3</w:t>
            </w:r>
          </w:p>
        </w:tc>
        <w:tc>
          <w:tcPr>
            <w:tcW w:w="786" w:type="dxa"/>
          </w:tcPr>
          <w:p>
            <w:pPr>
              <w:pStyle w:val="TableParagraph"/>
              <w:spacing w:before="45"/>
              <w:ind w:left="173" w:right="170"/>
              <w:jc w:val="center"/>
              <w:rPr>
                <w:sz w:val="17"/>
              </w:rPr>
            </w:pPr>
            <w:r>
              <w:rPr>
                <w:sz w:val="17"/>
              </w:rPr>
              <w:t>0,5</w:t>
            </w:r>
          </w:p>
        </w:tc>
        <w:tc>
          <w:tcPr>
            <w:tcW w:w="786" w:type="dxa"/>
          </w:tcPr>
          <w:p>
            <w:pPr>
              <w:pStyle w:val="TableParagraph"/>
              <w:spacing w:before="45"/>
              <w:ind w:left="173" w:right="168"/>
              <w:jc w:val="center"/>
              <w:rPr>
                <w:sz w:val="17"/>
              </w:rPr>
            </w:pPr>
            <w:r>
              <w:rPr>
                <w:sz w:val="17"/>
              </w:rPr>
              <w:t>0,7</w:t>
            </w:r>
          </w:p>
        </w:tc>
      </w:tr>
      <w:tr>
        <w:trPr>
          <w:trHeight w:val="283" w:hRule="atLeast"/>
        </w:trPr>
        <w:tc>
          <w:tcPr>
            <w:tcW w:w="4114" w:type="dxa"/>
          </w:tcPr>
          <w:p>
            <w:pPr>
              <w:pStyle w:val="TableParagraph"/>
              <w:spacing w:before="45"/>
              <w:ind w:left="69"/>
              <w:jc w:val="left"/>
              <w:rPr>
                <w:sz w:val="17"/>
              </w:rPr>
            </w:pPr>
            <w:r>
              <w:rPr>
                <w:sz w:val="17"/>
              </w:rPr>
              <w:t>Tasso di disoccupazione</w:t>
            </w:r>
          </w:p>
        </w:tc>
        <w:tc>
          <w:tcPr>
            <w:tcW w:w="962" w:type="dxa"/>
          </w:tcPr>
          <w:p>
            <w:pPr>
              <w:pStyle w:val="TableParagraph"/>
              <w:spacing w:before="45"/>
              <w:ind w:right="218"/>
              <w:rPr>
                <w:sz w:val="17"/>
              </w:rPr>
            </w:pPr>
            <w:r>
              <w:rPr>
                <w:sz w:val="17"/>
              </w:rPr>
              <w:t>10,6</w:t>
            </w:r>
          </w:p>
        </w:tc>
        <w:tc>
          <w:tcPr>
            <w:tcW w:w="786" w:type="dxa"/>
          </w:tcPr>
          <w:p>
            <w:pPr>
              <w:pStyle w:val="TableParagraph"/>
              <w:spacing w:before="45"/>
              <w:ind w:left="172" w:right="172"/>
              <w:jc w:val="center"/>
              <w:rPr>
                <w:sz w:val="17"/>
              </w:rPr>
            </w:pPr>
            <w:r>
              <w:rPr>
                <w:sz w:val="17"/>
              </w:rPr>
              <w:t>10,1</w:t>
            </w:r>
          </w:p>
        </w:tc>
        <w:tc>
          <w:tcPr>
            <w:tcW w:w="786" w:type="dxa"/>
          </w:tcPr>
          <w:p>
            <w:pPr>
              <w:pStyle w:val="TableParagraph"/>
              <w:spacing w:before="45"/>
              <w:ind w:left="173" w:right="171"/>
              <w:jc w:val="center"/>
              <w:rPr>
                <w:sz w:val="17"/>
              </w:rPr>
            </w:pPr>
            <w:r>
              <w:rPr>
                <w:sz w:val="17"/>
              </w:rPr>
              <w:t>10,2</w:t>
            </w:r>
          </w:p>
        </w:tc>
        <w:tc>
          <w:tcPr>
            <w:tcW w:w="786" w:type="dxa"/>
          </w:tcPr>
          <w:p>
            <w:pPr>
              <w:pStyle w:val="TableParagraph"/>
              <w:spacing w:before="45"/>
              <w:ind w:left="173" w:right="170"/>
              <w:jc w:val="center"/>
              <w:rPr>
                <w:sz w:val="17"/>
              </w:rPr>
            </w:pPr>
            <w:r>
              <w:rPr>
                <w:sz w:val="17"/>
              </w:rPr>
              <w:t>9,8</w:t>
            </w:r>
          </w:p>
        </w:tc>
        <w:tc>
          <w:tcPr>
            <w:tcW w:w="786" w:type="dxa"/>
          </w:tcPr>
          <w:p>
            <w:pPr>
              <w:pStyle w:val="TableParagraph"/>
              <w:spacing w:before="45"/>
              <w:ind w:left="173" w:right="168"/>
              <w:jc w:val="center"/>
              <w:rPr>
                <w:sz w:val="17"/>
              </w:rPr>
            </w:pPr>
            <w:r>
              <w:rPr>
                <w:sz w:val="17"/>
              </w:rPr>
              <w:t>9,5</w:t>
            </w:r>
          </w:p>
        </w:tc>
      </w:tr>
      <w:tr>
        <w:trPr>
          <w:trHeight w:val="293" w:hRule="atLeast"/>
        </w:trPr>
        <w:tc>
          <w:tcPr>
            <w:tcW w:w="4114" w:type="dxa"/>
            <w:tcBorders>
              <w:bottom w:val="single" w:sz="8" w:space="0" w:color="000000"/>
            </w:tcBorders>
          </w:tcPr>
          <w:p>
            <w:pPr>
              <w:pStyle w:val="TableParagraph"/>
              <w:spacing w:before="45"/>
              <w:ind w:left="69"/>
              <w:jc w:val="left"/>
              <w:rPr>
                <w:sz w:val="17"/>
              </w:rPr>
            </w:pPr>
            <w:r>
              <w:rPr>
                <w:sz w:val="17"/>
              </w:rPr>
              <w:t>Bilancia partite correnti (saldo in % PIL)</w:t>
            </w:r>
          </w:p>
        </w:tc>
        <w:tc>
          <w:tcPr>
            <w:tcW w:w="962" w:type="dxa"/>
            <w:tcBorders>
              <w:bottom w:val="single" w:sz="8" w:space="0" w:color="000000"/>
            </w:tcBorders>
          </w:tcPr>
          <w:p>
            <w:pPr>
              <w:pStyle w:val="TableParagraph"/>
              <w:spacing w:before="45"/>
              <w:ind w:left="449"/>
              <w:jc w:val="left"/>
              <w:rPr>
                <w:sz w:val="17"/>
              </w:rPr>
            </w:pPr>
            <w:r>
              <w:rPr>
                <w:sz w:val="17"/>
              </w:rPr>
              <w:t>2,5</w:t>
            </w:r>
          </w:p>
        </w:tc>
        <w:tc>
          <w:tcPr>
            <w:tcW w:w="786" w:type="dxa"/>
            <w:tcBorders>
              <w:bottom w:val="single" w:sz="8" w:space="0" w:color="000000"/>
            </w:tcBorders>
          </w:tcPr>
          <w:p>
            <w:pPr>
              <w:pStyle w:val="TableParagraph"/>
              <w:spacing w:before="45"/>
              <w:ind w:left="173" w:right="171"/>
              <w:jc w:val="center"/>
              <w:rPr>
                <w:sz w:val="17"/>
              </w:rPr>
            </w:pPr>
            <w:r>
              <w:rPr>
                <w:sz w:val="17"/>
              </w:rPr>
              <w:t>2,7</w:t>
            </w:r>
          </w:p>
        </w:tc>
        <w:tc>
          <w:tcPr>
            <w:tcW w:w="786" w:type="dxa"/>
            <w:tcBorders>
              <w:bottom w:val="single" w:sz="8" w:space="0" w:color="000000"/>
            </w:tcBorders>
          </w:tcPr>
          <w:p>
            <w:pPr>
              <w:pStyle w:val="TableParagraph"/>
              <w:spacing w:before="45"/>
              <w:ind w:left="173" w:right="169"/>
              <w:jc w:val="center"/>
              <w:rPr>
                <w:sz w:val="17"/>
              </w:rPr>
            </w:pPr>
            <w:r>
              <w:rPr>
                <w:sz w:val="17"/>
              </w:rPr>
              <w:t>2,8</w:t>
            </w:r>
          </w:p>
        </w:tc>
        <w:tc>
          <w:tcPr>
            <w:tcW w:w="786" w:type="dxa"/>
            <w:tcBorders>
              <w:bottom w:val="single" w:sz="8" w:space="0" w:color="000000"/>
            </w:tcBorders>
          </w:tcPr>
          <w:p>
            <w:pPr>
              <w:pStyle w:val="TableParagraph"/>
              <w:spacing w:before="45"/>
              <w:ind w:left="173" w:right="170"/>
              <w:jc w:val="center"/>
              <w:rPr>
                <w:sz w:val="17"/>
              </w:rPr>
            </w:pPr>
            <w:r>
              <w:rPr>
                <w:sz w:val="17"/>
              </w:rPr>
              <w:t>2,7</w:t>
            </w:r>
          </w:p>
        </w:tc>
        <w:tc>
          <w:tcPr>
            <w:tcW w:w="786" w:type="dxa"/>
            <w:tcBorders>
              <w:bottom w:val="single" w:sz="8" w:space="0" w:color="000000"/>
            </w:tcBorders>
          </w:tcPr>
          <w:p>
            <w:pPr>
              <w:pStyle w:val="TableParagraph"/>
              <w:spacing w:before="45"/>
              <w:ind w:left="173" w:right="168"/>
              <w:jc w:val="center"/>
              <w:rPr>
                <w:sz w:val="17"/>
              </w:rPr>
            </w:pPr>
            <w:r>
              <w:rPr>
                <w:sz w:val="17"/>
              </w:rPr>
              <w:t>2,6</w:t>
            </w:r>
          </w:p>
        </w:tc>
      </w:tr>
      <w:tr>
        <w:trPr>
          <w:trHeight w:val="172" w:hRule="atLeast"/>
        </w:trPr>
        <w:tc>
          <w:tcPr>
            <w:tcW w:w="4114" w:type="dxa"/>
            <w:tcBorders>
              <w:top w:val="single" w:sz="8" w:space="0" w:color="000000"/>
            </w:tcBorders>
          </w:tcPr>
          <w:p>
            <w:pPr>
              <w:pStyle w:val="TableParagraph"/>
              <w:spacing w:line="147" w:lineRule="exact"/>
              <w:ind w:left="69"/>
              <w:jc w:val="left"/>
              <w:rPr>
                <w:sz w:val="16"/>
              </w:rPr>
            </w:pPr>
            <w:r>
              <w:rPr>
                <w:sz w:val="16"/>
              </w:rPr>
              <w:t>(1) Eventuali imprecisioni derivano da arrotondamenti.</w:t>
            </w:r>
          </w:p>
        </w:tc>
        <w:tc>
          <w:tcPr>
            <w:tcW w:w="962" w:type="dxa"/>
            <w:tcBorders>
              <w:top w:val="single" w:sz="8" w:space="0" w:color="000000"/>
            </w:tcBorders>
          </w:tcPr>
          <w:p>
            <w:pPr>
              <w:pStyle w:val="TableParagraph"/>
              <w:jc w:val="left"/>
              <w:rPr>
                <w:rFonts w:ascii="Times New Roman"/>
                <w:sz w:val="10"/>
              </w:rPr>
            </w:pPr>
          </w:p>
        </w:tc>
        <w:tc>
          <w:tcPr>
            <w:tcW w:w="786" w:type="dxa"/>
            <w:tcBorders>
              <w:top w:val="single" w:sz="8" w:space="0" w:color="000000"/>
            </w:tcBorders>
          </w:tcPr>
          <w:p>
            <w:pPr>
              <w:pStyle w:val="TableParagraph"/>
              <w:jc w:val="left"/>
              <w:rPr>
                <w:rFonts w:ascii="Times New Roman"/>
                <w:sz w:val="10"/>
              </w:rPr>
            </w:pPr>
          </w:p>
        </w:tc>
        <w:tc>
          <w:tcPr>
            <w:tcW w:w="786" w:type="dxa"/>
            <w:tcBorders>
              <w:top w:val="single" w:sz="8" w:space="0" w:color="000000"/>
            </w:tcBorders>
          </w:tcPr>
          <w:p>
            <w:pPr>
              <w:pStyle w:val="TableParagraph"/>
              <w:jc w:val="left"/>
              <w:rPr>
                <w:rFonts w:ascii="Times New Roman"/>
                <w:sz w:val="10"/>
              </w:rPr>
            </w:pPr>
          </w:p>
        </w:tc>
        <w:tc>
          <w:tcPr>
            <w:tcW w:w="786" w:type="dxa"/>
            <w:tcBorders>
              <w:top w:val="single" w:sz="8" w:space="0" w:color="000000"/>
            </w:tcBorders>
          </w:tcPr>
          <w:p>
            <w:pPr>
              <w:pStyle w:val="TableParagraph"/>
              <w:jc w:val="left"/>
              <w:rPr>
                <w:rFonts w:ascii="Times New Roman"/>
                <w:sz w:val="10"/>
              </w:rPr>
            </w:pPr>
          </w:p>
        </w:tc>
        <w:tc>
          <w:tcPr>
            <w:tcW w:w="786" w:type="dxa"/>
            <w:tcBorders>
              <w:top w:val="single" w:sz="8" w:space="0" w:color="000000"/>
            </w:tcBorders>
          </w:tcPr>
          <w:p>
            <w:pPr>
              <w:pStyle w:val="TableParagraph"/>
              <w:jc w:val="left"/>
              <w:rPr>
                <w:rFonts w:ascii="Times New Roman"/>
                <w:sz w:val="10"/>
              </w:rPr>
            </w:pPr>
          </w:p>
        </w:tc>
      </w:tr>
    </w:tbl>
    <w:p>
      <w:pPr>
        <w:pStyle w:val="ListParagraph"/>
        <w:numPr>
          <w:ilvl w:val="0"/>
          <w:numId w:val="3"/>
        </w:numPr>
        <w:tabs>
          <w:tab w:pos="1429" w:val="left" w:leader="none"/>
        </w:tabs>
        <w:spacing w:line="181" w:lineRule="exact" w:before="1" w:after="0"/>
        <w:ind w:left="1428" w:right="0" w:hanging="231"/>
        <w:jc w:val="left"/>
        <w:rPr>
          <w:rFonts w:ascii="Franklin Gothic Book" w:hAnsi="Franklin Gothic Book"/>
          <w:sz w:val="16"/>
        </w:rPr>
      </w:pPr>
      <w:r>
        <w:rPr>
          <w:rFonts w:ascii="Franklin Gothic Book" w:hAnsi="Franklin Gothic Book"/>
          <w:sz w:val="16"/>
        </w:rPr>
        <w:t>Occupazione espressa in termini di unità standard di lavoro</w:t>
      </w:r>
      <w:r>
        <w:rPr>
          <w:rFonts w:ascii="Franklin Gothic Book" w:hAnsi="Franklin Gothic Book"/>
          <w:spacing w:val="-11"/>
          <w:sz w:val="16"/>
        </w:rPr>
        <w:t> </w:t>
      </w:r>
      <w:r>
        <w:rPr>
          <w:rFonts w:ascii="Franklin Gothic Book" w:hAnsi="Franklin Gothic Book"/>
          <w:sz w:val="16"/>
        </w:rPr>
        <w:t>(ULA).</w:t>
      </w:r>
    </w:p>
    <w:p>
      <w:pPr>
        <w:pStyle w:val="ListParagraph"/>
        <w:numPr>
          <w:ilvl w:val="0"/>
          <w:numId w:val="3"/>
        </w:numPr>
        <w:tabs>
          <w:tab w:pos="1429" w:val="left" w:leader="none"/>
        </w:tabs>
        <w:spacing w:line="181" w:lineRule="exact" w:before="0" w:after="17"/>
        <w:ind w:left="1428" w:right="0" w:hanging="231"/>
        <w:jc w:val="left"/>
        <w:rPr>
          <w:rFonts w:ascii="Franklin Gothic Book" w:hAnsi="Franklin Gothic Book"/>
          <w:sz w:val="16"/>
        </w:rPr>
      </w:pPr>
      <w:r>
        <w:rPr>
          <w:rFonts w:ascii="Franklin Gothic Book" w:hAnsi="Franklin Gothic Book"/>
          <w:sz w:val="16"/>
        </w:rPr>
        <w:t>Numero di occupati in base all’indagine campionaria della Rilevazione Continua delle Forze</w:t>
      </w:r>
      <w:r>
        <w:rPr>
          <w:rFonts w:ascii="Franklin Gothic Book" w:hAnsi="Franklin Gothic Book"/>
          <w:spacing w:val="-7"/>
          <w:sz w:val="16"/>
        </w:rPr>
        <w:t> </w:t>
      </w:r>
      <w:r>
        <w:rPr>
          <w:rFonts w:ascii="Franklin Gothic Book" w:hAnsi="Franklin Gothic Book"/>
          <w:sz w:val="16"/>
        </w:rPr>
        <w:t>Lavoro.</w:t>
      </w:r>
    </w:p>
    <w:p>
      <w:pPr>
        <w:pStyle w:val="BodyText"/>
        <w:spacing w:line="20" w:lineRule="exact"/>
        <w:ind w:left="1104"/>
        <w:rPr>
          <w:rFonts w:ascii="Franklin Gothic Book"/>
          <w:sz w:val="2"/>
        </w:rPr>
      </w:pPr>
      <w:r>
        <w:rPr>
          <w:rFonts w:ascii="Franklin Gothic Book"/>
          <w:sz w:val="2"/>
        </w:rPr>
        <w:pict>
          <v:group style="width:411.8pt;height:1pt;mso-position-horizontal-relative:char;mso-position-vertical-relative:line" coordorigin="0,0" coordsize="8236,20">
            <v:line style="position:absolute" from="0,10" to="8236,10" stroked="true" strokeweight=".95999pt" strokecolor="#000000">
              <v:stroke dashstyle="solid"/>
            </v:line>
          </v:group>
        </w:pict>
      </w:r>
      <w:r>
        <w:rPr>
          <w:rFonts w:ascii="Franklin Gothic Book"/>
          <w:sz w:val="2"/>
        </w:rPr>
      </w:r>
    </w:p>
    <w:p>
      <w:pPr>
        <w:pStyle w:val="BodyText"/>
        <w:spacing w:before="8"/>
        <w:rPr>
          <w:rFonts w:ascii="Franklin Gothic Book"/>
          <w:sz w:val="13"/>
        </w:rPr>
      </w:pPr>
    </w:p>
    <w:p>
      <w:pPr>
        <w:pStyle w:val="BodyText"/>
        <w:spacing w:line="252" w:lineRule="auto" w:before="101"/>
        <w:ind w:left="1128" w:right="1412" w:firstLine="453"/>
        <w:jc w:val="both"/>
      </w:pPr>
      <w:r>
        <w:rPr/>
        <w:t>Va</w:t>
      </w:r>
      <w:r>
        <w:rPr>
          <w:spacing w:val="-6"/>
        </w:rPr>
        <w:t> </w:t>
      </w:r>
      <w:r>
        <w:rPr/>
        <w:t>inoltre</w:t>
      </w:r>
      <w:r>
        <w:rPr>
          <w:spacing w:val="-4"/>
        </w:rPr>
        <w:t> </w:t>
      </w:r>
      <w:r>
        <w:rPr/>
        <w:t>ricordato</w:t>
      </w:r>
      <w:r>
        <w:rPr>
          <w:spacing w:val="-6"/>
        </w:rPr>
        <w:t> </w:t>
      </w:r>
      <w:r>
        <w:rPr/>
        <w:t>che</w:t>
      </w:r>
      <w:r>
        <w:rPr>
          <w:spacing w:val="-10"/>
        </w:rPr>
        <w:t> </w:t>
      </w:r>
      <w:r>
        <w:rPr/>
        <w:t>lo</w:t>
      </w:r>
      <w:r>
        <w:rPr>
          <w:spacing w:val="-6"/>
        </w:rPr>
        <w:t> </w:t>
      </w:r>
      <w:r>
        <w:rPr/>
        <w:t>scenario</w:t>
      </w:r>
      <w:r>
        <w:rPr>
          <w:spacing w:val="-5"/>
        </w:rPr>
        <w:t> </w:t>
      </w:r>
      <w:r>
        <w:rPr/>
        <w:t>tendenziale</w:t>
      </w:r>
      <w:r>
        <w:rPr>
          <w:spacing w:val="-6"/>
        </w:rPr>
        <w:t> </w:t>
      </w:r>
      <w:r>
        <w:rPr/>
        <w:t>incorpora</w:t>
      </w:r>
      <w:r>
        <w:rPr>
          <w:spacing w:val="-4"/>
        </w:rPr>
        <w:t> </w:t>
      </w:r>
      <w:r>
        <w:rPr/>
        <w:t>un</w:t>
      </w:r>
      <w:r>
        <w:rPr>
          <w:spacing w:val="-8"/>
        </w:rPr>
        <w:t> </w:t>
      </w:r>
      <w:r>
        <w:rPr/>
        <w:t>aumento</w:t>
      </w:r>
      <w:r>
        <w:rPr>
          <w:spacing w:val="-6"/>
        </w:rPr>
        <w:t> </w:t>
      </w:r>
      <w:r>
        <w:rPr/>
        <w:t>dell’IVA di 23,1 miliardi da gennaio 2020 e un ulteriore incremento, per 5,6 miliardi, da gennaio 2021. L’impatto negativo degli aumenti IVA sulla crescita del PIL stimato con</w:t>
      </w:r>
      <w:r>
        <w:rPr>
          <w:spacing w:val="-6"/>
        </w:rPr>
        <w:t> </w:t>
      </w:r>
      <w:r>
        <w:rPr/>
        <w:t>il</w:t>
      </w:r>
      <w:r>
        <w:rPr>
          <w:spacing w:val="-6"/>
        </w:rPr>
        <w:t> </w:t>
      </w:r>
      <w:r>
        <w:rPr/>
        <w:t>modello</w:t>
      </w:r>
      <w:r>
        <w:rPr>
          <w:spacing w:val="-6"/>
        </w:rPr>
        <w:t> </w:t>
      </w:r>
      <w:r>
        <w:rPr/>
        <w:t>econometrico</w:t>
      </w:r>
      <w:r>
        <w:rPr>
          <w:spacing w:val="-5"/>
        </w:rPr>
        <w:t> </w:t>
      </w:r>
      <w:r>
        <w:rPr/>
        <w:t>del</w:t>
      </w:r>
      <w:r>
        <w:rPr>
          <w:spacing w:val="-5"/>
        </w:rPr>
        <w:t> </w:t>
      </w:r>
      <w:r>
        <w:rPr/>
        <w:t>Tesoro</w:t>
      </w:r>
      <w:r>
        <w:rPr>
          <w:spacing w:val="-8"/>
        </w:rPr>
        <w:t> </w:t>
      </w:r>
      <w:r>
        <w:rPr/>
        <w:t>(ITEM),</w:t>
      </w:r>
      <w:r>
        <w:rPr>
          <w:spacing w:val="-3"/>
        </w:rPr>
        <w:t> </w:t>
      </w:r>
      <w:r>
        <w:rPr/>
        <w:t>tenuto</w:t>
      </w:r>
      <w:r>
        <w:rPr>
          <w:spacing w:val="-6"/>
        </w:rPr>
        <w:t> </w:t>
      </w:r>
      <w:r>
        <w:rPr/>
        <w:t>conto</w:t>
      </w:r>
      <w:r>
        <w:rPr>
          <w:spacing w:val="-6"/>
        </w:rPr>
        <w:t> </w:t>
      </w:r>
      <w:r>
        <w:rPr/>
        <w:t>degli</w:t>
      </w:r>
      <w:r>
        <w:rPr>
          <w:spacing w:val="-5"/>
        </w:rPr>
        <w:t> </w:t>
      </w:r>
      <w:r>
        <w:rPr/>
        <w:t>effetti</w:t>
      </w:r>
      <w:r>
        <w:rPr>
          <w:spacing w:val="-4"/>
        </w:rPr>
        <w:t> </w:t>
      </w:r>
      <w:r>
        <w:rPr/>
        <w:t>ritardati, è di poco più di 0,4 punti percentuali nel 2020, 0,6 nel 2021 e 0,1 nel 2022. L’impatto stimato sul deflatore del PIL è di 0,52 punti nel primo anno, 0,12 nel secondo e -0,14 nel</w:t>
      </w:r>
      <w:r>
        <w:rPr>
          <w:spacing w:val="-5"/>
        </w:rPr>
        <w:t> </w:t>
      </w:r>
      <w:r>
        <w:rPr/>
        <w:t>terzo.</w:t>
      </w:r>
    </w:p>
    <w:p>
      <w:pPr>
        <w:pStyle w:val="BodyText"/>
        <w:spacing w:line="252" w:lineRule="auto" w:before="2"/>
        <w:ind w:left="1128" w:right="1411" w:firstLine="453"/>
        <w:jc w:val="both"/>
      </w:pPr>
      <w:r>
        <w:rPr/>
        <w:t>Nella simulazione da modello, l’aumento dell’IVA è inizialmente traslato in pieno sui prezzi e questi ultimi si aggiustano in seguito in base alla eventuale diminuzione della domanda. Allo stato attuale, non sono disponibili alternative per quantificare rigorosamente l’impatto degli aumenti IVA. Se la traslazione iniziale sui prezzi fosse minore di quanto ipotizzato (in quanto le imprese potrebbero anticipare</w:t>
      </w:r>
      <w:r>
        <w:rPr>
          <w:spacing w:val="-17"/>
        </w:rPr>
        <w:t> </w:t>
      </w:r>
      <w:r>
        <w:rPr/>
        <w:t>la</w:t>
      </w:r>
      <w:r>
        <w:rPr>
          <w:spacing w:val="-18"/>
        </w:rPr>
        <w:t> </w:t>
      </w:r>
      <w:r>
        <w:rPr/>
        <w:t>risposta</w:t>
      </w:r>
      <w:r>
        <w:rPr>
          <w:spacing w:val="-18"/>
        </w:rPr>
        <w:t> </w:t>
      </w:r>
      <w:r>
        <w:rPr/>
        <w:t>della</w:t>
      </w:r>
      <w:r>
        <w:rPr>
          <w:spacing w:val="-18"/>
        </w:rPr>
        <w:t> </w:t>
      </w:r>
      <w:r>
        <w:rPr/>
        <w:t>domanda</w:t>
      </w:r>
      <w:r>
        <w:rPr>
          <w:spacing w:val="-18"/>
        </w:rPr>
        <w:t> </w:t>
      </w:r>
      <w:r>
        <w:rPr/>
        <w:t>alle</w:t>
      </w:r>
      <w:r>
        <w:rPr>
          <w:spacing w:val="-17"/>
        </w:rPr>
        <w:t> </w:t>
      </w:r>
      <w:r>
        <w:rPr/>
        <w:t>variazioni</w:t>
      </w:r>
      <w:r>
        <w:rPr>
          <w:spacing w:val="-18"/>
        </w:rPr>
        <w:t> </w:t>
      </w:r>
      <w:r>
        <w:rPr/>
        <w:t>di</w:t>
      </w:r>
      <w:r>
        <w:rPr>
          <w:spacing w:val="-18"/>
        </w:rPr>
        <w:t> </w:t>
      </w:r>
      <w:r>
        <w:rPr/>
        <w:t>prezzo),</w:t>
      </w:r>
      <w:r>
        <w:rPr>
          <w:spacing w:val="-18"/>
        </w:rPr>
        <w:t> </w:t>
      </w:r>
      <w:r>
        <w:rPr/>
        <w:t>l’impatto</w:t>
      </w:r>
      <w:r>
        <w:rPr>
          <w:spacing w:val="-18"/>
        </w:rPr>
        <w:t> </w:t>
      </w:r>
      <w:r>
        <w:rPr/>
        <w:t>sui</w:t>
      </w:r>
      <w:r>
        <w:rPr>
          <w:spacing w:val="-18"/>
        </w:rPr>
        <w:t> </w:t>
      </w:r>
      <w:r>
        <w:rPr/>
        <w:t>consumi potrebbe essere inferiore. Nel breve andare, la crescita del PIL reale potrebbe essere superiore a quanto stimato, ma il PIL nominale nel complesso potrebbe crescere in misura inferiore. Nella formulazione dello scenario tendenziale si è mantenuta</w:t>
      </w:r>
      <w:r>
        <w:rPr>
          <w:spacing w:val="-9"/>
        </w:rPr>
        <w:t> </w:t>
      </w:r>
      <w:r>
        <w:rPr/>
        <w:t>una</w:t>
      </w:r>
      <w:r>
        <w:rPr>
          <w:spacing w:val="-12"/>
        </w:rPr>
        <w:t> </w:t>
      </w:r>
      <w:r>
        <w:rPr/>
        <w:t>coerenza</w:t>
      </w:r>
      <w:r>
        <w:rPr>
          <w:spacing w:val="-12"/>
        </w:rPr>
        <w:t> </w:t>
      </w:r>
      <w:r>
        <w:rPr/>
        <w:t>di</w:t>
      </w:r>
      <w:r>
        <w:rPr>
          <w:spacing w:val="-12"/>
        </w:rPr>
        <w:t> </w:t>
      </w:r>
      <w:r>
        <w:rPr/>
        <w:t>fondo</w:t>
      </w:r>
      <w:r>
        <w:rPr>
          <w:spacing w:val="-12"/>
        </w:rPr>
        <w:t> </w:t>
      </w:r>
      <w:r>
        <w:rPr/>
        <w:t>con</w:t>
      </w:r>
      <w:r>
        <w:rPr>
          <w:spacing w:val="-12"/>
        </w:rPr>
        <w:t> </w:t>
      </w:r>
      <w:r>
        <w:rPr/>
        <w:t>le</w:t>
      </w:r>
      <w:r>
        <w:rPr>
          <w:spacing w:val="-10"/>
        </w:rPr>
        <w:t> </w:t>
      </w:r>
      <w:r>
        <w:rPr/>
        <w:t>simulazioni</w:t>
      </w:r>
      <w:r>
        <w:rPr>
          <w:spacing w:val="-12"/>
        </w:rPr>
        <w:t> </w:t>
      </w:r>
      <w:r>
        <w:rPr/>
        <w:t>effettuate</w:t>
      </w:r>
      <w:r>
        <w:rPr>
          <w:spacing w:val="-12"/>
        </w:rPr>
        <w:t> </w:t>
      </w:r>
      <w:r>
        <w:rPr/>
        <w:t>con</w:t>
      </w:r>
      <w:r>
        <w:rPr>
          <w:spacing w:val="-12"/>
        </w:rPr>
        <w:t> </w:t>
      </w:r>
      <w:r>
        <w:rPr/>
        <w:t>il</w:t>
      </w:r>
      <w:r>
        <w:rPr>
          <w:spacing w:val="-12"/>
        </w:rPr>
        <w:t> </w:t>
      </w:r>
      <w:r>
        <w:rPr/>
        <w:t>modello</w:t>
      </w:r>
      <w:r>
        <w:rPr>
          <w:spacing w:val="-9"/>
        </w:rPr>
        <w:t> </w:t>
      </w:r>
      <w:r>
        <w:rPr/>
        <w:t>ITEM, ma</w:t>
      </w:r>
      <w:r>
        <w:rPr>
          <w:spacing w:val="-18"/>
        </w:rPr>
        <w:t> </w:t>
      </w:r>
      <w:r>
        <w:rPr/>
        <w:t>si</w:t>
      </w:r>
      <w:r>
        <w:rPr>
          <w:spacing w:val="-18"/>
        </w:rPr>
        <w:t> </w:t>
      </w:r>
      <w:r>
        <w:rPr/>
        <w:t>è</w:t>
      </w:r>
      <w:r>
        <w:rPr>
          <w:spacing w:val="-18"/>
        </w:rPr>
        <w:t> </w:t>
      </w:r>
      <w:r>
        <w:rPr/>
        <w:t>ipotizzata</w:t>
      </w:r>
      <w:r>
        <w:rPr>
          <w:spacing w:val="-17"/>
        </w:rPr>
        <w:t> </w:t>
      </w:r>
      <w:r>
        <w:rPr/>
        <w:t>una</w:t>
      </w:r>
      <w:r>
        <w:rPr>
          <w:spacing w:val="-18"/>
        </w:rPr>
        <w:t> </w:t>
      </w:r>
      <w:r>
        <w:rPr/>
        <w:t>traslazione</w:t>
      </w:r>
      <w:r>
        <w:rPr>
          <w:spacing w:val="-18"/>
        </w:rPr>
        <w:t> </w:t>
      </w:r>
      <w:r>
        <w:rPr/>
        <w:t>incompleta</w:t>
      </w:r>
      <w:r>
        <w:rPr>
          <w:spacing w:val="-18"/>
        </w:rPr>
        <w:t> </w:t>
      </w:r>
      <w:r>
        <w:rPr/>
        <w:t>e,</w:t>
      </w:r>
      <w:r>
        <w:rPr>
          <w:spacing w:val="-17"/>
        </w:rPr>
        <w:t> </w:t>
      </w:r>
      <w:r>
        <w:rPr/>
        <w:t>quindi,</w:t>
      </w:r>
      <w:r>
        <w:rPr>
          <w:spacing w:val="-17"/>
        </w:rPr>
        <w:t> </w:t>
      </w:r>
      <w:r>
        <w:rPr/>
        <w:t>un</w:t>
      </w:r>
      <w:r>
        <w:rPr>
          <w:spacing w:val="-18"/>
        </w:rPr>
        <w:t> </w:t>
      </w:r>
      <w:r>
        <w:rPr/>
        <w:t>aggiustamento</w:t>
      </w:r>
      <w:r>
        <w:rPr>
          <w:spacing w:val="-15"/>
        </w:rPr>
        <w:t> </w:t>
      </w:r>
      <w:r>
        <w:rPr/>
        <w:t>più</w:t>
      </w:r>
      <w:r>
        <w:rPr>
          <w:spacing w:val="-18"/>
        </w:rPr>
        <w:t> </w:t>
      </w:r>
      <w:r>
        <w:rPr/>
        <w:t>rapido di prezzi e principali variabili macroeconomiche in seguito all’aumento</w:t>
      </w:r>
      <w:r>
        <w:rPr>
          <w:spacing w:val="-30"/>
        </w:rPr>
        <w:t> </w:t>
      </w:r>
      <w:r>
        <w:rPr/>
        <w:t>dell’IVA.</w:t>
      </w:r>
    </w:p>
    <w:p>
      <w:pPr>
        <w:pStyle w:val="BodyText"/>
        <w:spacing w:before="1"/>
        <w:rPr>
          <w:sz w:val="23"/>
        </w:rPr>
      </w:pPr>
    </w:p>
    <w:p>
      <w:pPr>
        <w:pStyle w:val="BodyText"/>
        <w:spacing w:before="1"/>
        <w:ind w:left="278" w:right="1417"/>
        <w:jc w:val="right"/>
      </w:pPr>
      <w:r>
        <w:rPr/>
        <w:t>Il  quadro  macroeconomico  tendenziale  per  il  2019-2020  è  stato </w:t>
      </w:r>
      <w:r>
        <w:rPr>
          <w:spacing w:val="31"/>
        </w:rPr>
        <w:t> </w:t>
      </w:r>
      <w:r>
        <w:rPr/>
        <w:t>validato</w:t>
      </w:r>
    </w:p>
    <w:p>
      <w:pPr>
        <w:pStyle w:val="BodyText"/>
        <w:spacing w:before="11"/>
        <w:ind w:left="278" w:right="1413"/>
        <w:jc w:val="right"/>
      </w:pPr>
      <w:r>
        <w:rPr/>
        <w:t>dall’Ufficio  Parlamentare  di  Bilancio  in  data  23  settembre,  al  termine </w:t>
      </w:r>
      <w:r>
        <w:rPr>
          <w:spacing w:val="61"/>
        </w:rPr>
        <w:t> </w:t>
      </w:r>
      <w:r>
        <w:rPr/>
        <w:t>della</w:t>
      </w:r>
    </w:p>
    <w:p>
      <w:pPr>
        <w:spacing w:after="0"/>
        <w:jc w:val="right"/>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before="101"/>
        <w:ind w:left="278"/>
      </w:pPr>
      <w:r>
        <w:rPr/>
        <w:t>consueta interlocuzione con il Dipartimento del Tesoro, Ministero dell’Economia e</w:t>
      </w:r>
    </w:p>
    <w:p>
      <w:pPr>
        <w:pStyle w:val="BodyText"/>
        <w:spacing w:before="14"/>
        <w:ind w:left="278"/>
      </w:pPr>
      <w:r>
        <w:rPr/>
        <w:t>Finanze.</w:t>
      </w:r>
    </w:p>
    <w:p>
      <w:pPr>
        <w:pStyle w:val="BodyText"/>
        <w:spacing w:line="252" w:lineRule="auto" w:before="13"/>
        <w:ind w:left="278" w:right="2261" w:firstLine="453"/>
        <w:jc w:val="both"/>
      </w:pPr>
      <w:r>
        <w:rPr/>
        <w:t>Per quanto riguarda il biennio 2021-2022, la previsione di crescita tendenziale del PIL reale per il 2021 resta allo 0,8 per cento, mentre quella per il 2022 sale lievemente, all’1,0 per cento dallo 0,8 per cento del DEF. Sulla base dei cambiamenti delle variabili esogene, i tassi di crescita previsti per il 2021-2022 potrebbero essere significativamente più elevati. Si è tuttavia optato per una revisione più contenuta e limitata al 2022 in considerazione dei rischi economici e geopolitici sopra accennati e del fatto che la crescita potenziale del PIL nello scenario tendenziale, stimata secondo la metodologia convenuta in sede UE, non eccede lo 0,6 per cento nell’arco del periodo previsivo.</w:t>
      </w:r>
      <w:r>
        <w:rPr>
          <w:vertAlign w:val="superscript"/>
        </w:rPr>
        <w:t>2</w:t>
      </w:r>
    </w:p>
    <w:p>
      <w:pPr>
        <w:pStyle w:val="BodyText"/>
        <w:rPr>
          <w:sz w:val="23"/>
        </w:rPr>
      </w:pPr>
    </w:p>
    <w:p>
      <w:pPr>
        <w:pStyle w:val="BodyText"/>
        <w:spacing w:line="252" w:lineRule="auto"/>
        <w:ind w:left="278" w:right="2263" w:firstLine="453"/>
        <w:jc w:val="both"/>
      </w:pPr>
      <w:r>
        <w:rPr/>
        <w:t>Venendo alla finanza pubblica, il profilo previsto dell’indebitamento netto della PA migliora notevolmente in confronto alle proiezioni del DEF. Il miglioramento</w:t>
      </w:r>
      <w:r>
        <w:rPr>
          <w:spacing w:val="-18"/>
        </w:rPr>
        <w:t> </w:t>
      </w:r>
      <w:r>
        <w:rPr/>
        <w:t>per</w:t>
      </w:r>
      <w:r>
        <w:rPr>
          <w:spacing w:val="-16"/>
        </w:rPr>
        <w:t> </w:t>
      </w:r>
      <w:r>
        <w:rPr/>
        <w:t>il</w:t>
      </w:r>
      <w:r>
        <w:rPr>
          <w:spacing w:val="-17"/>
        </w:rPr>
        <w:t> </w:t>
      </w:r>
      <w:r>
        <w:rPr/>
        <w:t>2019</w:t>
      </w:r>
      <w:r>
        <w:rPr>
          <w:spacing w:val="-18"/>
        </w:rPr>
        <w:t> </w:t>
      </w:r>
      <w:r>
        <w:rPr/>
        <w:t>è</w:t>
      </w:r>
      <w:r>
        <w:rPr>
          <w:spacing w:val="-16"/>
        </w:rPr>
        <w:t> </w:t>
      </w:r>
      <w:r>
        <w:rPr/>
        <w:t>stato</w:t>
      </w:r>
      <w:r>
        <w:rPr>
          <w:spacing w:val="-18"/>
        </w:rPr>
        <w:t> </w:t>
      </w:r>
      <w:r>
        <w:rPr/>
        <w:t>evidenziato</w:t>
      </w:r>
      <w:r>
        <w:rPr>
          <w:spacing w:val="-18"/>
        </w:rPr>
        <w:t> </w:t>
      </w:r>
      <w:r>
        <w:rPr/>
        <w:t>con</w:t>
      </w:r>
      <w:r>
        <w:rPr>
          <w:spacing w:val="-19"/>
        </w:rPr>
        <w:t> </w:t>
      </w:r>
      <w:r>
        <w:rPr/>
        <w:t>il</w:t>
      </w:r>
      <w:r>
        <w:rPr>
          <w:spacing w:val="-18"/>
        </w:rPr>
        <w:t> </w:t>
      </w:r>
      <w:r>
        <w:rPr/>
        <w:t>disegno</w:t>
      </w:r>
      <w:r>
        <w:rPr>
          <w:spacing w:val="-17"/>
        </w:rPr>
        <w:t> </w:t>
      </w:r>
      <w:r>
        <w:rPr/>
        <w:t>di</w:t>
      </w:r>
      <w:r>
        <w:rPr>
          <w:spacing w:val="-21"/>
        </w:rPr>
        <w:t> </w:t>
      </w:r>
      <w:r>
        <w:rPr/>
        <w:t>legge</w:t>
      </w:r>
      <w:r>
        <w:rPr>
          <w:spacing w:val="-16"/>
        </w:rPr>
        <w:t> </w:t>
      </w:r>
      <w:r>
        <w:rPr/>
        <w:t>di</w:t>
      </w:r>
      <w:r>
        <w:rPr>
          <w:spacing w:val="-21"/>
        </w:rPr>
        <w:t> </w:t>
      </w:r>
      <w:r>
        <w:rPr/>
        <w:t>assestamento di bilancio. Rispetto alle proiezioni di inizio luglio, l’aggiornamento del Conto economico della PA di questo Documento rivede al ribasso la stima delle entrate tributarie in considerazione dei dati più</w:t>
      </w:r>
      <w:r>
        <w:rPr>
          <w:spacing w:val="-49"/>
        </w:rPr>
        <w:t> </w:t>
      </w:r>
      <w:r>
        <w:rPr/>
        <w:t>consolidati di monitoraggio. Alla luce della revisione dei dati di contabilità annuale pubblicati dall’Istat il 23 settembre, il punto di partenza è un deficit 2018 lievemente più elevato di quanto precedentemente</w:t>
      </w:r>
      <w:r>
        <w:rPr>
          <w:spacing w:val="-18"/>
        </w:rPr>
        <w:t> </w:t>
      </w:r>
      <w:r>
        <w:rPr/>
        <w:t>stimato,</w:t>
      </w:r>
      <w:r>
        <w:rPr>
          <w:spacing w:val="-16"/>
        </w:rPr>
        <w:t> </w:t>
      </w:r>
      <w:r>
        <w:rPr/>
        <w:t>2,2</w:t>
      </w:r>
      <w:r>
        <w:rPr>
          <w:spacing w:val="-18"/>
        </w:rPr>
        <w:t> </w:t>
      </w:r>
      <w:r>
        <w:rPr/>
        <w:t>per</w:t>
      </w:r>
      <w:r>
        <w:rPr>
          <w:spacing w:val="-19"/>
        </w:rPr>
        <w:t> </w:t>
      </w:r>
      <w:r>
        <w:rPr/>
        <w:t>cento</w:t>
      </w:r>
      <w:r>
        <w:rPr>
          <w:spacing w:val="-19"/>
        </w:rPr>
        <w:t> </w:t>
      </w:r>
      <w:r>
        <w:rPr/>
        <w:t>anziché</w:t>
      </w:r>
      <w:r>
        <w:rPr>
          <w:spacing w:val="-22"/>
        </w:rPr>
        <w:t> </w:t>
      </w:r>
      <w:r>
        <w:rPr/>
        <w:t>2,1</w:t>
      </w:r>
      <w:r>
        <w:rPr>
          <w:spacing w:val="-19"/>
        </w:rPr>
        <w:t> </w:t>
      </w:r>
      <w:r>
        <w:rPr/>
        <w:t>per</w:t>
      </w:r>
      <w:r>
        <w:rPr>
          <w:spacing w:val="-19"/>
        </w:rPr>
        <w:t> </w:t>
      </w:r>
      <w:r>
        <w:rPr/>
        <w:t>cento</w:t>
      </w:r>
      <w:r>
        <w:rPr>
          <w:spacing w:val="-18"/>
        </w:rPr>
        <w:t> </w:t>
      </w:r>
      <w:r>
        <w:rPr/>
        <w:t>del</w:t>
      </w:r>
      <w:r>
        <w:rPr>
          <w:spacing w:val="-17"/>
        </w:rPr>
        <w:t> </w:t>
      </w:r>
      <w:r>
        <w:rPr/>
        <w:t>PIL.</w:t>
      </w:r>
      <w:r>
        <w:rPr>
          <w:spacing w:val="-19"/>
        </w:rPr>
        <w:t> </w:t>
      </w:r>
      <w:r>
        <w:rPr/>
        <w:t>L’evoluzione del</w:t>
      </w:r>
      <w:r>
        <w:rPr>
          <w:spacing w:val="-19"/>
        </w:rPr>
        <w:t> </w:t>
      </w:r>
      <w:r>
        <w:rPr/>
        <w:t>quadro</w:t>
      </w:r>
      <w:r>
        <w:rPr>
          <w:spacing w:val="-20"/>
        </w:rPr>
        <w:t> </w:t>
      </w:r>
      <w:r>
        <w:rPr/>
        <w:t>di</w:t>
      </w:r>
      <w:r>
        <w:rPr>
          <w:spacing w:val="-19"/>
        </w:rPr>
        <w:t> </w:t>
      </w:r>
      <w:r>
        <w:rPr/>
        <w:t>finanza</w:t>
      </w:r>
      <w:r>
        <w:rPr>
          <w:spacing w:val="-19"/>
        </w:rPr>
        <w:t> </w:t>
      </w:r>
      <w:r>
        <w:rPr/>
        <w:t>pubblica</w:t>
      </w:r>
      <w:r>
        <w:rPr>
          <w:spacing w:val="-18"/>
        </w:rPr>
        <w:t> </w:t>
      </w:r>
      <w:r>
        <w:rPr/>
        <w:t>a</w:t>
      </w:r>
      <w:r>
        <w:rPr>
          <w:spacing w:val="-19"/>
        </w:rPr>
        <w:t> </w:t>
      </w:r>
      <w:r>
        <w:rPr/>
        <w:t>legislazione</w:t>
      </w:r>
      <w:r>
        <w:rPr>
          <w:spacing w:val="-19"/>
        </w:rPr>
        <w:t> </w:t>
      </w:r>
      <w:r>
        <w:rPr/>
        <w:t>vigente</w:t>
      </w:r>
      <w:r>
        <w:rPr>
          <w:spacing w:val="-18"/>
        </w:rPr>
        <w:t> </w:t>
      </w:r>
      <w:r>
        <w:rPr/>
        <w:t>per</w:t>
      </w:r>
      <w:r>
        <w:rPr>
          <w:spacing w:val="-18"/>
        </w:rPr>
        <w:t> </w:t>
      </w:r>
      <w:r>
        <w:rPr/>
        <w:t>gli</w:t>
      </w:r>
      <w:r>
        <w:rPr>
          <w:spacing w:val="-19"/>
        </w:rPr>
        <w:t> </w:t>
      </w:r>
      <w:r>
        <w:rPr/>
        <w:t>anni</w:t>
      </w:r>
      <w:r>
        <w:rPr>
          <w:spacing w:val="-18"/>
        </w:rPr>
        <w:t> </w:t>
      </w:r>
      <w:r>
        <w:rPr/>
        <w:t>2019-2022</w:t>
      </w:r>
      <w:r>
        <w:rPr>
          <w:spacing w:val="-19"/>
        </w:rPr>
        <w:t> </w:t>
      </w:r>
      <w:r>
        <w:rPr/>
        <w:t>di</w:t>
      </w:r>
      <w:r>
        <w:rPr>
          <w:spacing w:val="-19"/>
        </w:rPr>
        <w:t> </w:t>
      </w:r>
      <w:r>
        <w:rPr/>
        <w:t>questo Documento sconta il rallentamento delle prospettive di crescita nel breve periodo rispetto alle attese formulate nel DEF di aprile e considera i risultati del monitoraggio sulla finanza pubblica e l’impatto dei provvedimenti adottati dal precedente Governo dopo il</w:t>
      </w:r>
      <w:r>
        <w:rPr>
          <w:spacing w:val="-4"/>
        </w:rPr>
        <w:t> </w:t>
      </w:r>
      <w:r>
        <w:rPr/>
        <w:t>DEF.</w:t>
      </w:r>
    </w:p>
    <w:p>
      <w:pPr>
        <w:pStyle w:val="BodyText"/>
        <w:spacing w:line="252" w:lineRule="auto" w:before="1"/>
        <w:ind w:left="278" w:right="2260" w:firstLine="453"/>
        <w:jc w:val="both"/>
      </w:pPr>
      <w:r>
        <w:rPr/>
        <w:t>Per</w:t>
      </w:r>
      <w:r>
        <w:rPr>
          <w:spacing w:val="-13"/>
        </w:rPr>
        <w:t> </w:t>
      </w:r>
      <w:r>
        <w:rPr/>
        <w:t>effetto</w:t>
      </w:r>
      <w:r>
        <w:rPr>
          <w:spacing w:val="-14"/>
        </w:rPr>
        <w:t> </w:t>
      </w:r>
      <w:r>
        <w:rPr/>
        <w:t>dei</w:t>
      </w:r>
      <w:r>
        <w:rPr>
          <w:spacing w:val="-14"/>
        </w:rPr>
        <w:t> </w:t>
      </w:r>
      <w:r>
        <w:rPr/>
        <w:t>fattori</w:t>
      </w:r>
      <w:r>
        <w:rPr>
          <w:spacing w:val="-13"/>
        </w:rPr>
        <w:t> </w:t>
      </w:r>
      <w:r>
        <w:rPr/>
        <w:t>sopraindicati,</w:t>
      </w:r>
      <w:r>
        <w:rPr>
          <w:spacing w:val="-13"/>
        </w:rPr>
        <w:t> </w:t>
      </w:r>
      <w:r>
        <w:rPr/>
        <w:t>la</w:t>
      </w:r>
      <w:r>
        <w:rPr>
          <w:spacing w:val="-14"/>
        </w:rPr>
        <w:t> </w:t>
      </w:r>
      <w:r>
        <w:rPr/>
        <w:t>stima</w:t>
      </w:r>
      <w:r>
        <w:rPr>
          <w:spacing w:val="-14"/>
        </w:rPr>
        <w:t> </w:t>
      </w:r>
      <w:r>
        <w:rPr/>
        <w:t>dell’indebitamento</w:t>
      </w:r>
      <w:r>
        <w:rPr>
          <w:spacing w:val="-13"/>
        </w:rPr>
        <w:t> </w:t>
      </w:r>
      <w:r>
        <w:rPr/>
        <w:t>netto</w:t>
      </w:r>
      <w:r>
        <w:rPr>
          <w:spacing w:val="-14"/>
        </w:rPr>
        <w:t> </w:t>
      </w:r>
      <w:r>
        <w:rPr/>
        <w:t>della</w:t>
      </w:r>
      <w:r>
        <w:rPr>
          <w:spacing w:val="-14"/>
        </w:rPr>
        <w:t> </w:t>
      </w:r>
      <w:r>
        <w:rPr/>
        <w:t>PA nel</w:t>
      </w:r>
      <w:r>
        <w:rPr>
          <w:spacing w:val="-14"/>
        </w:rPr>
        <w:t> </w:t>
      </w:r>
      <w:r>
        <w:rPr/>
        <w:t>2019</w:t>
      </w:r>
      <w:r>
        <w:rPr>
          <w:spacing w:val="-14"/>
        </w:rPr>
        <w:t> </w:t>
      </w:r>
      <w:r>
        <w:rPr/>
        <w:t>è</w:t>
      </w:r>
      <w:r>
        <w:rPr>
          <w:spacing w:val="-13"/>
        </w:rPr>
        <w:t> </w:t>
      </w:r>
      <w:r>
        <w:rPr/>
        <w:t>rivista</w:t>
      </w:r>
      <w:r>
        <w:rPr>
          <w:spacing w:val="-13"/>
        </w:rPr>
        <w:t> </w:t>
      </w:r>
      <w:r>
        <w:rPr/>
        <w:t>dal</w:t>
      </w:r>
      <w:r>
        <w:rPr>
          <w:spacing w:val="-13"/>
        </w:rPr>
        <w:t> </w:t>
      </w:r>
      <w:r>
        <w:rPr/>
        <w:t>2,4</w:t>
      </w:r>
      <w:r>
        <w:rPr>
          <w:spacing w:val="-12"/>
        </w:rPr>
        <w:t> </w:t>
      </w:r>
      <w:r>
        <w:rPr/>
        <w:t>per</w:t>
      </w:r>
      <w:r>
        <w:rPr>
          <w:spacing w:val="-12"/>
        </w:rPr>
        <w:t> </w:t>
      </w:r>
      <w:r>
        <w:rPr/>
        <w:t>cento</w:t>
      </w:r>
      <w:r>
        <w:rPr>
          <w:spacing w:val="-13"/>
        </w:rPr>
        <w:t> </w:t>
      </w:r>
      <w:r>
        <w:rPr/>
        <w:t>del</w:t>
      </w:r>
      <w:r>
        <w:rPr>
          <w:spacing w:val="-13"/>
        </w:rPr>
        <w:t> </w:t>
      </w:r>
      <w:r>
        <w:rPr/>
        <w:t>PIL</w:t>
      </w:r>
      <w:r>
        <w:rPr>
          <w:spacing w:val="-13"/>
        </w:rPr>
        <w:t> </w:t>
      </w:r>
      <w:r>
        <w:rPr/>
        <w:t>stimato</w:t>
      </w:r>
      <w:r>
        <w:rPr>
          <w:spacing w:val="-13"/>
        </w:rPr>
        <w:t> </w:t>
      </w:r>
      <w:r>
        <w:rPr/>
        <w:t>nel</w:t>
      </w:r>
      <w:r>
        <w:rPr>
          <w:spacing w:val="-13"/>
        </w:rPr>
        <w:t> </w:t>
      </w:r>
      <w:r>
        <w:rPr/>
        <w:t>DEF</w:t>
      </w:r>
      <w:r>
        <w:rPr>
          <w:spacing w:val="-13"/>
        </w:rPr>
        <w:t> </w:t>
      </w:r>
      <w:r>
        <w:rPr/>
        <w:t>di</w:t>
      </w:r>
      <w:r>
        <w:rPr>
          <w:spacing w:val="-14"/>
        </w:rPr>
        <w:t> </w:t>
      </w:r>
      <w:r>
        <w:rPr/>
        <w:t>aprile</w:t>
      </w:r>
      <w:r>
        <w:rPr>
          <w:spacing w:val="-13"/>
        </w:rPr>
        <w:t> </w:t>
      </w:r>
      <w:r>
        <w:rPr/>
        <w:t>al</w:t>
      </w:r>
      <w:r>
        <w:rPr>
          <w:spacing w:val="-14"/>
        </w:rPr>
        <w:t> </w:t>
      </w:r>
      <w:r>
        <w:rPr/>
        <w:t>2,2</w:t>
      </w:r>
      <w:r>
        <w:rPr>
          <w:spacing w:val="-13"/>
        </w:rPr>
        <w:t> </w:t>
      </w:r>
      <w:r>
        <w:rPr/>
        <w:t>per</w:t>
      </w:r>
      <w:r>
        <w:rPr>
          <w:spacing w:val="-13"/>
        </w:rPr>
        <w:t> </w:t>
      </w:r>
      <w:r>
        <w:rPr/>
        <w:t>cento, grazie al miglioramento dell’avanzo primario in rapporto al PIL di circa 0,1 punti percentuali (dall’1,2 per cento del DEF all’1,3 per cento del PIL) e al calo dell’incidenza</w:t>
      </w:r>
      <w:r>
        <w:rPr>
          <w:spacing w:val="-8"/>
        </w:rPr>
        <w:t> </w:t>
      </w:r>
      <w:r>
        <w:rPr/>
        <w:t>della</w:t>
      </w:r>
      <w:r>
        <w:rPr>
          <w:spacing w:val="-7"/>
        </w:rPr>
        <w:t> </w:t>
      </w:r>
      <w:r>
        <w:rPr/>
        <w:t>spesa</w:t>
      </w:r>
      <w:r>
        <w:rPr>
          <w:spacing w:val="-7"/>
        </w:rPr>
        <w:t> </w:t>
      </w:r>
      <w:r>
        <w:rPr/>
        <w:t>per</w:t>
      </w:r>
      <w:r>
        <w:rPr>
          <w:spacing w:val="-7"/>
        </w:rPr>
        <w:t> </w:t>
      </w:r>
      <w:r>
        <w:rPr/>
        <w:t>interessi</w:t>
      </w:r>
      <w:r>
        <w:rPr>
          <w:spacing w:val="-7"/>
        </w:rPr>
        <w:t> </w:t>
      </w:r>
      <w:r>
        <w:rPr/>
        <w:t>sul</w:t>
      </w:r>
      <w:r>
        <w:rPr>
          <w:spacing w:val="-7"/>
        </w:rPr>
        <w:t> </w:t>
      </w:r>
      <w:r>
        <w:rPr/>
        <w:t>PIL</w:t>
      </w:r>
      <w:r>
        <w:rPr>
          <w:spacing w:val="-9"/>
        </w:rPr>
        <w:t> </w:t>
      </w:r>
      <w:r>
        <w:rPr/>
        <w:t>(dal</w:t>
      </w:r>
      <w:r>
        <w:rPr>
          <w:spacing w:val="-7"/>
        </w:rPr>
        <w:t> </w:t>
      </w:r>
      <w:r>
        <w:rPr/>
        <w:t>3,6</w:t>
      </w:r>
      <w:r>
        <w:rPr>
          <w:spacing w:val="-7"/>
        </w:rPr>
        <w:t> </w:t>
      </w:r>
      <w:r>
        <w:rPr/>
        <w:t>per</w:t>
      </w:r>
      <w:r>
        <w:rPr>
          <w:spacing w:val="-9"/>
        </w:rPr>
        <w:t> </w:t>
      </w:r>
      <w:r>
        <w:rPr/>
        <w:t>cento</w:t>
      </w:r>
      <w:r>
        <w:rPr>
          <w:spacing w:val="-7"/>
        </w:rPr>
        <w:t> </w:t>
      </w:r>
      <w:r>
        <w:rPr/>
        <w:t>di</w:t>
      </w:r>
      <w:r>
        <w:rPr>
          <w:spacing w:val="-10"/>
        </w:rPr>
        <w:t> </w:t>
      </w:r>
      <w:r>
        <w:rPr/>
        <w:t>aprile</w:t>
      </w:r>
      <w:r>
        <w:rPr>
          <w:spacing w:val="-9"/>
        </w:rPr>
        <w:t> </w:t>
      </w:r>
      <w:r>
        <w:rPr/>
        <w:t>al</w:t>
      </w:r>
      <w:r>
        <w:rPr>
          <w:spacing w:val="-8"/>
        </w:rPr>
        <w:t> </w:t>
      </w:r>
      <w:r>
        <w:rPr/>
        <w:t>3,4</w:t>
      </w:r>
      <w:r>
        <w:rPr>
          <w:spacing w:val="-9"/>
        </w:rPr>
        <w:t> </w:t>
      </w:r>
      <w:r>
        <w:rPr/>
        <w:t>per cento).</w:t>
      </w:r>
      <w:r>
        <w:rPr>
          <w:vertAlign w:val="superscript"/>
        </w:rPr>
        <w:t>3</w:t>
      </w:r>
    </w:p>
    <w:p>
      <w:pPr>
        <w:pStyle w:val="BodyText"/>
        <w:spacing w:line="252" w:lineRule="auto"/>
        <w:ind w:left="278" w:right="2261" w:firstLine="453"/>
        <w:jc w:val="both"/>
      </w:pPr>
      <w:r>
        <w:rPr/>
        <w:t>Per gli anni 2020-2022 è prevista una marcata riduzione dell’indebitamento netto a legislazione vigente, fino al conseguimento di un deficit nominale dello 0,9 per cento del PIL a fine periodo, che si confronta con un obiettivo programmatico di</w:t>
      </w:r>
      <w:r>
        <w:rPr>
          <w:spacing w:val="-17"/>
        </w:rPr>
        <w:t> </w:t>
      </w:r>
      <w:r>
        <w:rPr/>
        <w:t>indebitamento</w:t>
      </w:r>
      <w:r>
        <w:rPr>
          <w:spacing w:val="-17"/>
        </w:rPr>
        <w:t> </w:t>
      </w:r>
      <w:r>
        <w:rPr/>
        <w:t>netto</w:t>
      </w:r>
      <w:r>
        <w:rPr>
          <w:spacing w:val="-16"/>
        </w:rPr>
        <w:t> </w:t>
      </w:r>
      <w:r>
        <w:rPr/>
        <w:t>a</w:t>
      </w:r>
      <w:r>
        <w:rPr>
          <w:spacing w:val="-15"/>
        </w:rPr>
        <w:t> </w:t>
      </w:r>
      <w:r>
        <w:rPr/>
        <w:t>fine</w:t>
      </w:r>
      <w:r>
        <w:rPr>
          <w:spacing w:val="-16"/>
        </w:rPr>
        <w:t> </w:t>
      </w:r>
      <w:r>
        <w:rPr/>
        <w:t>periodo</w:t>
      </w:r>
      <w:r>
        <w:rPr>
          <w:spacing w:val="-17"/>
        </w:rPr>
        <w:t> </w:t>
      </w:r>
      <w:r>
        <w:rPr/>
        <w:t>pari</w:t>
      </w:r>
      <w:r>
        <w:rPr>
          <w:spacing w:val="-16"/>
        </w:rPr>
        <w:t> </w:t>
      </w:r>
      <w:r>
        <w:rPr/>
        <w:t>all’1,5</w:t>
      </w:r>
      <w:r>
        <w:rPr>
          <w:spacing w:val="-15"/>
        </w:rPr>
        <w:t> </w:t>
      </w:r>
      <w:r>
        <w:rPr/>
        <w:t>per</w:t>
      </w:r>
      <w:r>
        <w:rPr>
          <w:spacing w:val="-15"/>
        </w:rPr>
        <w:t> </w:t>
      </w:r>
      <w:r>
        <w:rPr/>
        <w:t>cento</w:t>
      </w:r>
      <w:r>
        <w:rPr>
          <w:spacing w:val="-17"/>
        </w:rPr>
        <w:t> </w:t>
      </w:r>
      <w:r>
        <w:rPr/>
        <w:t>del</w:t>
      </w:r>
      <w:r>
        <w:rPr>
          <w:spacing w:val="-15"/>
        </w:rPr>
        <w:t> </w:t>
      </w:r>
      <w:r>
        <w:rPr/>
        <w:t>PIL</w:t>
      </w:r>
      <w:r>
        <w:rPr>
          <w:spacing w:val="-15"/>
        </w:rPr>
        <w:t> </w:t>
      </w:r>
      <w:r>
        <w:rPr/>
        <w:t>nel</w:t>
      </w:r>
      <w:r>
        <w:rPr>
          <w:spacing w:val="-16"/>
        </w:rPr>
        <w:t> </w:t>
      </w:r>
      <w:r>
        <w:rPr/>
        <w:t>DEF</w:t>
      </w:r>
      <w:r>
        <w:rPr>
          <w:spacing w:val="-18"/>
        </w:rPr>
        <w:t> </w:t>
      </w:r>
      <w:r>
        <w:rPr/>
        <w:t>di</w:t>
      </w:r>
      <w:r>
        <w:rPr>
          <w:spacing w:val="-16"/>
        </w:rPr>
        <w:t> </w:t>
      </w:r>
      <w:r>
        <w:rPr/>
        <w:t>aprile. L’avanzo</w:t>
      </w:r>
      <w:r>
        <w:rPr>
          <w:spacing w:val="-8"/>
        </w:rPr>
        <w:t> </w:t>
      </w:r>
      <w:r>
        <w:rPr/>
        <w:t>primario</w:t>
      </w:r>
      <w:r>
        <w:rPr>
          <w:spacing w:val="-7"/>
        </w:rPr>
        <w:t> </w:t>
      </w:r>
      <w:r>
        <w:rPr/>
        <w:t>salirebbe</w:t>
      </w:r>
      <w:r>
        <w:rPr>
          <w:spacing w:val="-6"/>
        </w:rPr>
        <w:t> </w:t>
      </w:r>
      <w:r>
        <w:rPr/>
        <w:t>all’1,9</w:t>
      </w:r>
      <w:r>
        <w:rPr>
          <w:spacing w:val="-7"/>
        </w:rPr>
        <w:t> </w:t>
      </w:r>
      <w:r>
        <w:rPr/>
        <w:t>per</w:t>
      </w:r>
      <w:r>
        <w:rPr>
          <w:spacing w:val="-6"/>
        </w:rPr>
        <w:t> </w:t>
      </w:r>
      <w:r>
        <w:rPr/>
        <w:t>cento</w:t>
      </w:r>
      <w:r>
        <w:rPr>
          <w:spacing w:val="-7"/>
        </w:rPr>
        <w:t> </w:t>
      </w:r>
      <w:r>
        <w:rPr/>
        <w:t>del</w:t>
      </w:r>
      <w:r>
        <w:rPr>
          <w:spacing w:val="-7"/>
        </w:rPr>
        <w:t> </w:t>
      </w:r>
      <w:r>
        <w:rPr/>
        <w:t>PIL</w:t>
      </w:r>
      <w:r>
        <w:rPr>
          <w:spacing w:val="-5"/>
        </w:rPr>
        <w:t> </w:t>
      </w:r>
      <w:r>
        <w:rPr/>
        <w:t>nel</w:t>
      </w:r>
      <w:r>
        <w:rPr>
          <w:spacing w:val="-7"/>
        </w:rPr>
        <w:t> </w:t>
      </w:r>
      <w:r>
        <w:rPr/>
        <w:t>2020,</w:t>
      </w:r>
      <w:r>
        <w:rPr>
          <w:spacing w:val="-7"/>
        </w:rPr>
        <w:t> </w:t>
      </w:r>
      <w:r>
        <w:rPr/>
        <w:t>all’1,9</w:t>
      </w:r>
      <w:r>
        <w:rPr>
          <w:spacing w:val="-6"/>
        </w:rPr>
        <w:t> </w:t>
      </w:r>
      <w:r>
        <w:rPr/>
        <w:t>per</w:t>
      </w:r>
      <w:r>
        <w:rPr>
          <w:spacing w:val="-7"/>
        </w:rPr>
        <w:t> </w:t>
      </w:r>
      <w:r>
        <w:rPr/>
        <w:t>cento</w:t>
      </w:r>
      <w:r>
        <w:rPr>
          <w:spacing w:val="-7"/>
        </w:rPr>
        <w:t> </w:t>
      </w:r>
      <w:r>
        <w:rPr/>
        <w:t>nel 2021</w:t>
      </w:r>
      <w:r>
        <w:rPr>
          <w:spacing w:val="-5"/>
        </w:rPr>
        <w:t> </w:t>
      </w:r>
      <w:r>
        <w:rPr/>
        <w:t>e</w:t>
      </w:r>
      <w:r>
        <w:rPr>
          <w:spacing w:val="-3"/>
        </w:rPr>
        <w:t> </w:t>
      </w:r>
      <w:r>
        <w:rPr/>
        <w:t>al</w:t>
      </w:r>
      <w:r>
        <w:rPr>
          <w:spacing w:val="-3"/>
        </w:rPr>
        <w:t> </w:t>
      </w:r>
      <w:r>
        <w:rPr/>
        <w:t>2,0</w:t>
      </w:r>
      <w:r>
        <w:rPr>
          <w:spacing w:val="-4"/>
        </w:rPr>
        <w:t> </w:t>
      </w:r>
      <w:r>
        <w:rPr/>
        <w:t>per</w:t>
      </w:r>
      <w:r>
        <w:rPr>
          <w:spacing w:val="-2"/>
        </w:rPr>
        <w:t> </w:t>
      </w:r>
      <w:r>
        <w:rPr/>
        <w:t>cento</w:t>
      </w:r>
      <w:r>
        <w:rPr>
          <w:spacing w:val="-6"/>
        </w:rPr>
        <w:t> </w:t>
      </w:r>
      <w:r>
        <w:rPr/>
        <w:t>nel</w:t>
      </w:r>
      <w:r>
        <w:rPr>
          <w:spacing w:val="-4"/>
        </w:rPr>
        <w:t> </w:t>
      </w:r>
      <w:r>
        <w:rPr/>
        <w:t>2022,</w:t>
      </w:r>
      <w:r>
        <w:rPr>
          <w:spacing w:val="-2"/>
        </w:rPr>
        <w:t> </w:t>
      </w:r>
      <w:r>
        <w:rPr/>
        <w:t>grazie</w:t>
      </w:r>
      <w:r>
        <w:rPr>
          <w:spacing w:val="-4"/>
        </w:rPr>
        <w:t> </w:t>
      </w:r>
      <w:r>
        <w:rPr/>
        <w:t>ad</w:t>
      </w:r>
      <w:r>
        <w:rPr>
          <w:spacing w:val="-5"/>
        </w:rPr>
        <w:t> </w:t>
      </w:r>
      <w:r>
        <w:rPr/>
        <w:t>una</w:t>
      </w:r>
      <w:r>
        <w:rPr>
          <w:spacing w:val="-6"/>
        </w:rPr>
        <w:t> </w:t>
      </w:r>
      <w:r>
        <w:rPr/>
        <w:t>crescita</w:t>
      </w:r>
      <w:r>
        <w:rPr>
          <w:spacing w:val="-4"/>
        </w:rPr>
        <w:t> </w:t>
      </w:r>
      <w:r>
        <w:rPr/>
        <w:t>più</w:t>
      </w:r>
      <w:r>
        <w:rPr>
          <w:spacing w:val="-5"/>
        </w:rPr>
        <w:t> </w:t>
      </w:r>
      <w:r>
        <w:rPr/>
        <w:t>sostenuta</w:t>
      </w:r>
      <w:r>
        <w:rPr>
          <w:spacing w:val="-4"/>
        </w:rPr>
        <w:t> </w:t>
      </w:r>
      <w:r>
        <w:rPr/>
        <w:t>delle</w:t>
      </w:r>
      <w:r>
        <w:rPr>
          <w:spacing w:val="-3"/>
        </w:rPr>
        <w:t> </w:t>
      </w:r>
      <w:r>
        <w:rPr/>
        <w:t>entrate fiscali</w:t>
      </w:r>
      <w:r>
        <w:rPr>
          <w:spacing w:val="-18"/>
        </w:rPr>
        <w:t> </w:t>
      </w:r>
      <w:r>
        <w:rPr/>
        <w:t>e</w:t>
      </w:r>
      <w:r>
        <w:rPr>
          <w:spacing w:val="-16"/>
        </w:rPr>
        <w:t> </w:t>
      </w:r>
      <w:r>
        <w:rPr/>
        <w:t>ad</w:t>
      </w:r>
      <w:r>
        <w:rPr>
          <w:spacing w:val="-17"/>
        </w:rPr>
        <w:t> </w:t>
      </w:r>
      <w:r>
        <w:rPr/>
        <w:t>una</w:t>
      </w:r>
      <w:r>
        <w:rPr>
          <w:spacing w:val="-17"/>
        </w:rPr>
        <w:t> </w:t>
      </w:r>
      <w:r>
        <w:rPr/>
        <w:t>dinamica</w:t>
      </w:r>
      <w:r>
        <w:rPr>
          <w:spacing w:val="-15"/>
        </w:rPr>
        <w:t> </w:t>
      </w:r>
      <w:r>
        <w:rPr/>
        <w:t>più</w:t>
      </w:r>
      <w:r>
        <w:rPr>
          <w:spacing w:val="-17"/>
        </w:rPr>
        <w:t> </w:t>
      </w:r>
      <w:r>
        <w:rPr/>
        <w:t>contenuta</w:t>
      </w:r>
      <w:r>
        <w:rPr>
          <w:spacing w:val="-17"/>
        </w:rPr>
        <w:t> </w:t>
      </w:r>
      <w:r>
        <w:rPr/>
        <w:t>della</w:t>
      </w:r>
      <w:r>
        <w:rPr>
          <w:spacing w:val="-15"/>
        </w:rPr>
        <w:t> </w:t>
      </w:r>
      <w:r>
        <w:rPr/>
        <w:t>spesa</w:t>
      </w:r>
      <w:r>
        <w:rPr>
          <w:spacing w:val="-17"/>
        </w:rPr>
        <w:t> </w:t>
      </w:r>
      <w:r>
        <w:rPr/>
        <w:t>primaria.</w:t>
      </w:r>
      <w:r>
        <w:rPr>
          <w:spacing w:val="-15"/>
        </w:rPr>
        <w:t> </w:t>
      </w:r>
      <w:r>
        <w:rPr/>
        <w:t>L’incidenza</w:t>
      </w:r>
      <w:r>
        <w:rPr>
          <w:spacing w:val="-17"/>
        </w:rPr>
        <w:t> </w:t>
      </w:r>
      <w:r>
        <w:rPr/>
        <w:t>della</w:t>
      </w:r>
      <w:r>
        <w:rPr>
          <w:spacing w:val="-18"/>
        </w:rPr>
        <w:t> </w:t>
      </w:r>
      <w:r>
        <w:rPr/>
        <w:t>spesa per interessi passivi sul PIL scenderebbe al 3,2 per cento del 2020, al 3,1 per</w:t>
      </w:r>
      <w:r>
        <w:rPr>
          <w:spacing w:val="-42"/>
        </w:rPr>
        <w:t> </w:t>
      </w:r>
      <w:r>
        <w:rPr/>
        <w:t>cento</w:t>
      </w:r>
    </w:p>
    <w:p>
      <w:pPr>
        <w:pStyle w:val="BodyText"/>
        <w:rPr>
          <w:sz w:val="20"/>
        </w:rPr>
      </w:pPr>
    </w:p>
    <w:p>
      <w:pPr>
        <w:pStyle w:val="BodyText"/>
        <w:rPr>
          <w:sz w:val="20"/>
        </w:rPr>
      </w:pPr>
    </w:p>
    <w:p>
      <w:pPr>
        <w:pStyle w:val="BodyText"/>
        <w:rPr>
          <w:sz w:val="20"/>
        </w:rPr>
      </w:pPr>
    </w:p>
    <w:p>
      <w:pPr>
        <w:pStyle w:val="BodyText"/>
        <w:spacing w:before="7"/>
        <w:rPr>
          <w:sz w:val="21"/>
        </w:rPr>
      </w:pPr>
      <w:r>
        <w:rPr/>
        <w:pict>
          <v:group style="position:absolute;margin-left:93.599998pt;margin-top:14.521143pt;width:21.4pt;height:2.15pt;mso-position-horizontal-relative:page;mso-position-vertical-relative:paragraph;z-index:-251635712;mso-wrap-distance-left:0;mso-wrap-distance-right:0" coordorigin="1872,290" coordsize="428,43">
            <v:line style="position:absolute" from="1872,311" to="2299,311" stroked="true" strokeweight="2.050pt" strokecolor="#aaaaaa">
              <v:stroke dashstyle="solid"/>
            </v:line>
            <v:rect style="position:absolute;left:1872;top:292;width:5;height:5" filled="true" fillcolor="#9f9f9f" stroked="false">
              <v:fill type="solid"/>
            </v:rect>
            <v:rect style="position:absolute;left:1872;top:292;width:5;height:5" filled="true" fillcolor="#9f9f9f" stroked="false">
              <v:fill type="solid"/>
            </v:rect>
            <v:line style="position:absolute" from="1877,295" to="2295,295" stroked="true" strokeweight=".24005pt" strokecolor="#9f9f9f">
              <v:stroke dashstyle="solid"/>
            </v:line>
            <v:rect style="position:absolute;left:2294;top:292;width:5;height:5" filled="true" fillcolor="#e2e2e2" stroked="false">
              <v:fill type="solid"/>
            </v:rect>
            <v:rect style="position:absolute;left:2294;top:292;width:5;height:5" filled="true" fillcolor="#9f9f9f" stroked="false">
              <v:fill type="solid"/>
            </v:rect>
            <v:rect style="position:absolute;left:1872;top:297;width:5;height:32" filled="true" fillcolor="#9f9f9f" stroked="false">
              <v:fill type="solid"/>
            </v:rect>
            <v:rect style="position:absolute;left:2294;top:297;width:5;height:32" filled="true" fillcolor="#e2e2e2" stroked="false">
              <v:fill type="solid"/>
            </v:rect>
            <v:rect style="position:absolute;left:1872;top:328;width:5;height:5" filled="true" fillcolor="#9f9f9f" stroked="false">
              <v:fill type="solid"/>
            </v:rect>
            <v:rect style="position:absolute;left:1872;top:328;width:5;height:5" filled="true" fillcolor="#e2e2e2" stroked="false">
              <v:fill type="solid"/>
            </v:rect>
            <v:line style="position:absolute" from="1877,331" to="2295,331" stroked="true" strokeweight=".23999pt" strokecolor="#e2e2e2">
              <v:stroke dashstyle="solid"/>
            </v:line>
            <v:rect style="position:absolute;left:2294;top:328;width:5;height:5" filled="true" fillcolor="#e2e2e2" stroked="false">
              <v:fill type="solid"/>
            </v:rect>
            <v:rect style="position:absolute;left:2294;top:328;width:5;height:5" filled="true" fillcolor="#e2e2e2" stroked="false">
              <v:fill type="solid"/>
            </v:rect>
            <w10:wrap type="topAndBottom"/>
          </v:group>
        </w:pict>
      </w:r>
    </w:p>
    <w:p>
      <w:pPr>
        <w:spacing w:before="20"/>
        <w:ind w:left="278" w:right="2262" w:firstLine="453"/>
        <w:jc w:val="both"/>
        <w:rPr>
          <w:sz w:val="16"/>
        </w:rPr>
      </w:pPr>
      <w:r>
        <w:rPr>
          <w:position w:val="6"/>
          <w:sz w:val="10"/>
        </w:rPr>
        <w:t>2 </w:t>
      </w:r>
      <w:r>
        <w:rPr>
          <w:sz w:val="16"/>
        </w:rPr>
        <w:t>La stima della crescita potenziale dell’Italia stimata dal Dipartimento del Tesoro seguendo la metodologia convenuta a livello UE risultava più elevata in precedenti edizioni del DEF, raggiungendo lo 0,8 per cento nel periodo qui considerato. Ciò rifletteva tassi di crescita più elevati, effettivi e attesi, per le principali variabili macroeconomiche, anche a livello internazionale.</w:t>
      </w:r>
    </w:p>
    <w:p>
      <w:pPr>
        <w:spacing w:line="237" w:lineRule="auto" w:before="0"/>
        <w:ind w:left="278" w:right="2271" w:firstLine="453"/>
        <w:jc w:val="both"/>
        <w:rPr>
          <w:sz w:val="16"/>
        </w:rPr>
      </w:pPr>
      <w:r>
        <w:rPr>
          <w:position w:val="6"/>
          <w:sz w:val="10"/>
        </w:rPr>
        <w:t>3 </w:t>
      </w:r>
      <w:r>
        <w:rPr>
          <w:sz w:val="16"/>
        </w:rPr>
        <w:t>Nel verificare la coerenza dei dati citati nel testo, va tenuto presente che essi riflettono arrotondamenti al primo</w:t>
      </w:r>
      <w:r>
        <w:rPr>
          <w:spacing w:val="-1"/>
          <w:sz w:val="16"/>
        </w:rPr>
        <w:t> </w:t>
      </w:r>
      <w:r>
        <w:rPr>
          <w:sz w:val="16"/>
        </w:rPr>
        <w:t>decimale.</w:t>
      </w:r>
    </w:p>
    <w:p>
      <w:pPr>
        <w:spacing w:after="0" w:line="237" w:lineRule="auto"/>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1128" w:right="1420"/>
        <w:jc w:val="both"/>
      </w:pPr>
      <w:r>
        <w:rPr/>
        <w:t>del 2021 e infine al 2,9 per cento nel 2022, dato un andamento dei rendimenti sui titoli di stato decisamente più contenuto di quanto ipotizzato nel DEF.</w:t>
      </w:r>
      <w:r>
        <w:rPr>
          <w:vertAlign w:val="superscript"/>
        </w:rPr>
        <w:t>4</w:t>
      </w:r>
    </w:p>
    <w:p>
      <w:pPr>
        <w:pStyle w:val="BodyText"/>
        <w:spacing w:line="252" w:lineRule="auto" w:before="2"/>
        <w:ind w:left="1128" w:right="1411" w:firstLine="453"/>
        <w:jc w:val="both"/>
      </w:pPr>
      <w:r>
        <w:rPr/>
        <w:t>Per</w:t>
      </w:r>
      <w:r>
        <w:rPr>
          <w:spacing w:val="-7"/>
        </w:rPr>
        <w:t> </w:t>
      </w:r>
      <w:r>
        <w:rPr/>
        <w:t>quanto</w:t>
      </w:r>
      <w:r>
        <w:rPr>
          <w:spacing w:val="-8"/>
        </w:rPr>
        <w:t> </w:t>
      </w:r>
      <w:r>
        <w:rPr/>
        <w:t>riguarda</w:t>
      </w:r>
      <w:r>
        <w:rPr>
          <w:spacing w:val="-7"/>
        </w:rPr>
        <w:t> </w:t>
      </w:r>
      <w:r>
        <w:rPr/>
        <w:t>il</w:t>
      </w:r>
      <w:r>
        <w:rPr>
          <w:spacing w:val="-8"/>
        </w:rPr>
        <w:t> </w:t>
      </w:r>
      <w:r>
        <w:rPr/>
        <w:t>saldo</w:t>
      </w:r>
      <w:r>
        <w:rPr>
          <w:spacing w:val="-7"/>
        </w:rPr>
        <w:t> </w:t>
      </w:r>
      <w:r>
        <w:rPr/>
        <w:t>strutturale</w:t>
      </w:r>
      <w:r>
        <w:rPr>
          <w:spacing w:val="-8"/>
        </w:rPr>
        <w:t> </w:t>
      </w:r>
      <w:r>
        <w:rPr/>
        <w:t>di</w:t>
      </w:r>
      <w:r>
        <w:rPr>
          <w:spacing w:val="-7"/>
        </w:rPr>
        <w:t> </w:t>
      </w:r>
      <w:r>
        <w:rPr/>
        <w:t>bilancio,</w:t>
      </w:r>
      <w:r>
        <w:rPr>
          <w:spacing w:val="-7"/>
        </w:rPr>
        <w:t> </w:t>
      </w:r>
      <w:r>
        <w:rPr/>
        <w:t>quest’anno</w:t>
      </w:r>
      <w:r>
        <w:rPr>
          <w:spacing w:val="-8"/>
        </w:rPr>
        <w:t> </w:t>
      </w:r>
      <w:r>
        <w:rPr/>
        <w:t>si</w:t>
      </w:r>
      <w:r>
        <w:rPr>
          <w:spacing w:val="-8"/>
        </w:rPr>
        <w:t> </w:t>
      </w:r>
      <w:r>
        <w:rPr/>
        <w:t>registrerebbe un</w:t>
      </w:r>
      <w:r>
        <w:rPr>
          <w:spacing w:val="-16"/>
        </w:rPr>
        <w:t> </w:t>
      </w:r>
      <w:r>
        <w:rPr/>
        <w:t>miglioramento</w:t>
      </w:r>
      <w:r>
        <w:rPr>
          <w:spacing w:val="-14"/>
        </w:rPr>
        <w:t> </w:t>
      </w:r>
      <w:r>
        <w:rPr/>
        <w:t>di</w:t>
      </w:r>
      <w:r>
        <w:rPr>
          <w:spacing w:val="-15"/>
        </w:rPr>
        <w:t> </w:t>
      </w:r>
      <w:r>
        <w:rPr/>
        <w:t>0,3</w:t>
      </w:r>
      <w:r>
        <w:rPr>
          <w:spacing w:val="-17"/>
        </w:rPr>
        <w:t> </w:t>
      </w:r>
      <w:r>
        <w:rPr/>
        <w:t>punti</w:t>
      </w:r>
      <w:r>
        <w:rPr>
          <w:spacing w:val="-14"/>
        </w:rPr>
        <w:t> </w:t>
      </w:r>
      <w:r>
        <w:rPr/>
        <w:t>percentuali,</w:t>
      </w:r>
      <w:r>
        <w:rPr>
          <w:spacing w:val="-13"/>
        </w:rPr>
        <w:t> </w:t>
      </w:r>
      <w:r>
        <w:rPr/>
        <w:t>dal</w:t>
      </w:r>
      <w:r>
        <w:rPr>
          <w:spacing w:val="-13"/>
        </w:rPr>
        <w:t> </w:t>
      </w:r>
      <w:r>
        <w:rPr/>
        <w:t>-1,5</w:t>
      </w:r>
      <w:r>
        <w:rPr>
          <w:spacing w:val="-15"/>
        </w:rPr>
        <w:t> </w:t>
      </w:r>
      <w:r>
        <w:rPr/>
        <w:t>per</w:t>
      </w:r>
      <w:r>
        <w:rPr>
          <w:spacing w:val="-15"/>
        </w:rPr>
        <w:t> </w:t>
      </w:r>
      <w:r>
        <w:rPr/>
        <w:t>cento</w:t>
      </w:r>
      <w:r>
        <w:rPr>
          <w:spacing w:val="-14"/>
        </w:rPr>
        <w:t> </w:t>
      </w:r>
      <w:r>
        <w:rPr/>
        <w:t>del</w:t>
      </w:r>
      <w:r>
        <w:rPr>
          <w:spacing w:val="-14"/>
        </w:rPr>
        <w:t> </w:t>
      </w:r>
      <w:r>
        <w:rPr/>
        <w:t>PIL</w:t>
      </w:r>
      <w:r>
        <w:rPr>
          <w:spacing w:val="-15"/>
        </w:rPr>
        <w:t> </w:t>
      </w:r>
      <w:r>
        <w:rPr/>
        <w:t>nel</w:t>
      </w:r>
      <w:r>
        <w:rPr>
          <w:spacing w:val="-14"/>
        </w:rPr>
        <w:t> </w:t>
      </w:r>
      <w:r>
        <w:rPr/>
        <w:t>2018</w:t>
      </w:r>
      <w:r>
        <w:rPr>
          <w:spacing w:val="-15"/>
        </w:rPr>
        <w:t> </w:t>
      </w:r>
      <w:r>
        <w:rPr/>
        <w:t>al</w:t>
      </w:r>
      <w:r>
        <w:rPr>
          <w:spacing w:val="-13"/>
        </w:rPr>
        <w:t> </w:t>
      </w:r>
      <w:r>
        <w:rPr/>
        <w:t>-1,2 per cento. Il saldo strutturale secondo la legislazione vigente migliorerebbe quindi di 0,7 punti percentuali nel 2020 e 0,1 nel 2021, per poi rimanere invariato al -0,4 per cento nel</w:t>
      </w:r>
      <w:r>
        <w:rPr>
          <w:spacing w:val="-1"/>
        </w:rPr>
        <w:t> </w:t>
      </w:r>
      <w:r>
        <w:rPr/>
        <w:t>2022.</w:t>
      </w:r>
    </w:p>
    <w:p>
      <w:pPr>
        <w:pStyle w:val="BodyText"/>
        <w:spacing w:line="252" w:lineRule="auto"/>
        <w:ind w:left="1128" w:right="1413" w:firstLine="453"/>
        <w:jc w:val="both"/>
      </w:pPr>
      <w:r>
        <w:rPr/>
        <w:t>Si ricorda che la Commissione Europea, in seguito alle nuove proiezioni del Rapporto sulle spese legate all’invecchiamento (</w:t>
      </w:r>
      <w:r>
        <w:rPr>
          <w:i/>
        </w:rPr>
        <w:t>Ageing Report 2018</w:t>
      </w:r>
      <w:r>
        <w:rPr/>
        <w:t>) ha rivisto l’Obiettivo di Medio Termine (OMT) per l’Italia ad un surplus strutturale dello 0,5 per cento del PIL.</w:t>
      </w:r>
    </w:p>
    <w:p>
      <w:pPr>
        <w:pStyle w:val="BodyText"/>
        <w:spacing w:before="11"/>
      </w:pPr>
    </w:p>
    <w:p>
      <w:pPr>
        <w:pStyle w:val="BodyText"/>
        <w:spacing w:line="252" w:lineRule="auto"/>
        <w:ind w:left="1128" w:right="1412" w:firstLine="453"/>
        <w:jc w:val="both"/>
      </w:pPr>
      <w:r>
        <w:rPr/>
        <w:t>Venendo infine al debito della PA, il 23 settembre l’Istat ha rivisto al rialzo il livello del PIL nominale degli anni scorsi.</w:t>
      </w:r>
      <w:r>
        <w:rPr>
          <w:vertAlign w:val="superscript"/>
        </w:rPr>
        <w:t>5</w:t>
      </w:r>
      <w:r>
        <w:rPr>
          <w:vertAlign w:val="baseline"/>
        </w:rPr>
        <w:t> Di per sé, ciò avrebbe portato ad una revisione al ribasso del rapporto debito/PIL a fine 2018 al 131,5 per cento (dalla precedente</w:t>
      </w:r>
      <w:r>
        <w:rPr>
          <w:spacing w:val="-5"/>
          <w:vertAlign w:val="baseline"/>
        </w:rPr>
        <w:t> </w:t>
      </w:r>
      <w:r>
        <w:rPr>
          <w:vertAlign w:val="baseline"/>
        </w:rPr>
        <w:t>stima</w:t>
      </w:r>
      <w:r>
        <w:rPr>
          <w:spacing w:val="-6"/>
          <w:vertAlign w:val="baseline"/>
        </w:rPr>
        <w:t> </w:t>
      </w:r>
      <w:r>
        <w:rPr>
          <w:vertAlign w:val="baseline"/>
        </w:rPr>
        <w:t>del</w:t>
      </w:r>
      <w:r>
        <w:rPr>
          <w:spacing w:val="-5"/>
          <w:vertAlign w:val="baseline"/>
        </w:rPr>
        <w:t> </w:t>
      </w:r>
      <w:r>
        <w:rPr>
          <w:vertAlign w:val="baseline"/>
        </w:rPr>
        <w:t>132,2</w:t>
      </w:r>
      <w:r>
        <w:rPr>
          <w:spacing w:val="-5"/>
          <w:vertAlign w:val="baseline"/>
        </w:rPr>
        <w:t> </w:t>
      </w:r>
      <w:r>
        <w:rPr>
          <w:vertAlign w:val="baseline"/>
        </w:rPr>
        <w:t>per</w:t>
      </w:r>
      <w:r>
        <w:rPr>
          <w:spacing w:val="-7"/>
          <w:vertAlign w:val="baseline"/>
        </w:rPr>
        <w:t> </w:t>
      </w:r>
      <w:r>
        <w:rPr>
          <w:vertAlign w:val="baseline"/>
        </w:rPr>
        <w:t>cento).</w:t>
      </w:r>
      <w:r>
        <w:rPr>
          <w:spacing w:val="-3"/>
          <w:vertAlign w:val="baseline"/>
        </w:rPr>
        <w:t> </w:t>
      </w:r>
      <w:r>
        <w:rPr>
          <w:vertAlign w:val="baseline"/>
        </w:rPr>
        <w:t>Tuttavia,</w:t>
      </w:r>
      <w:r>
        <w:rPr>
          <w:spacing w:val="-4"/>
          <w:vertAlign w:val="baseline"/>
        </w:rPr>
        <w:t> </w:t>
      </w:r>
      <w:r>
        <w:rPr>
          <w:vertAlign w:val="baseline"/>
        </w:rPr>
        <w:t>nella</w:t>
      </w:r>
      <w:r>
        <w:rPr>
          <w:spacing w:val="-6"/>
          <w:vertAlign w:val="baseline"/>
        </w:rPr>
        <w:t> </w:t>
      </w:r>
      <w:r>
        <w:rPr>
          <w:vertAlign w:val="baseline"/>
        </w:rPr>
        <w:t>stessa</w:t>
      </w:r>
      <w:r>
        <w:rPr>
          <w:spacing w:val="-6"/>
          <w:vertAlign w:val="baseline"/>
        </w:rPr>
        <w:t> </w:t>
      </w:r>
      <w:r>
        <w:rPr>
          <w:vertAlign w:val="baseline"/>
        </w:rPr>
        <w:t>data</w:t>
      </w:r>
      <w:r>
        <w:rPr>
          <w:spacing w:val="-6"/>
          <w:vertAlign w:val="baseline"/>
        </w:rPr>
        <w:t> </w:t>
      </w:r>
      <w:r>
        <w:rPr>
          <w:vertAlign w:val="baseline"/>
        </w:rPr>
        <w:t>la</w:t>
      </w:r>
      <w:r>
        <w:rPr>
          <w:spacing w:val="-6"/>
          <w:vertAlign w:val="baseline"/>
        </w:rPr>
        <w:t> </w:t>
      </w:r>
      <w:r>
        <w:rPr>
          <w:vertAlign w:val="baseline"/>
        </w:rPr>
        <w:t>Banca</w:t>
      </w:r>
      <w:r>
        <w:rPr>
          <w:spacing w:val="-4"/>
          <w:vertAlign w:val="baseline"/>
        </w:rPr>
        <w:t> </w:t>
      </w:r>
      <w:r>
        <w:rPr>
          <w:vertAlign w:val="baseline"/>
        </w:rPr>
        <w:t>d’Italia ha rilasciato una nuova serie del debito pubblico allineata col nuovo Manuale sul deficit e debito pubblico dell’Eurostat.</w:t>
      </w:r>
      <w:r>
        <w:rPr>
          <w:vertAlign w:val="superscript"/>
        </w:rPr>
        <w:t>6</w:t>
      </w:r>
      <w:r>
        <w:rPr>
          <w:vertAlign w:val="baseline"/>
        </w:rPr>
        <w:t> I nuovi dati rivedono al rialzo il debito pubblico per effetto di una ridefinizione del perimetro della PA e delle modifiche apportate al criterio di valutazione degli interessi relativi ai Buoni postali fruttiferi (BPF),</w:t>
      </w:r>
      <w:r>
        <w:rPr>
          <w:spacing w:val="-8"/>
          <w:vertAlign w:val="baseline"/>
        </w:rPr>
        <w:t> </w:t>
      </w:r>
      <w:r>
        <w:rPr>
          <w:vertAlign w:val="baseline"/>
        </w:rPr>
        <w:t>trasferiti</w:t>
      </w:r>
      <w:r>
        <w:rPr>
          <w:spacing w:val="-10"/>
          <w:vertAlign w:val="baseline"/>
        </w:rPr>
        <w:t> </w:t>
      </w:r>
      <w:r>
        <w:rPr>
          <w:vertAlign w:val="baseline"/>
        </w:rPr>
        <w:t>al</w:t>
      </w:r>
      <w:r>
        <w:rPr>
          <w:spacing w:val="-9"/>
          <w:vertAlign w:val="baseline"/>
        </w:rPr>
        <w:t> </w:t>
      </w:r>
      <w:r>
        <w:rPr>
          <w:vertAlign w:val="baseline"/>
        </w:rPr>
        <w:t>MEF</w:t>
      </w:r>
      <w:r>
        <w:rPr>
          <w:spacing w:val="-10"/>
          <w:vertAlign w:val="baseline"/>
        </w:rPr>
        <w:t> </w:t>
      </w:r>
      <w:r>
        <w:rPr>
          <w:vertAlign w:val="baseline"/>
        </w:rPr>
        <w:t>a</w:t>
      </w:r>
      <w:r>
        <w:rPr>
          <w:spacing w:val="-12"/>
          <w:vertAlign w:val="baseline"/>
        </w:rPr>
        <w:t> </w:t>
      </w:r>
      <w:r>
        <w:rPr>
          <w:vertAlign w:val="baseline"/>
        </w:rPr>
        <w:t>seguito</w:t>
      </w:r>
      <w:r>
        <w:rPr>
          <w:spacing w:val="-10"/>
          <w:vertAlign w:val="baseline"/>
        </w:rPr>
        <w:t> </w:t>
      </w:r>
      <w:r>
        <w:rPr>
          <w:vertAlign w:val="baseline"/>
        </w:rPr>
        <w:t>della</w:t>
      </w:r>
      <w:r>
        <w:rPr>
          <w:spacing w:val="-10"/>
          <w:vertAlign w:val="baseline"/>
        </w:rPr>
        <w:t> </w:t>
      </w:r>
      <w:r>
        <w:rPr>
          <w:vertAlign w:val="baseline"/>
        </w:rPr>
        <w:t>trasformazione</w:t>
      </w:r>
      <w:r>
        <w:rPr>
          <w:spacing w:val="-10"/>
          <w:vertAlign w:val="baseline"/>
        </w:rPr>
        <w:t> </w:t>
      </w:r>
      <w:r>
        <w:rPr>
          <w:vertAlign w:val="baseline"/>
        </w:rPr>
        <w:t>della</w:t>
      </w:r>
      <w:r>
        <w:rPr>
          <w:spacing w:val="-10"/>
          <w:vertAlign w:val="baseline"/>
        </w:rPr>
        <w:t> </w:t>
      </w:r>
      <w:r>
        <w:rPr>
          <w:vertAlign w:val="baseline"/>
        </w:rPr>
        <w:t>Cassa</w:t>
      </w:r>
      <w:r>
        <w:rPr>
          <w:spacing w:val="-9"/>
          <w:vertAlign w:val="baseline"/>
        </w:rPr>
        <w:t> </w:t>
      </w:r>
      <w:r>
        <w:rPr>
          <w:vertAlign w:val="baseline"/>
        </w:rPr>
        <w:t>Depositi</w:t>
      </w:r>
      <w:r>
        <w:rPr>
          <w:spacing w:val="-8"/>
          <w:vertAlign w:val="baseline"/>
        </w:rPr>
        <w:t> </w:t>
      </w:r>
      <w:r>
        <w:rPr>
          <w:vertAlign w:val="baseline"/>
        </w:rPr>
        <w:t>e</w:t>
      </w:r>
      <w:r>
        <w:rPr>
          <w:spacing w:val="-9"/>
          <w:vertAlign w:val="baseline"/>
        </w:rPr>
        <w:t> </w:t>
      </w:r>
      <w:r>
        <w:rPr>
          <w:vertAlign w:val="baseline"/>
        </w:rPr>
        <w:t>Prestiti in società per azioni avvenuta nel 2003.</w:t>
      </w:r>
      <w:r>
        <w:rPr>
          <w:vertAlign w:val="superscript"/>
        </w:rPr>
        <w:t>7</w:t>
      </w:r>
      <w:r>
        <w:rPr>
          <w:vertAlign w:val="baseline"/>
        </w:rPr>
        <w:t> L’ultima serie di questi strumenti scadrà nel 2033, ma va ricordato che i risparmiatori che li detengono hanno la possibilità di</w:t>
      </w:r>
      <w:r>
        <w:rPr>
          <w:spacing w:val="-8"/>
          <w:vertAlign w:val="baseline"/>
        </w:rPr>
        <w:t> </w:t>
      </w:r>
      <w:r>
        <w:rPr>
          <w:vertAlign w:val="baseline"/>
        </w:rPr>
        <w:t>ritirarli</w:t>
      </w:r>
      <w:r>
        <w:rPr>
          <w:spacing w:val="-7"/>
          <w:vertAlign w:val="baseline"/>
        </w:rPr>
        <w:t> </w:t>
      </w:r>
      <w:r>
        <w:rPr>
          <w:vertAlign w:val="baseline"/>
        </w:rPr>
        <w:t>per</w:t>
      </w:r>
      <w:r>
        <w:rPr>
          <w:spacing w:val="-9"/>
          <w:vertAlign w:val="baseline"/>
        </w:rPr>
        <w:t> </w:t>
      </w:r>
      <w:r>
        <w:rPr>
          <w:vertAlign w:val="baseline"/>
        </w:rPr>
        <w:t>dieci</w:t>
      </w:r>
      <w:r>
        <w:rPr>
          <w:spacing w:val="-7"/>
          <w:vertAlign w:val="baseline"/>
        </w:rPr>
        <w:t> </w:t>
      </w:r>
      <w:r>
        <w:rPr>
          <w:vertAlign w:val="baseline"/>
        </w:rPr>
        <w:t>anni</w:t>
      </w:r>
      <w:r>
        <w:rPr>
          <w:spacing w:val="-9"/>
          <w:vertAlign w:val="baseline"/>
        </w:rPr>
        <w:t> </w:t>
      </w:r>
      <w:r>
        <w:rPr>
          <w:vertAlign w:val="baseline"/>
        </w:rPr>
        <w:t>successivamente</w:t>
      </w:r>
      <w:r>
        <w:rPr>
          <w:spacing w:val="-6"/>
          <w:vertAlign w:val="baseline"/>
        </w:rPr>
        <w:t> </w:t>
      </w:r>
      <w:r>
        <w:rPr>
          <w:vertAlign w:val="baseline"/>
        </w:rPr>
        <w:t>alla</w:t>
      </w:r>
      <w:r>
        <w:rPr>
          <w:spacing w:val="-7"/>
          <w:vertAlign w:val="baseline"/>
        </w:rPr>
        <w:t> </w:t>
      </w:r>
      <w:r>
        <w:rPr>
          <w:vertAlign w:val="baseline"/>
        </w:rPr>
        <w:t>scadenza</w:t>
      </w:r>
      <w:r>
        <w:rPr>
          <w:spacing w:val="-8"/>
          <w:vertAlign w:val="baseline"/>
        </w:rPr>
        <w:t> </w:t>
      </w:r>
      <w:r>
        <w:rPr>
          <w:vertAlign w:val="baseline"/>
        </w:rPr>
        <w:t>(anche</w:t>
      </w:r>
      <w:r>
        <w:rPr>
          <w:spacing w:val="-10"/>
          <w:vertAlign w:val="baseline"/>
        </w:rPr>
        <w:t> </w:t>
      </w:r>
      <w:r>
        <w:rPr>
          <w:vertAlign w:val="baseline"/>
        </w:rPr>
        <w:t>se</w:t>
      </w:r>
      <w:r>
        <w:rPr>
          <w:spacing w:val="-7"/>
          <w:vertAlign w:val="baseline"/>
        </w:rPr>
        <w:t> </w:t>
      </w:r>
      <w:r>
        <w:rPr>
          <w:vertAlign w:val="baseline"/>
        </w:rPr>
        <w:t>in</w:t>
      </w:r>
      <w:r>
        <w:rPr>
          <w:spacing w:val="-7"/>
          <w:vertAlign w:val="baseline"/>
        </w:rPr>
        <w:t> </w:t>
      </w:r>
      <w:r>
        <w:rPr>
          <w:vertAlign w:val="baseline"/>
        </w:rPr>
        <w:t>questo</w:t>
      </w:r>
      <w:r>
        <w:rPr>
          <w:spacing w:val="-8"/>
          <w:vertAlign w:val="baseline"/>
        </w:rPr>
        <w:t> </w:t>
      </w:r>
      <w:r>
        <w:rPr>
          <w:vertAlign w:val="baseline"/>
        </w:rPr>
        <w:t>periodo aggiuntivo non maturano interessi). Pertanto tutte le previsioni del debito contenute</w:t>
      </w:r>
      <w:r>
        <w:rPr>
          <w:spacing w:val="-11"/>
          <w:vertAlign w:val="baseline"/>
        </w:rPr>
        <w:t> </w:t>
      </w:r>
      <w:r>
        <w:rPr>
          <w:vertAlign w:val="baseline"/>
        </w:rPr>
        <w:t>in</w:t>
      </w:r>
      <w:r>
        <w:rPr>
          <w:spacing w:val="-11"/>
          <w:vertAlign w:val="baseline"/>
        </w:rPr>
        <w:t> </w:t>
      </w:r>
      <w:r>
        <w:rPr>
          <w:vertAlign w:val="baseline"/>
        </w:rPr>
        <w:t>questo</w:t>
      </w:r>
      <w:r>
        <w:rPr>
          <w:spacing w:val="-11"/>
          <w:vertAlign w:val="baseline"/>
        </w:rPr>
        <w:t> </w:t>
      </w:r>
      <w:r>
        <w:rPr>
          <w:vertAlign w:val="baseline"/>
        </w:rPr>
        <w:t>documento</w:t>
      </w:r>
      <w:r>
        <w:rPr>
          <w:spacing w:val="-11"/>
          <w:vertAlign w:val="baseline"/>
        </w:rPr>
        <w:t> </w:t>
      </w:r>
      <w:r>
        <w:rPr>
          <w:vertAlign w:val="baseline"/>
        </w:rPr>
        <w:t>tengono</w:t>
      </w:r>
      <w:r>
        <w:rPr>
          <w:spacing w:val="-11"/>
          <w:vertAlign w:val="baseline"/>
        </w:rPr>
        <w:t> </w:t>
      </w:r>
      <w:r>
        <w:rPr>
          <w:vertAlign w:val="baseline"/>
        </w:rPr>
        <w:t>conto</w:t>
      </w:r>
      <w:r>
        <w:rPr>
          <w:spacing w:val="-11"/>
          <w:vertAlign w:val="baseline"/>
        </w:rPr>
        <w:t> </w:t>
      </w:r>
      <w:r>
        <w:rPr>
          <w:vertAlign w:val="baseline"/>
        </w:rPr>
        <w:t>dell’andamento</w:t>
      </w:r>
      <w:r>
        <w:rPr>
          <w:spacing w:val="-12"/>
          <w:vertAlign w:val="baseline"/>
        </w:rPr>
        <w:t> </w:t>
      </w:r>
      <w:r>
        <w:rPr>
          <w:vertAlign w:val="baseline"/>
        </w:rPr>
        <w:t>stimato</w:t>
      </w:r>
      <w:r>
        <w:rPr>
          <w:spacing w:val="-11"/>
          <w:vertAlign w:val="baseline"/>
        </w:rPr>
        <w:t> </w:t>
      </w:r>
      <w:r>
        <w:rPr>
          <w:vertAlign w:val="baseline"/>
        </w:rPr>
        <w:t>futuro</w:t>
      </w:r>
      <w:r>
        <w:rPr>
          <w:spacing w:val="-11"/>
          <w:vertAlign w:val="baseline"/>
        </w:rPr>
        <w:t> </w:t>
      </w:r>
      <w:r>
        <w:rPr>
          <w:vertAlign w:val="baseline"/>
        </w:rPr>
        <w:t>della componente interessi maturati, in piena coerenza con il nuovo trattamento statistico previsto da Eurostat. Va tuttavia sottolineato che tale riclassificazione non impatterà sull’indebitamento netto della PA in quanto gli interessi maturati sono sempre stati inclusi nel conto della</w:t>
      </w:r>
      <w:r>
        <w:rPr>
          <w:spacing w:val="-6"/>
          <w:vertAlign w:val="baseline"/>
        </w:rPr>
        <w:t> </w:t>
      </w:r>
      <w:r>
        <w:rPr>
          <w:vertAlign w:val="baseline"/>
        </w:rPr>
        <w:t>PA.</w:t>
      </w:r>
    </w:p>
    <w:p>
      <w:pPr>
        <w:pStyle w:val="BodyText"/>
        <w:spacing w:line="252" w:lineRule="auto" w:before="2"/>
        <w:ind w:left="1128" w:right="1412" w:firstLine="520"/>
        <w:jc w:val="both"/>
      </w:pPr>
      <w:r>
        <w:rPr/>
        <w:t>Alla luce dell’inclusione degli interessi maturati sui BPF trasferiti al MEF e dei nuovi</w:t>
      </w:r>
      <w:r>
        <w:rPr>
          <w:spacing w:val="-5"/>
        </w:rPr>
        <w:t> </w:t>
      </w:r>
      <w:r>
        <w:rPr/>
        <w:t>dati</w:t>
      </w:r>
      <w:r>
        <w:rPr>
          <w:spacing w:val="-5"/>
        </w:rPr>
        <w:t> </w:t>
      </w:r>
      <w:r>
        <w:rPr/>
        <w:t>di</w:t>
      </w:r>
      <w:r>
        <w:rPr>
          <w:spacing w:val="-4"/>
        </w:rPr>
        <w:t> </w:t>
      </w:r>
      <w:r>
        <w:rPr/>
        <w:t>contabilità</w:t>
      </w:r>
      <w:r>
        <w:rPr>
          <w:spacing w:val="-3"/>
        </w:rPr>
        <w:t> </w:t>
      </w:r>
      <w:r>
        <w:rPr/>
        <w:t>nazionale,</w:t>
      </w:r>
      <w:r>
        <w:rPr>
          <w:spacing w:val="-2"/>
        </w:rPr>
        <w:t> </w:t>
      </w:r>
      <w:r>
        <w:rPr/>
        <w:t>il</w:t>
      </w:r>
      <w:r>
        <w:rPr>
          <w:spacing w:val="-5"/>
        </w:rPr>
        <w:t> </w:t>
      </w:r>
      <w:r>
        <w:rPr/>
        <w:t>rapporto</w:t>
      </w:r>
      <w:r>
        <w:rPr>
          <w:spacing w:val="-5"/>
        </w:rPr>
        <w:t> </w:t>
      </w:r>
      <w:r>
        <w:rPr/>
        <w:t>fra</w:t>
      </w:r>
      <w:r>
        <w:rPr>
          <w:spacing w:val="-4"/>
        </w:rPr>
        <w:t> </w:t>
      </w:r>
      <w:r>
        <w:rPr/>
        <w:t>debito</w:t>
      </w:r>
      <w:r>
        <w:rPr>
          <w:spacing w:val="-5"/>
        </w:rPr>
        <w:t> </w:t>
      </w:r>
      <w:r>
        <w:rPr/>
        <w:t>lordo</w:t>
      </w:r>
      <w:r>
        <w:rPr>
          <w:spacing w:val="-4"/>
        </w:rPr>
        <w:t> </w:t>
      </w:r>
      <w:r>
        <w:rPr/>
        <w:t>della</w:t>
      </w:r>
      <w:r>
        <w:rPr>
          <w:spacing w:val="-5"/>
        </w:rPr>
        <w:t> </w:t>
      </w:r>
      <w:r>
        <w:rPr/>
        <w:t>PA</w:t>
      </w:r>
      <w:r>
        <w:rPr>
          <w:spacing w:val="-4"/>
        </w:rPr>
        <w:t> </w:t>
      </w:r>
      <w:r>
        <w:rPr/>
        <w:t>e</w:t>
      </w:r>
      <w:r>
        <w:rPr>
          <w:spacing w:val="-2"/>
        </w:rPr>
        <w:t> </w:t>
      </w:r>
      <w:r>
        <w:rPr/>
        <w:t>PIL</w:t>
      </w:r>
      <w:r>
        <w:rPr>
          <w:spacing w:val="-2"/>
        </w:rPr>
        <w:t> </w:t>
      </w:r>
      <w:r>
        <w:rPr/>
        <w:t>a</w:t>
      </w:r>
      <w:r>
        <w:rPr>
          <w:spacing w:val="-5"/>
        </w:rPr>
        <w:t> </w:t>
      </w:r>
      <w:r>
        <w:rPr/>
        <w:t>fine 2018 risultava pari al 134,8 per cento del PIL.</w:t>
      </w:r>
      <w:r>
        <w:rPr>
          <w:vertAlign w:val="superscript"/>
        </w:rPr>
        <w:t>8</w:t>
      </w:r>
      <w:r>
        <w:rPr>
          <w:vertAlign w:val="baseline"/>
        </w:rPr>
        <w:t> In assenza di proventi da privatizzazioni e altri proventi finanziari (che il precedente governo aveva ipotizzato pari all’uno per cento del PIL) a fine 2019 il rapporto salirebbe al</w:t>
      </w:r>
      <w:r>
        <w:rPr>
          <w:spacing w:val="4"/>
          <w:vertAlign w:val="baseline"/>
        </w:rPr>
        <w:t> </w:t>
      </w:r>
      <w:r>
        <w:rPr>
          <w:vertAlign w:val="baseline"/>
        </w:rPr>
        <w:t>135,7</w:t>
      </w:r>
    </w:p>
    <w:p>
      <w:pPr>
        <w:pStyle w:val="BodyText"/>
        <w:rPr>
          <w:sz w:val="20"/>
        </w:rPr>
      </w:pPr>
    </w:p>
    <w:p>
      <w:pPr>
        <w:pStyle w:val="BodyText"/>
        <w:rPr>
          <w:sz w:val="20"/>
        </w:rPr>
      </w:pPr>
    </w:p>
    <w:p>
      <w:pPr>
        <w:pStyle w:val="BodyText"/>
        <w:spacing w:before="2"/>
        <w:rPr>
          <w:sz w:val="13"/>
        </w:rPr>
      </w:pPr>
      <w:r>
        <w:rPr/>
        <w:pict>
          <v:group style="position:absolute;margin-left:136.100006pt;margin-top:9.641211pt;width:21.4pt;height:2.1pt;mso-position-horizontal-relative:page;mso-position-vertical-relative:paragraph;z-index:-251634688;mso-wrap-distance-left:0;mso-wrap-distance-right:0" coordorigin="2722,193" coordsize="428,42">
            <v:line style="position:absolute" from="2722,213" to="3149,213" stroked="true" strokeweight="2pt" strokecolor="#aaaaaa">
              <v:stroke dashstyle="solid"/>
            </v:line>
            <v:rect style="position:absolute;left:2722;top:193;width:5;height:5" filled="true" fillcolor="#9f9f9f" stroked="false">
              <v:fill type="solid"/>
            </v:rect>
            <v:rect style="position:absolute;left:2722;top:193;width:5;height:5" filled="true" fillcolor="#9f9f9f" stroked="false">
              <v:fill type="solid"/>
            </v:rect>
            <v:line style="position:absolute" from="2727,196" to="3144,196" stroked="true" strokeweight=".24005pt" strokecolor="#9f9f9f">
              <v:stroke dashstyle="solid"/>
            </v:line>
            <v:rect style="position:absolute;left:3144;top:193;width:5;height:5" filled="true" fillcolor="#e2e2e2" stroked="false">
              <v:fill type="solid"/>
            </v:rect>
            <v:rect style="position:absolute;left:3144;top:193;width:5;height:5" filled="true" fillcolor="#9f9f9f" stroked="false">
              <v:fill type="solid"/>
            </v:rect>
            <v:rect style="position:absolute;left:2722;top:198;width:5;height:32" filled="true" fillcolor="#9f9f9f" stroked="false">
              <v:fill type="solid"/>
            </v:rect>
            <v:rect style="position:absolute;left:3144;top:198;width:5;height:32" filled="true" fillcolor="#e2e2e2" stroked="false">
              <v:fill type="solid"/>
            </v:rect>
            <v:rect style="position:absolute;left:2722;top:229;width:5;height:5" filled="true" fillcolor="#9f9f9f" stroked="false">
              <v:fill type="solid"/>
            </v:rect>
            <v:rect style="position:absolute;left:2722;top:229;width:5;height:5" filled="true" fillcolor="#e2e2e2" stroked="false">
              <v:fill type="solid"/>
            </v:rect>
            <v:line style="position:absolute" from="2727,232" to="3144,232" stroked="true" strokeweight=".23999pt" strokecolor="#e2e2e2">
              <v:stroke dashstyle="solid"/>
            </v:line>
            <v:rect style="position:absolute;left:3144;top:229;width:5;height:5" filled="true" fillcolor="#e2e2e2" stroked="false">
              <v:fill type="solid"/>
            </v:rect>
            <v:rect style="position:absolute;left:3144;top:229;width:5;height:5" filled="true" fillcolor="#e2e2e2" stroked="false">
              <v:fill type="solid"/>
            </v:rect>
            <w10:wrap type="topAndBottom"/>
          </v:group>
        </w:pict>
      </w:r>
    </w:p>
    <w:p>
      <w:pPr>
        <w:spacing w:before="18"/>
        <w:ind w:left="1128" w:right="1414" w:firstLine="453"/>
        <w:jc w:val="both"/>
        <w:rPr>
          <w:sz w:val="16"/>
        </w:rPr>
      </w:pPr>
      <w:r>
        <w:rPr>
          <w:position w:val="6"/>
          <w:sz w:val="10"/>
        </w:rPr>
        <w:t>4 </w:t>
      </w:r>
      <w:r>
        <w:rPr>
          <w:sz w:val="16"/>
        </w:rPr>
        <w:t>Si ricorda che, come è prassi consolidata, le proiezioni dei pagamenti per interessi sul debito della PA si basano</w:t>
      </w:r>
      <w:r>
        <w:rPr>
          <w:spacing w:val="-10"/>
          <w:sz w:val="16"/>
        </w:rPr>
        <w:t> </w:t>
      </w:r>
      <w:r>
        <w:rPr>
          <w:sz w:val="16"/>
        </w:rPr>
        <w:t>sui</w:t>
      </w:r>
      <w:r>
        <w:rPr>
          <w:spacing w:val="-10"/>
          <w:sz w:val="16"/>
        </w:rPr>
        <w:t> </w:t>
      </w:r>
      <w:r>
        <w:rPr>
          <w:sz w:val="16"/>
        </w:rPr>
        <w:t>livelli</w:t>
      </w:r>
      <w:r>
        <w:rPr>
          <w:spacing w:val="-9"/>
          <w:sz w:val="16"/>
        </w:rPr>
        <w:t> </w:t>
      </w:r>
      <w:r>
        <w:rPr>
          <w:sz w:val="16"/>
        </w:rPr>
        <w:t>medi</w:t>
      </w:r>
      <w:r>
        <w:rPr>
          <w:spacing w:val="-10"/>
          <w:sz w:val="16"/>
        </w:rPr>
        <w:t> </w:t>
      </w:r>
      <w:r>
        <w:rPr>
          <w:sz w:val="16"/>
        </w:rPr>
        <w:t>della</w:t>
      </w:r>
      <w:r>
        <w:rPr>
          <w:spacing w:val="-10"/>
          <w:sz w:val="16"/>
        </w:rPr>
        <w:t> </w:t>
      </w:r>
      <w:r>
        <w:rPr>
          <w:sz w:val="16"/>
        </w:rPr>
        <w:t>curva</w:t>
      </w:r>
      <w:r>
        <w:rPr>
          <w:spacing w:val="-9"/>
          <w:sz w:val="16"/>
        </w:rPr>
        <w:t> </w:t>
      </w:r>
      <w:r>
        <w:rPr>
          <w:sz w:val="16"/>
        </w:rPr>
        <w:t>dei</w:t>
      </w:r>
      <w:r>
        <w:rPr>
          <w:spacing w:val="-10"/>
          <w:sz w:val="16"/>
        </w:rPr>
        <w:t> </w:t>
      </w:r>
      <w:r>
        <w:rPr>
          <w:sz w:val="16"/>
        </w:rPr>
        <w:t>rendimenti</w:t>
      </w:r>
      <w:r>
        <w:rPr>
          <w:spacing w:val="-10"/>
          <w:sz w:val="16"/>
        </w:rPr>
        <w:t> </w:t>
      </w:r>
      <w:r>
        <w:rPr>
          <w:sz w:val="16"/>
        </w:rPr>
        <w:t>registrati</w:t>
      </w:r>
      <w:r>
        <w:rPr>
          <w:spacing w:val="-9"/>
          <w:sz w:val="16"/>
        </w:rPr>
        <w:t> </w:t>
      </w:r>
      <w:r>
        <w:rPr>
          <w:sz w:val="16"/>
        </w:rPr>
        <w:t>nelle</w:t>
      </w:r>
      <w:r>
        <w:rPr>
          <w:spacing w:val="-9"/>
          <w:sz w:val="16"/>
        </w:rPr>
        <w:t> </w:t>
      </w:r>
      <w:r>
        <w:rPr>
          <w:sz w:val="16"/>
        </w:rPr>
        <w:t>settimane</w:t>
      </w:r>
      <w:r>
        <w:rPr>
          <w:spacing w:val="-9"/>
          <w:sz w:val="16"/>
        </w:rPr>
        <w:t> </w:t>
      </w:r>
      <w:r>
        <w:rPr>
          <w:sz w:val="16"/>
        </w:rPr>
        <w:t>precedenti</w:t>
      </w:r>
      <w:r>
        <w:rPr>
          <w:spacing w:val="-9"/>
          <w:sz w:val="16"/>
        </w:rPr>
        <w:t> </w:t>
      </w:r>
      <w:r>
        <w:rPr>
          <w:sz w:val="16"/>
        </w:rPr>
        <w:t>la</w:t>
      </w:r>
      <w:r>
        <w:rPr>
          <w:spacing w:val="-10"/>
          <w:sz w:val="16"/>
        </w:rPr>
        <w:t> </w:t>
      </w:r>
      <w:r>
        <w:rPr>
          <w:sz w:val="16"/>
        </w:rPr>
        <w:t>chiusura</w:t>
      </w:r>
      <w:r>
        <w:rPr>
          <w:spacing w:val="-9"/>
          <w:sz w:val="16"/>
        </w:rPr>
        <w:t> </w:t>
      </w:r>
      <w:r>
        <w:rPr>
          <w:sz w:val="16"/>
        </w:rPr>
        <w:t>della</w:t>
      </w:r>
      <w:r>
        <w:rPr>
          <w:spacing w:val="-10"/>
          <w:sz w:val="16"/>
        </w:rPr>
        <w:t> </w:t>
      </w:r>
      <w:r>
        <w:rPr>
          <w:sz w:val="16"/>
        </w:rPr>
        <w:t>previsione. Da tali livelli medi si calcolano i rendimenti impliciti per i rimanenti mesi del 2019 e per il triennio 2020-2022. Da inizio giugno i rendimenti di mercato hanno subìto una forte discesa e ciò impatta favorevolmente non solo sulla previsione economica, ma anche sulle proiezioni dei pagamenti per</w:t>
      </w:r>
      <w:r>
        <w:rPr>
          <w:spacing w:val="-13"/>
          <w:sz w:val="16"/>
        </w:rPr>
        <w:t> </w:t>
      </w:r>
      <w:r>
        <w:rPr>
          <w:sz w:val="16"/>
        </w:rPr>
        <w:t>interessi.</w:t>
      </w:r>
    </w:p>
    <w:p>
      <w:pPr>
        <w:spacing w:line="185" w:lineRule="exact" w:before="0"/>
        <w:ind w:left="1582" w:right="0" w:firstLine="0"/>
        <w:jc w:val="both"/>
        <w:rPr>
          <w:sz w:val="16"/>
        </w:rPr>
      </w:pPr>
      <w:r>
        <w:rPr>
          <w:position w:val="6"/>
          <w:sz w:val="10"/>
        </w:rPr>
        <w:t>5 </w:t>
      </w:r>
      <w:r>
        <w:rPr>
          <w:sz w:val="16"/>
        </w:rPr>
        <w:t>In particolare, il PIL nominale del 2018 è stato rivisto al rialzo per 8,44 miliardi.</w:t>
      </w:r>
    </w:p>
    <w:p>
      <w:pPr>
        <w:spacing w:before="0"/>
        <w:ind w:left="1128" w:right="1412" w:firstLine="453"/>
        <w:jc w:val="both"/>
        <w:rPr>
          <w:sz w:val="16"/>
        </w:rPr>
      </w:pPr>
      <w:r>
        <w:rPr>
          <w:position w:val="6"/>
          <w:sz w:val="10"/>
        </w:rPr>
        <w:t>6 </w:t>
      </w:r>
      <w:r>
        <w:rPr>
          <w:sz w:val="16"/>
        </w:rPr>
        <w:t>Cfr. Eurostat, Manual on Government Deficit and Debt — Implementation of ESA 2010 — 2019 edition, 2 Agosto 2019: </w:t>
      </w:r>
      <w:hyperlink r:id="rId42">
        <w:r>
          <w:rPr>
            <w:color w:val="006247"/>
            <w:sz w:val="16"/>
            <w:u w:val="single" w:color="006247"/>
          </w:rPr>
          <w:t>https://ec.europa.eu/eurostat/web/products-manuals-and-guidelines/-/KS-GQ-19-007</w:t>
        </w:r>
      </w:hyperlink>
      <w:r>
        <w:rPr>
          <w:sz w:val="16"/>
        </w:rPr>
        <w:t>.</w:t>
      </w:r>
    </w:p>
    <w:p>
      <w:pPr>
        <w:spacing w:line="240" w:lineRule="auto" w:before="0"/>
        <w:ind w:left="1128" w:right="1411" w:firstLine="453"/>
        <w:jc w:val="both"/>
        <w:rPr>
          <w:sz w:val="16"/>
        </w:rPr>
      </w:pPr>
      <w:r>
        <w:rPr>
          <w:position w:val="6"/>
          <w:sz w:val="10"/>
        </w:rPr>
        <w:t>7 </w:t>
      </w:r>
      <w:r>
        <w:rPr>
          <w:sz w:val="16"/>
        </w:rPr>
        <w:t>Le nuove stime del debito diffuse dalla Banca d’Italia il 23 settembre includono anche la revisione dei dati relativi</w:t>
      </w:r>
      <w:r>
        <w:rPr>
          <w:spacing w:val="-4"/>
          <w:sz w:val="16"/>
        </w:rPr>
        <w:t> </w:t>
      </w:r>
      <w:r>
        <w:rPr>
          <w:sz w:val="16"/>
        </w:rPr>
        <w:t>ad</w:t>
      </w:r>
      <w:r>
        <w:rPr>
          <w:spacing w:val="-4"/>
          <w:sz w:val="16"/>
        </w:rPr>
        <w:t> </w:t>
      </w:r>
      <w:r>
        <w:rPr>
          <w:sz w:val="16"/>
        </w:rPr>
        <w:t>alcune</w:t>
      </w:r>
      <w:r>
        <w:rPr>
          <w:spacing w:val="-5"/>
          <w:sz w:val="16"/>
        </w:rPr>
        <w:t> </w:t>
      </w:r>
      <w:r>
        <w:rPr>
          <w:sz w:val="16"/>
        </w:rPr>
        <w:t>unità,</w:t>
      </w:r>
      <w:r>
        <w:rPr>
          <w:spacing w:val="-3"/>
          <w:sz w:val="16"/>
        </w:rPr>
        <w:t> </w:t>
      </w:r>
      <w:r>
        <w:rPr>
          <w:sz w:val="16"/>
        </w:rPr>
        <w:t>che</w:t>
      </w:r>
      <w:r>
        <w:rPr>
          <w:spacing w:val="-5"/>
          <w:sz w:val="16"/>
        </w:rPr>
        <w:t> </w:t>
      </w:r>
      <w:r>
        <w:rPr>
          <w:sz w:val="16"/>
        </w:rPr>
        <w:t>già</w:t>
      </w:r>
      <w:r>
        <w:rPr>
          <w:spacing w:val="-4"/>
          <w:sz w:val="16"/>
        </w:rPr>
        <w:t> </w:t>
      </w:r>
      <w:r>
        <w:rPr>
          <w:sz w:val="16"/>
        </w:rPr>
        <w:t>lo</w:t>
      </w:r>
      <w:r>
        <w:rPr>
          <w:spacing w:val="-3"/>
          <w:sz w:val="16"/>
        </w:rPr>
        <w:t> </w:t>
      </w:r>
      <w:r>
        <w:rPr>
          <w:sz w:val="16"/>
        </w:rPr>
        <w:t>scorso</w:t>
      </w:r>
      <w:r>
        <w:rPr>
          <w:spacing w:val="-5"/>
          <w:sz w:val="16"/>
        </w:rPr>
        <w:t> </w:t>
      </w:r>
      <w:r>
        <w:rPr>
          <w:sz w:val="16"/>
        </w:rPr>
        <w:t>aprile</w:t>
      </w:r>
      <w:r>
        <w:rPr>
          <w:spacing w:val="-5"/>
          <w:sz w:val="16"/>
        </w:rPr>
        <w:t> </w:t>
      </w:r>
      <w:r>
        <w:rPr>
          <w:sz w:val="16"/>
        </w:rPr>
        <w:t>erano</w:t>
      </w:r>
      <w:r>
        <w:rPr>
          <w:spacing w:val="-3"/>
          <w:sz w:val="16"/>
        </w:rPr>
        <w:t> </w:t>
      </w:r>
      <w:r>
        <w:rPr>
          <w:sz w:val="16"/>
        </w:rPr>
        <w:t>state</w:t>
      </w:r>
      <w:r>
        <w:rPr>
          <w:spacing w:val="-2"/>
          <w:sz w:val="16"/>
        </w:rPr>
        <w:t> </w:t>
      </w:r>
      <w:r>
        <w:rPr>
          <w:sz w:val="16"/>
        </w:rPr>
        <w:t>incluse</w:t>
      </w:r>
      <w:r>
        <w:rPr>
          <w:spacing w:val="-5"/>
          <w:sz w:val="16"/>
        </w:rPr>
        <w:t> </w:t>
      </w:r>
      <w:r>
        <w:rPr>
          <w:sz w:val="16"/>
        </w:rPr>
        <w:t>nel</w:t>
      </w:r>
      <w:r>
        <w:rPr>
          <w:spacing w:val="-3"/>
          <w:sz w:val="16"/>
        </w:rPr>
        <w:t> </w:t>
      </w:r>
      <w:r>
        <w:rPr>
          <w:sz w:val="16"/>
        </w:rPr>
        <w:t>perimetro</w:t>
      </w:r>
      <w:r>
        <w:rPr>
          <w:spacing w:val="-5"/>
          <w:sz w:val="16"/>
        </w:rPr>
        <w:t> </w:t>
      </w:r>
      <w:r>
        <w:rPr>
          <w:sz w:val="16"/>
        </w:rPr>
        <w:t>delle</w:t>
      </w:r>
      <w:r>
        <w:rPr>
          <w:spacing w:val="-5"/>
          <w:sz w:val="16"/>
        </w:rPr>
        <w:t> </w:t>
      </w:r>
      <w:r>
        <w:rPr>
          <w:sz w:val="16"/>
        </w:rPr>
        <w:t>Amministrazioni</w:t>
      </w:r>
      <w:r>
        <w:rPr>
          <w:spacing w:val="-4"/>
          <w:sz w:val="16"/>
        </w:rPr>
        <w:t> </w:t>
      </w:r>
      <w:r>
        <w:rPr>
          <w:sz w:val="16"/>
        </w:rPr>
        <w:t>pubbliche a partire dal 2017, in particolare Rete ferroviaria Italiana SpA. Per maggiori dettagli si veda il Paragrafo III.3 ‘Evoluzione del rapporto debito/PIL’ di questo</w:t>
      </w:r>
      <w:r>
        <w:rPr>
          <w:spacing w:val="-1"/>
          <w:sz w:val="16"/>
        </w:rPr>
        <w:t> </w:t>
      </w:r>
      <w:r>
        <w:rPr>
          <w:sz w:val="16"/>
        </w:rPr>
        <w:t>Documento.</w:t>
      </w:r>
    </w:p>
    <w:p>
      <w:pPr>
        <w:spacing w:line="240" w:lineRule="auto" w:before="0"/>
        <w:ind w:left="1128" w:right="1413" w:firstLine="453"/>
        <w:jc w:val="both"/>
        <w:rPr>
          <w:sz w:val="16"/>
        </w:rPr>
      </w:pPr>
      <w:r>
        <w:rPr>
          <w:position w:val="6"/>
          <w:sz w:val="10"/>
        </w:rPr>
        <w:t>8 </w:t>
      </w:r>
      <w:r>
        <w:rPr>
          <w:sz w:val="16"/>
        </w:rPr>
        <w:t>In base allo stock del debito pubblicato dalla Banca d’Italia il 9 aprile scorso e ai precedenti dati di contabilità nazionale, in cui il PIL nominale era inferiore di 8,44 miliardi nel 2018, il rapporto debito/PIL a fine 2018 risultava pari al 132,2 per cento.</w:t>
      </w:r>
    </w:p>
    <w:p>
      <w:pPr>
        <w:spacing w:after="0" w:line="240" w:lineRule="auto"/>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278" w:right="2261"/>
        <w:jc w:val="both"/>
      </w:pPr>
      <w:r>
        <w:rPr/>
        <w:t>per cento. La ripresa della crescita nominale e il miglioramento del saldo primario previsti per il prossimo triennio, unitamente ai bassi rendimenti attesi sui titoli del debito, porterebbero invece ad una discesa del rapporto debito/PIL a legislazione vigente,</w:t>
      </w:r>
      <w:r>
        <w:rPr>
          <w:spacing w:val="-4"/>
        </w:rPr>
        <w:t> </w:t>
      </w:r>
      <w:r>
        <w:rPr/>
        <w:t>tale</w:t>
      </w:r>
      <w:r>
        <w:rPr>
          <w:spacing w:val="-5"/>
        </w:rPr>
        <w:t> </w:t>
      </w:r>
      <w:r>
        <w:rPr/>
        <w:t>da</w:t>
      </w:r>
      <w:r>
        <w:rPr>
          <w:spacing w:val="-5"/>
        </w:rPr>
        <w:t> </w:t>
      </w:r>
      <w:r>
        <w:rPr/>
        <w:t>raggiungere</w:t>
      </w:r>
      <w:r>
        <w:rPr>
          <w:spacing w:val="-4"/>
        </w:rPr>
        <w:t> </w:t>
      </w:r>
      <w:r>
        <w:rPr/>
        <w:t>il</w:t>
      </w:r>
      <w:r>
        <w:rPr>
          <w:spacing w:val="-5"/>
        </w:rPr>
        <w:t> </w:t>
      </w:r>
      <w:r>
        <w:rPr/>
        <w:t>130,4</w:t>
      </w:r>
      <w:r>
        <w:rPr>
          <w:spacing w:val="-4"/>
        </w:rPr>
        <w:t> </w:t>
      </w:r>
      <w:r>
        <w:rPr/>
        <w:t>per</w:t>
      </w:r>
      <w:r>
        <w:rPr>
          <w:spacing w:val="-3"/>
        </w:rPr>
        <w:t> </w:t>
      </w:r>
      <w:r>
        <w:rPr/>
        <w:t>cento</w:t>
      </w:r>
      <w:r>
        <w:rPr>
          <w:spacing w:val="-4"/>
        </w:rPr>
        <w:t> </w:t>
      </w:r>
      <w:r>
        <w:rPr/>
        <w:t>del</w:t>
      </w:r>
      <w:r>
        <w:rPr>
          <w:spacing w:val="-5"/>
        </w:rPr>
        <w:t> </w:t>
      </w:r>
      <w:r>
        <w:rPr/>
        <w:t>PIL</w:t>
      </w:r>
      <w:r>
        <w:rPr>
          <w:spacing w:val="-3"/>
        </w:rPr>
        <w:t> </w:t>
      </w:r>
      <w:r>
        <w:rPr/>
        <w:t>nel</w:t>
      </w:r>
      <w:r>
        <w:rPr>
          <w:spacing w:val="-4"/>
        </w:rPr>
        <w:t> </w:t>
      </w:r>
      <w:r>
        <w:rPr/>
        <w:t>2022.</w:t>
      </w:r>
      <w:r>
        <w:rPr>
          <w:vertAlign w:val="superscript"/>
        </w:rPr>
        <w:t>9</w:t>
      </w:r>
      <w:r>
        <w:rPr>
          <w:spacing w:val="-5"/>
          <w:vertAlign w:val="baseline"/>
        </w:rPr>
        <w:t> </w:t>
      </w:r>
      <w:r>
        <w:rPr>
          <w:vertAlign w:val="baseline"/>
        </w:rPr>
        <w:t>Il</w:t>
      </w:r>
      <w:r>
        <w:rPr>
          <w:spacing w:val="-4"/>
          <w:vertAlign w:val="baseline"/>
        </w:rPr>
        <w:t> </w:t>
      </w:r>
      <w:r>
        <w:rPr>
          <w:vertAlign w:val="baseline"/>
        </w:rPr>
        <w:t>pur</w:t>
      </w:r>
      <w:r>
        <w:rPr>
          <w:spacing w:val="-3"/>
          <w:vertAlign w:val="baseline"/>
        </w:rPr>
        <w:t> </w:t>
      </w:r>
      <w:r>
        <w:rPr>
          <w:vertAlign w:val="baseline"/>
        </w:rPr>
        <w:t>significativo calo</w:t>
      </w:r>
      <w:r>
        <w:rPr>
          <w:spacing w:val="-15"/>
          <w:vertAlign w:val="baseline"/>
        </w:rPr>
        <w:t> </w:t>
      </w:r>
      <w:r>
        <w:rPr>
          <w:vertAlign w:val="baseline"/>
        </w:rPr>
        <w:t>del</w:t>
      </w:r>
      <w:r>
        <w:rPr>
          <w:spacing w:val="-14"/>
          <w:vertAlign w:val="baseline"/>
        </w:rPr>
        <w:t> </w:t>
      </w:r>
      <w:r>
        <w:rPr>
          <w:vertAlign w:val="baseline"/>
        </w:rPr>
        <w:t>rapporto</w:t>
      </w:r>
      <w:r>
        <w:rPr>
          <w:spacing w:val="-14"/>
          <w:vertAlign w:val="baseline"/>
        </w:rPr>
        <w:t> </w:t>
      </w:r>
      <w:r>
        <w:rPr>
          <w:vertAlign w:val="baseline"/>
        </w:rPr>
        <w:t>non</w:t>
      </w:r>
      <w:r>
        <w:rPr>
          <w:spacing w:val="-14"/>
          <w:vertAlign w:val="baseline"/>
        </w:rPr>
        <w:t> </w:t>
      </w:r>
      <w:r>
        <w:rPr>
          <w:vertAlign w:val="baseline"/>
        </w:rPr>
        <w:t>sarebbe</w:t>
      </w:r>
      <w:r>
        <w:rPr>
          <w:spacing w:val="-13"/>
          <w:vertAlign w:val="baseline"/>
        </w:rPr>
        <w:t> </w:t>
      </w:r>
      <w:r>
        <w:rPr>
          <w:vertAlign w:val="baseline"/>
        </w:rPr>
        <w:t>tuttavia</w:t>
      </w:r>
      <w:r>
        <w:rPr>
          <w:spacing w:val="-14"/>
          <w:vertAlign w:val="baseline"/>
        </w:rPr>
        <w:t> </w:t>
      </w:r>
      <w:r>
        <w:rPr>
          <w:vertAlign w:val="baseline"/>
        </w:rPr>
        <w:t>sufficiente</w:t>
      </w:r>
      <w:r>
        <w:rPr>
          <w:spacing w:val="-12"/>
          <w:vertAlign w:val="baseline"/>
        </w:rPr>
        <w:t> </w:t>
      </w:r>
      <w:r>
        <w:rPr>
          <w:vertAlign w:val="baseline"/>
        </w:rPr>
        <w:t>a</w:t>
      </w:r>
      <w:r>
        <w:rPr>
          <w:spacing w:val="-13"/>
          <w:vertAlign w:val="baseline"/>
        </w:rPr>
        <w:t> </w:t>
      </w:r>
      <w:r>
        <w:rPr>
          <w:vertAlign w:val="baseline"/>
        </w:rPr>
        <w:t>soddisfare</w:t>
      </w:r>
      <w:r>
        <w:rPr>
          <w:spacing w:val="-13"/>
          <w:vertAlign w:val="baseline"/>
        </w:rPr>
        <w:t> </w:t>
      </w:r>
      <w:r>
        <w:rPr>
          <w:vertAlign w:val="baseline"/>
        </w:rPr>
        <w:t>la</w:t>
      </w:r>
      <w:r>
        <w:rPr>
          <w:spacing w:val="-15"/>
          <w:vertAlign w:val="baseline"/>
        </w:rPr>
        <w:t> </w:t>
      </w:r>
      <w:r>
        <w:rPr>
          <w:vertAlign w:val="baseline"/>
        </w:rPr>
        <w:t>regola</w:t>
      </w:r>
      <w:r>
        <w:rPr>
          <w:spacing w:val="-14"/>
          <w:vertAlign w:val="baseline"/>
        </w:rPr>
        <w:t> </w:t>
      </w:r>
      <w:r>
        <w:rPr>
          <w:vertAlign w:val="baseline"/>
        </w:rPr>
        <w:t>di</w:t>
      </w:r>
      <w:r>
        <w:rPr>
          <w:spacing w:val="-12"/>
          <w:vertAlign w:val="baseline"/>
        </w:rPr>
        <w:t> </w:t>
      </w:r>
      <w:r>
        <w:rPr>
          <w:vertAlign w:val="baseline"/>
        </w:rPr>
        <w:t>riduzione del debito in alcuna delle tre</w:t>
      </w:r>
      <w:r>
        <w:rPr>
          <w:spacing w:val="-6"/>
          <w:vertAlign w:val="baseline"/>
        </w:rPr>
        <w:t> </w:t>
      </w:r>
      <w:r>
        <w:rPr>
          <w:vertAlign w:val="baseline"/>
        </w:rPr>
        <w:t>configurazioni.</w:t>
      </w:r>
    </w:p>
    <w:p>
      <w:pPr>
        <w:pStyle w:val="BodyText"/>
        <w:rPr>
          <w:sz w:val="26"/>
        </w:rPr>
      </w:pPr>
    </w:p>
    <w:p>
      <w:pPr>
        <w:pStyle w:val="BodyText"/>
        <w:spacing w:before="4"/>
        <w:rPr>
          <w:sz w:val="21"/>
        </w:rPr>
      </w:pPr>
    </w:p>
    <w:p>
      <w:pPr>
        <w:pStyle w:val="Heading2"/>
        <w:numPr>
          <w:ilvl w:val="1"/>
          <w:numId w:val="2"/>
        </w:numPr>
        <w:tabs>
          <w:tab w:pos="651" w:val="left" w:leader="none"/>
        </w:tabs>
        <w:spacing w:line="218" w:lineRule="auto" w:before="1" w:after="0"/>
        <w:ind w:left="674" w:right="3629" w:hanging="396"/>
        <w:jc w:val="left"/>
      </w:pPr>
      <w:r>
        <w:rPr>
          <w:color w:val="086D44"/>
        </w:rPr>
        <w:t>SCENARIO PROGRAMMATICO DI FINANZA PUBBLICA</w:t>
      </w:r>
      <w:r>
        <w:rPr>
          <w:color w:val="086D44"/>
          <w:spacing w:val="-24"/>
        </w:rPr>
        <w:t> </w:t>
      </w:r>
      <w:r>
        <w:rPr>
          <w:color w:val="086D44"/>
        </w:rPr>
        <w:t>E PREVISIONI MACROECONOMICHE</w:t>
      </w:r>
      <w:r>
        <w:rPr>
          <w:color w:val="086D44"/>
          <w:spacing w:val="-4"/>
        </w:rPr>
        <w:t> </w:t>
      </w:r>
      <w:r>
        <w:rPr>
          <w:color w:val="086D44"/>
        </w:rPr>
        <w:t>UFFICIALI</w:t>
      </w:r>
    </w:p>
    <w:p>
      <w:pPr>
        <w:pStyle w:val="BodyText"/>
        <w:spacing w:before="2"/>
        <w:rPr>
          <w:rFonts w:ascii="Franklin Gothic Heavy"/>
          <w:b/>
          <w:sz w:val="23"/>
        </w:rPr>
      </w:pPr>
    </w:p>
    <w:p>
      <w:pPr>
        <w:pStyle w:val="BodyText"/>
        <w:spacing w:line="252" w:lineRule="auto"/>
        <w:ind w:left="278" w:right="2261" w:firstLine="453"/>
        <w:jc w:val="both"/>
      </w:pPr>
      <w:r>
        <w:rPr/>
        <w:t>La manovra per il triennio 2020-2022 punta a preservare la sostenibilità della finanza pubblica creando al contempo spazi fiscali per completare l’attuazione delle</w:t>
      </w:r>
      <w:r>
        <w:rPr>
          <w:spacing w:val="-4"/>
        </w:rPr>
        <w:t> </w:t>
      </w:r>
      <w:r>
        <w:rPr/>
        <w:t>politiche</w:t>
      </w:r>
      <w:r>
        <w:rPr>
          <w:spacing w:val="-4"/>
        </w:rPr>
        <w:t> </w:t>
      </w:r>
      <w:r>
        <w:rPr/>
        <w:t>di</w:t>
      </w:r>
      <w:r>
        <w:rPr>
          <w:spacing w:val="-4"/>
        </w:rPr>
        <w:t> </w:t>
      </w:r>
      <w:r>
        <w:rPr/>
        <w:t>inclusione</w:t>
      </w:r>
      <w:r>
        <w:rPr>
          <w:spacing w:val="-5"/>
        </w:rPr>
        <w:t> </w:t>
      </w:r>
      <w:r>
        <w:rPr/>
        <w:t>e</w:t>
      </w:r>
      <w:r>
        <w:rPr>
          <w:spacing w:val="-4"/>
        </w:rPr>
        <w:t> </w:t>
      </w:r>
      <w:r>
        <w:rPr/>
        <w:t>attivazione</w:t>
      </w:r>
      <w:r>
        <w:rPr>
          <w:spacing w:val="-4"/>
        </w:rPr>
        <w:t> </w:t>
      </w:r>
      <w:r>
        <w:rPr/>
        <w:t>del</w:t>
      </w:r>
      <w:r>
        <w:rPr>
          <w:spacing w:val="-4"/>
        </w:rPr>
        <w:t> </w:t>
      </w:r>
      <w:r>
        <w:rPr/>
        <w:t>lavoro</w:t>
      </w:r>
      <w:r>
        <w:rPr>
          <w:spacing w:val="-4"/>
        </w:rPr>
        <w:t> </w:t>
      </w:r>
      <w:r>
        <w:rPr/>
        <w:t>già</w:t>
      </w:r>
      <w:r>
        <w:rPr>
          <w:spacing w:val="-4"/>
        </w:rPr>
        <w:t> </w:t>
      </w:r>
      <w:r>
        <w:rPr/>
        <w:t>in</w:t>
      </w:r>
      <w:r>
        <w:rPr>
          <w:spacing w:val="-5"/>
        </w:rPr>
        <w:t> </w:t>
      </w:r>
      <w:r>
        <w:rPr/>
        <w:t>vigore</w:t>
      </w:r>
      <w:r>
        <w:rPr>
          <w:spacing w:val="-4"/>
        </w:rPr>
        <w:t> </w:t>
      </w:r>
      <w:r>
        <w:rPr/>
        <w:t>e</w:t>
      </w:r>
      <w:r>
        <w:rPr>
          <w:spacing w:val="-3"/>
        </w:rPr>
        <w:t> </w:t>
      </w:r>
      <w:r>
        <w:rPr/>
        <w:t>per</w:t>
      </w:r>
      <w:r>
        <w:rPr>
          <w:spacing w:val="-3"/>
        </w:rPr>
        <w:t> </w:t>
      </w:r>
      <w:r>
        <w:rPr/>
        <w:t>rilanciare</w:t>
      </w:r>
      <w:r>
        <w:rPr>
          <w:spacing w:val="-4"/>
        </w:rPr>
        <w:t> </w:t>
      </w:r>
      <w:r>
        <w:rPr/>
        <w:t>la crescita economica a partire da un grande piano di investimenti pubblici e di sostegno</w:t>
      </w:r>
      <w:r>
        <w:rPr>
          <w:spacing w:val="-10"/>
        </w:rPr>
        <w:t> </w:t>
      </w:r>
      <w:r>
        <w:rPr/>
        <w:t>agli</w:t>
      </w:r>
      <w:r>
        <w:rPr>
          <w:spacing w:val="-9"/>
        </w:rPr>
        <w:t> </w:t>
      </w:r>
      <w:r>
        <w:rPr/>
        <w:t>investimenti</w:t>
      </w:r>
      <w:r>
        <w:rPr>
          <w:spacing w:val="-9"/>
        </w:rPr>
        <w:t> </w:t>
      </w:r>
      <w:r>
        <w:rPr/>
        <w:t>privati,</w:t>
      </w:r>
      <w:r>
        <w:rPr>
          <w:spacing w:val="-7"/>
        </w:rPr>
        <w:t> </w:t>
      </w:r>
      <w:r>
        <w:rPr/>
        <w:t>nel</w:t>
      </w:r>
      <w:r>
        <w:rPr>
          <w:spacing w:val="-11"/>
        </w:rPr>
        <w:t> </w:t>
      </w:r>
      <w:r>
        <w:rPr/>
        <w:t>segno</w:t>
      </w:r>
      <w:r>
        <w:rPr>
          <w:spacing w:val="-9"/>
        </w:rPr>
        <w:t> </w:t>
      </w:r>
      <w:r>
        <w:rPr/>
        <w:t>della</w:t>
      </w:r>
      <w:r>
        <w:rPr>
          <w:spacing w:val="-8"/>
        </w:rPr>
        <w:t> </w:t>
      </w:r>
      <w:r>
        <w:rPr/>
        <w:t>sostenibilità</w:t>
      </w:r>
      <w:r>
        <w:rPr>
          <w:spacing w:val="-9"/>
        </w:rPr>
        <w:t> </w:t>
      </w:r>
      <w:r>
        <w:rPr/>
        <w:t>ambientale</w:t>
      </w:r>
      <w:r>
        <w:rPr>
          <w:spacing w:val="-9"/>
        </w:rPr>
        <w:t> </w:t>
      </w:r>
      <w:r>
        <w:rPr/>
        <w:t>e</w:t>
      </w:r>
      <w:r>
        <w:rPr>
          <w:spacing w:val="-11"/>
        </w:rPr>
        <w:t> </w:t>
      </w:r>
      <w:r>
        <w:rPr/>
        <w:t>sociale e dello sviluppo delle</w:t>
      </w:r>
      <w:r>
        <w:rPr>
          <w:spacing w:val="-3"/>
        </w:rPr>
        <w:t> </w:t>
      </w:r>
      <w:r>
        <w:rPr/>
        <w:t>competenze.</w:t>
      </w:r>
    </w:p>
    <w:p>
      <w:pPr>
        <w:pStyle w:val="BodyText"/>
        <w:spacing w:line="252" w:lineRule="auto" w:before="2"/>
        <w:ind w:left="278" w:right="2261" w:firstLine="453"/>
        <w:jc w:val="both"/>
      </w:pPr>
      <w:r>
        <w:rPr/>
        <w:t>Nella risoluzione che ha approvato il DEF 2019, il Parlamento ha invitato il Governo ad annullare l’aumento dell’IVA previsto per gennaio 2020. Il nuovo Governo</w:t>
      </w:r>
      <w:r>
        <w:rPr>
          <w:spacing w:val="-8"/>
        </w:rPr>
        <w:t> </w:t>
      </w:r>
      <w:r>
        <w:rPr/>
        <w:t>ha</w:t>
      </w:r>
      <w:r>
        <w:rPr>
          <w:spacing w:val="-6"/>
        </w:rPr>
        <w:t> </w:t>
      </w:r>
      <w:r>
        <w:rPr/>
        <w:t>confermato</w:t>
      </w:r>
      <w:r>
        <w:rPr>
          <w:spacing w:val="-8"/>
        </w:rPr>
        <w:t> </w:t>
      </w:r>
      <w:r>
        <w:rPr/>
        <w:t>questo</w:t>
      </w:r>
      <w:r>
        <w:rPr>
          <w:spacing w:val="-6"/>
        </w:rPr>
        <w:t> </w:t>
      </w:r>
      <w:r>
        <w:rPr/>
        <w:t>impegno.</w:t>
      </w:r>
      <w:r>
        <w:rPr>
          <w:spacing w:val="-4"/>
        </w:rPr>
        <w:t> </w:t>
      </w:r>
      <w:r>
        <w:rPr/>
        <w:t>Insieme</w:t>
      </w:r>
      <w:r>
        <w:rPr>
          <w:spacing w:val="-6"/>
        </w:rPr>
        <w:t> </w:t>
      </w:r>
      <w:r>
        <w:rPr/>
        <w:t>al</w:t>
      </w:r>
      <w:r>
        <w:rPr>
          <w:spacing w:val="-5"/>
        </w:rPr>
        <w:t> </w:t>
      </w:r>
      <w:r>
        <w:rPr/>
        <w:t>finanziamento</w:t>
      </w:r>
      <w:r>
        <w:rPr>
          <w:spacing w:val="-6"/>
        </w:rPr>
        <w:t> </w:t>
      </w:r>
      <w:r>
        <w:rPr/>
        <w:t>delle</w:t>
      </w:r>
      <w:r>
        <w:rPr>
          <w:spacing w:val="-5"/>
        </w:rPr>
        <w:t> </w:t>
      </w:r>
      <w:r>
        <w:rPr/>
        <w:t>cosiddette politiche invariate, la cancellazione dell’aumento IVA conduce la stima di indebitamento</w:t>
      </w:r>
      <w:r>
        <w:rPr>
          <w:spacing w:val="-6"/>
        </w:rPr>
        <w:t> </w:t>
      </w:r>
      <w:r>
        <w:rPr/>
        <w:t>netto</w:t>
      </w:r>
      <w:r>
        <w:rPr>
          <w:spacing w:val="-5"/>
        </w:rPr>
        <w:t> </w:t>
      </w:r>
      <w:r>
        <w:rPr/>
        <w:t>della</w:t>
      </w:r>
      <w:r>
        <w:rPr>
          <w:spacing w:val="-5"/>
        </w:rPr>
        <w:t> </w:t>
      </w:r>
      <w:r>
        <w:rPr/>
        <w:t>PA</w:t>
      </w:r>
      <w:r>
        <w:rPr>
          <w:spacing w:val="-3"/>
        </w:rPr>
        <w:t> </w:t>
      </w:r>
      <w:r>
        <w:rPr/>
        <w:t>al</w:t>
      </w:r>
      <w:r>
        <w:rPr>
          <w:spacing w:val="-4"/>
        </w:rPr>
        <w:t> </w:t>
      </w:r>
      <w:r>
        <w:rPr/>
        <w:t>2,7</w:t>
      </w:r>
      <w:r>
        <w:rPr>
          <w:spacing w:val="-5"/>
        </w:rPr>
        <w:t> </w:t>
      </w:r>
      <w:r>
        <w:rPr/>
        <w:t>per</w:t>
      </w:r>
      <w:r>
        <w:rPr>
          <w:spacing w:val="-8"/>
        </w:rPr>
        <w:t> </w:t>
      </w:r>
      <w:r>
        <w:rPr/>
        <w:t>cento</w:t>
      </w:r>
      <w:r>
        <w:rPr>
          <w:spacing w:val="-5"/>
        </w:rPr>
        <w:t> </w:t>
      </w:r>
      <w:r>
        <w:rPr/>
        <w:t>del</w:t>
      </w:r>
      <w:r>
        <w:rPr>
          <w:spacing w:val="-4"/>
        </w:rPr>
        <w:t> </w:t>
      </w:r>
      <w:r>
        <w:rPr/>
        <w:t>PIL</w:t>
      </w:r>
      <w:r>
        <w:rPr>
          <w:spacing w:val="-3"/>
        </w:rPr>
        <w:t> </w:t>
      </w:r>
      <w:r>
        <w:rPr/>
        <w:t>nel</w:t>
      </w:r>
      <w:r>
        <w:rPr>
          <w:spacing w:val="-7"/>
        </w:rPr>
        <w:t> </w:t>
      </w:r>
      <w:r>
        <w:rPr/>
        <w:t>2020.</w:t>
      </w:r>
      <w:r>
        <w:rPr>
          <w:spacing w:val="-3"/>
        </w:rPr>
        <w:t> </w:t>
      </w:r>
      <w:r>
        <w:rPr/>
        <w:t>Ad</w:t>
      </w:r>
      <w:r>
        <w:rPr>
          <w:spacing w:val="-7"/>
        </w:rPr>
        <w:t> </w:t>
      </w:r>
      <w:r>
        <w:rPr/>
        <w:t>un</w:t>
      </w:r>
      <w:r>
        <w:rPr>
          <w:spacing w:val="-5"/>
        </w:rPr>
        <w:t> </w:t>
      </w:r>
      <w:r>
        <w:rPr/>
        <w:t>tale</w:t>
      </w:r>
      <w:r>
        <w:rPr>
          <w:spacing w:val="-4"/>
        </w:rPr>
        <w:t> </w:t>
      </w:r>
      <w:r>
        <w:rPr/>
        <w:t>livello</w:t>
      </w:r>
      <w:r>
        <w:rPr>
          <w:spacing w:val="-5"/>
        </w:rPr>
        <w:t> </w:t>
      </w:r>
      <w:r>
        <w:rPr/>
        <w:t>di deficit</w:t>
      </w:r>
      <w:r>
        <w:rPr>
          <w:spacing w:val="-12"/>
        </w:rPr>
        <w:t> </w:t>
      </w:r>
      <w:r>
        <w:rPr/>
        <w:t>nominale</w:t>
      </w:r>
      <w:r>
        <w:rPr>
          <w:spacing w:val="-11"/>
        </w:rPr>
        <w:t> </w:t>
      </w:r>
      <w:r>
        <w:rPr/>
        <w:t>in</w:t>
      </w:r>
      <w:r>
        <w:rPr>
          <w:spacing w:val="-12"/>
        </w:rPr>
        <w:t> </w:t>
      </w:r>
      <w:r>
        <w:rPr/>
        <w:t>rapporto</w:t>
      </w:r>
      <w:r>
        <w:rPr>
          <w:spacing w:val="-12"/>
        </w:rPr>
        <w:t> </w:t>
      </w:r>
      <w:r>
        <w:rPr/>
        <w:t>al</w:t>
      </w:r>
      <w:r>
        <w:rPr>
          <w:spacing w:val="-11"/>
        </w:rPr>
        <w:t> </w:t>
      </w:r>
      <w:r>
        <w:rPr/>
        <w:t>PIL</w:t>
      </w:r>
      <w:r>
        <w:rPr>
          <w:spacing w:val="-12"/>
        </w:rPr>
        <w:t> </w:t>
      </w:r>
      <w:r>
        <w:rPr/>
        <w:t>corrisponderebbe</w:t>
      </w:r>
      <w:r>
        <w:rPr>
          <w:spacing w:val="-10"/>
        </w:rPr>
        <w:t> </w:t>
      </w:r>
      <w:r>
        <w:rPr/>
        <w:t>un</w:t>
      </w:r>
      <w:r>
        <w:rPr>
          <w:spacing w:val="-12"/>
        </w:rPr>
        <w:t> </w:t>
      </w:r>
      <w:r>
        <w:rPr/>
        <w:t>significativo</w:t>
      </w:r>
      <w:r>
        <w:rPr>
          <w:spacing w:val="-12"/>
        </w:rPr>
        <w:t> </w:t>
      </w:r>
      <w:r>
        <w:rPr/>
        <w:t>peggioramento del saldo strutturale, che è uno degli indicatori considerati ai fini dell’osservanza delle regole fiscali interne ed</w:t>
      </w:r>
      <w:r>
        <w:rPr>
          <w:spacing w:val="-5"/>
        </w:rPr>
        <w:t> </w:t>
      </w:r>
      <w:r>
        <w:rPr/>
        <w:t>europee.</w:t>
      </w:r>
    </w:p>
    <w:p>
      <w:pPr>
        <w:pStyle w:val="BodyText"/>
        <w:spacing w:line="252" w:lineRule="auto"/>
        <w:ind w:left="278" w:right="2259" w:firstLine="453"/>
        <w:jc w:val="both"/>
      </w:pPr>
      <w:r>
        <w:rPr/>
        <w:t>L’orientamento espresso dalla Commissione Europea e da altre organizzazioni internazionali si è chiaramente spostato verso l’opportunità di una </w:t>
      </w:r>
      <w:r>
        <w:rPr>
          <w:i/>
        </w:rPr>
        <w:t>stance </w:t>
      </w:r>
      <w:r>
        <w:rPr/>
        <w:t>fiscale espansiva</w:t>
      </w:r>
      <w:r>
        <w:rPr>
          <w:spacing w:val="-8"/>
        </w:rPr>
        <w:t> </w:t>
      </w:r>
      <w:r>
        <w:rPr/>
        <w:t>per</w:t>
      </w:r>
      <w:r>
        <w:rPr>
          <w:spacing w:val="-7"/>
        </w:rPr>
        <w:t> </w:t>
      </w:r>
      <w:r>
        <w:rPr/>
        <w:t>l’area</w:t>
      </w:r>
      <w:r>
        <w:rPr>
          <w:spacing w:val="-8"/>
        </w:rPr>
        <w:t> </w:t>
      </w:r>
      <w:r>
        <w:rPr/>
        <w:t>dell’euro,</w:t>
      </w:r>
      <w:r>
        <w:rPr>
          <w:spacing w:val="-8"/>
        </w:rPr>
        <w:t> </w:t>
      </w:r>
      <w:r>
        <w:rPr/>
        <w:t>che</w:t>
      </w:r>
      <w:r>
        <w:rPr>
          <w:spacing w:val="-11"/>
        </w:rPr>
        <w:t> </w:t>
      </w:r>
      <w:r>
        <w:rPr/>
        <w:t>dovrebbe</w:t>
      </w:r>
      <w:r>
        <w:rPr>
          <w:spacing w:val="-9"/>
        </w:rPr>
        <w:t> </w:t>
      </w:r>
      <w:r>
        <w:rPr/>
        <w:t>essere</w:t>
      </w:r>
      <w:r>
        <w:rPr>
          <w:spacing w:val="-7"/>
        </w:rPr>
        <w:t> </w:t>
      </w:r>
      <w:r>
        <w:rPr/>
        <w:t>frutto</w:t>
      </w:r>
      <w:r>
        <w:rPr>
          <w:spacing w:val="-8"/>
        </w:rPr>
        <w:t> </w:t>
      </w:r>
      <w:r>
        <w:rPr/>
        <w:t>di</w:t>
      </w:r>
      <w:r>
        <w:rPr>
          <w:spacing w:val="-7"/>
        </w:rPr>
        <w:t> </w:t>
      </w:r>
      <w:r>
        <w:rPr/>
        <w:t>una</w:t>
      </w:r>
      <w:r>
        <w:rPr>
          <w:spacing w:val="-8"/>
        </w:rPr>
        <w:t> </w:t>
      </w:r>
      <w:r>
        <w:rPr/>
        <w:t>politica</w:t>
      </w:r>
      <w:r>
        <w:rPr>
          <w:spacing w:val="-10"/>
        </w:rPr>
        <w:t> </w:t>
      </w:r>
      <w:r>
        <w:rPr/>
        <w:t>di</w:t>
      </w:r>
      <w:r>
        <w:rPr>
          <w:spacing w:val="-7"/>
        </w:rPr>
        <w:t> </w:t>
      </w:r>
      <w:r>
        <w:rPr/>
        <w:t>stimolo da parte dei Paesi membri in surplus e di un graduale consolidamento fiscale da parte delle nazioni più indebitate. La politica di bilancio dell’Italia delineata nel presente</w:t>
      </w:r>
      <w:r>
        <w:rPr>
          <w:spacing w:val="-11"/>
        </w:rPr>
        <w:t> </w:t>
      </w:r>
      <w:r>
        <w:rPr/>
        <w:t>documento</w:t>
      </w:r>
      <w:r>
        <w:rPr>
          <w:spacing w:val="-12"/>
        </w:rPr>
        <w:t> </w:t>
      </w:r>
      <w:r>
        <w:rPr/>
        <w:t>contribuirà</w:t>
      </w:r>
      <w:r>
        <w:rPr>
          <w:spacing w:val="-11"/>
        </w:rPr>
        <w:t> </w:t>
      </w:r>
      <w:r>
        <w:rPr/>
        <w:t>al</w:t>
      </w:r>
      <w:r>
        <w:rPr>
          <w:spacing w:val="-13"/>
        </w:rPr>
        <w:t> </w:t>
      </w:r>
      <w:r>
        <w:rPr/>
        <w:t>conseguimento</w:t>
      </w:r>
      <w:r>
        <w:rPr>
          <w:spacing w:val="-12"/>
        </w:rPr>
        <w:t> </w:t>
      </w:r>
      <w:r>
        <w:rPr/>
        <w:t>di</w:t>
      </w:r>
      <w:r>
        <w:rPr>
          <w:spacing w:val="-12"/>
        </w:rPr>
        <w:t> </w:t>
      </w:r>
      <w:r>
        <w:rPr/>
        <w:t>tale</w:t>
      </w:r>
      <w:r>
        <w:rPr>
          <w:spacing w:val="-10"/>
        </w:rPr>
        <w:t> </w:t>
      </w:r>
      <w:r>
        <w:rPr/>
        <w:t>obiettivo</w:t>
      </w:r>
      <w:r>
        <w:rPr>
          <w:spacing w:val="-12"/>
        </w:rPr>
        <w:t> </w:t>
      </w:r>
      <w:r>
        <w:rPr/>
        <w:t>per</w:t>
      </w:r>
      <w:r>
        <w:rPr>
          <w:spacing w:val="-13"/>
        </w:rPr>
        <w:t> </w:t>
      </w:r>
      <w:r>
        <w:rPr/>
        <w:t>il</w:t>
      </w:r>
      <w:r>
        <w:rPr>
          <w:spacing w:val="-13"/>
        </w:rPr>
        <w:t> </w:t>
      </w:r>
      <w:r>
        <w:rPr/>
        <w:t>complesso dell’area euro, con l’auspicio che i Paesi membri che attualmente godono di ampi spazi di bilancio li utilizzino per contrastare l’affievolimento della loro crescita economica. Inoltre, il Governo si impegnerà a favore della rapida attuazione di un ‘</w:t>
      </w:r>
      <w:r>
        <w:rPr>
          <w:i/>
        </w:rPr>
        <w:t>Green new deal</w:t>
      </w:r>
      <w:r>
        <w:rPr/>
        <w:t>’ europeo finanziato con risorse comuni e lo sviluppo di appositi strumenti</w:t>
      </w:r>
      <w:r>
        <w:rPr>
          <w:spacing w:val="-1"/>
        </w:rPr>
        <w:t> </w:t>
      </w:r>
      <w:r>
        <w:rPr/>
        <w:t>finanziari.</w:t>
      </w:r>
    </w:p>
    <w:p>
      <w:pPr>
        <w:pStyle w:val="BodyText"/>
        <w:spacing w:line="252" w:lineRule="auto"/>
        <w:ind w:left="278" w:right="2263" w:firstLine="453"/>
        <w:jc w:val="both"/>
      </w:pPr>
      <w:r>
        <w:rPr/>
        <w:t>Pertanto, nell’ottica di un auspicabile orientamento della politica di bilancio dell’area euro verso uno stimolo alla crescita, ma tenuto conto della necessità di invertire l’aumento del rapporto debito/PIL dell’Italia, il Governo ha deciso di puntare ad un saldo strutturale in rapporto al PIL quasi invariato nel 2020. Si ribadisce altresì l’impegno a migliorare il saldo strutturale negli anni successivi.</w:t>
      </w:r>
    </w:p>
    <w:p>
      <w:pPr>
        <w:pStyle w:val="BodyText"/>
        <w:spacing w:line="252" w:lineRule="auto"/>
        <w:ind w:left="278" w:right="2261" w:firstLine="453"/>
        <w:jc w:val="both"/>
      </w:pPr>
      <w:r>
        <w:rPr/>
        <w:t>L’obiettivo di indebitamento netto nominale per il 2020 è rivisto dal 2,1 per cento</w:t>
      </w:r>
      <w:r>
        <w:rPr>
          <w:spacing w:val="-17"/>
        </w:rPr>
        <w:t> </w:t>
      </w:r>
      <w:r>
        <w:rPr/>
        <w:t>del</w:t>
      </w:r>
      <w:r>
        <w:rPr>
          <w:spacing w:val="-15"/>
        </w:rPr>
        <w:t> </w:t>
      </w:r>
      <w:r>
        <w:rPr/>
        <w:t>PIL</w:t>
      </w:r>
      <w:r>
        <w:rPr>
          <w:spacing w:val="-15"/>
        </w:rPr>
        <w:t> </w:t>
      </w:r>
      <w:r>
        <w:rPr/>
        <w:t>fissato</w:t>
      </w:r>
      <w:r>
        <w:rPr>
          <w:spacing w:val="-16"/>
        </w:rPr>
        <w:t> </w:t>
      </w:r>
      <w:r>
        <w:rPr/>
        <w:t>nel</w:t>
      </w:r>
      <w:r>
        <w:rPr>
          <w:spacing w:val="-19"/>
        </w:rPr>
        <w:t> </w:t>
      </w:r>
      <w:r>
        <w:rPr/>
        <w:t>DEF</w:t>
      </w:r>
      <w:r>
        <w:rPr>
          <w:spacing w:val="-16"/>
        </w:rPr>
        <w:t> </w:t>
      </w:r>
      <w:r>
        <w:rPr/>
        <w:t>al</w:t>
      </w:r>
      <w:r>
        <w:rPr>
          <w:spacing w:val="-16"/>
        </w:rPr>
        <w:t> </w:t>
      </w:r>
      <w:r>
        <w:rPr/>
        <w:t>2,2</w:t>
      </w:r>
      <w:r>
        <w:rPr>
          <w:spacing w:val="-16"/>
        </w:rPr>
        <w:t> </w:t>
      </w:r>
      <w:r>
        <w:rPr/>
        <w:t>per</w:t>
      </w:r>
      <w:r>
        <w:rPr>
          <w:spacing w:val="-17"/>
        </w:rPr>
        <w:t> </w:t>
      </w:r>
      <w:r>
        <w:rPr/>
        <w:t>cento</w:t>
      </w:r>
      <w:r>
        <w:rPr>
          <w:spacing w:val="-17"/>
        </w:rPr>
        <w:t> </w:t>
      </w:r>
      <w:r>
        <w:rPr/>
        <w:t>del</w:t>
      </w:r>
      <w:r>
        <w:rPr>
          <w:spacing w:val="-18"/>
        </w:rPr>
        <w:t> </w:t>
      </w:r>
      <w:r>
        <w:rPr/>
        <w:t>PIL,</w:t>
      </w:r>
      <w:r>
        <w:rPr>
          <w:spacing w:val="-17"/>
        </w:rPr>
        <w:t> </w:t>
      </w:r>
      <w:r>
        <w:rPr/>
        <w:t>un</w:t>
      </w:r>
      <w:r>
        <w:rPr>
          <w:spacing w:val="-16"/>
        </w:rPr>
        <w:t> </w:t>
      </w:r>
      <w:r>
        <w:rPr/>
        <w:t>livello</w:t>
      </w:r>
      <w:r>
        <w:rPr>
          <w:spacing w:val="-16"/>
        </w:rPr>
        <w:t> </w:t>
      </w:r>
      <w:r>
        <w:rPr/>
        <w:t>invariato</w:t>
      </w:r>
      <w:r>
        <w:rPr>
          <w:spacing w:val="-17"/>
        </w:rPr>
        <w:t> </w:t>
      </w:r>
      <w:r>
        <w:rPr/>
        <w:t>in</w:t>
      </w:r>
      <w:r>
        <w:rPr>
          <w:spacing w:val="-16"/>
        </w:rPr>
        <w:t> </w:t>
      </w:r>
      <w:r>
        <w:rPr/>
        <w:t>confronto alla previsione aggiornata per il 2019. Tenuto conto della stima di </w:t>
      </w:r>
      <w:r>
        <w:rPr>
          <w:i/>
        </w:rPr>
        <w:t>output gap</w:t>
      </w:r>
      <w:r>
        <w:rPr>
          <w:i/>
          <w:spacing w:val="-7"/>
        </w:rPr>
        <w:t> </w:t>
      </w:r>
      <w:r>
        <w:rPr/>
        <w:t>e</w:t>
      </w:r>
    </w:p>
    <w:p>
      <w:pPr>
        <w:pStyle w:val="BodyText"/>
        <w:rPr>
          <w:sz w:val="20"/>
        </w:rPr>
      </w:pPr>
    </w:p>
    <w:p>
      <w:pPr>
        <w:pStyle w:val="BodyText"/>
        <w:spacing w:before="6"/>
        <w:rPr>
          <w:sz w:val="16"/>
        </w:rPr>
      </w:pPr>
      <w:r>
        <w:rPr/>
        <w:pict>
          <v:group style="position:absolute;margin-left:93.599998pt;margin-top:11.568935pt;width:21.4pt;height:2.15pt;mso-position-horizontal-relative:page;mso-position-vertical-relative:paragraph;z-index:-251633664;mso-wrap-distance-left:0;mso-wrap-distance-right:0" coordorigin="1872,231" coordsize="428,43">
            <v:line style="position:absolute" from="1872,252" to="2299,252" stroked="true" strokeweight="2.050pt" strokecolor="#aaaaaa">
              <v:stroke dashstyle="solid"/>
            </v:line>
            <v:rect style="position:absolute;left:1872;top:233;width:5;height:5" filled="true" fillcolor="#9f9f9f" stroked="false">
              <v:fill type="solid"/>
            </v:rect>
            <v:rect style="position:absolute;left:1872;top:233;width:5;height:5" filled="true" fillcolor="#9f9f9f" stroked="false">
              <v:fill type="solid"/>
            </v:rect>
            <v:line style="position:absolute" from="1877,236" to="2295,236" stroked="true" strokeweight=".23999pt" strokecolor="#9f9f9f">
              <v:stroke dashstyle="solid"/>
            </v:line>
            <v:rect style="position:absolute;left:2294;top:233;width:5;height:5" filled="true" fillcolor="#e2e2e2" stroked="false">
              <v:fill type="solid"/>
            </v:rect>
            <v:rect style="position:absolute;left:2294;top:233;width:5;height:5" filled="true" fillcolor="#9f9f9f" stroked="false">
              <v:fill type="solid"/>
            </v:rect>
            <v:rect style="position:absolute;left:1872;top:238;width:5;height:32" filled="true" fillcolor="#9f9f9f" stroked="false">
              <v:fill type="solid"/>
            </v:rect>
            <v:rect style="position:absolute;left:2294;top:238;width:5;height:32" filled="true" fillcolor="#e2e2e2" stroked="false">
              <v:fill type="solid"/>
            </v:rect>
            <v:rect style="position:absolute;left:1872;top:269;width:5;height:5" filled="true" fillcolor="#9f9f9f" stroked="false">
              <v:fill type="solid"/>
            </v:rect>
            <v:rect style="position:absolute;left:1872;top:269;width:5;height:5" filled="true" fillcolor="#e2e2e2" stroked="false">
              <v:fill type="solid"/>
            </v:rect>
            <v:line style="position:absolute" from="1877,272" to="2295,272" stroked="true" strokeweight=".23999pt" strokecolor="#e2e2e2">
              <v:stroke dashstyle="solid"/>
            </v:line>
            <v:rect style="position:absolute;left:2294;top:269;width:5;height:5" filled="true" fillcolor="#e2e2e2" stroked="false">
              <v:fill type="solid"/>
            </v:rect>
            <v:rect style="position:absolute;left:2294;top:269;width:5;height:5" filled="true" fillcolor="#e2e2e2" stroked="false">
              <v:fill type="solid"/>
            </v:rect>
            <w10:wrap type="topAndBottom"/>
          </v:group>
        </w:pict>
      </w:r>
    </w:p>
    <w:p>
      <w:pPr>
        <w:spacing w:before="18"/>
        <w:ind w:left="278" w:right="2262" w:firstLine="453"/>
        <w:jc w:val="both"/>
        <w:rPr>
          <w:sz w:val="16"/>
        </w:rPr>
      </w:pPr>
      <w:r>
        <w:rPr>
          <w:position w:val="6"/>
          <w:sz w:val="10"/>
        </w:rPr>
        <w:t>9 </w:t>
      </w:r>
      <w:r>
        <w:rPr>
          <w:sz w:val="16"/>
        </w:rPr>
        <w:t>Il precedente Governo aveva ipotizzato proventi da privatizzazioni pari a 0,3 per cento del PIL nel 2020 e zero negli anni successivi. Tenuto conto della mancata realizzazione del programma per il 2019, nello scenario tendenziale si sono ipotizzati proventi pari a zero anche nel 2020.</w:t>
      </w:r>
    </w:p>
    <w:p>
      <w:pPr>
        <w:spacing w:after="0"/>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1128" w:right="1408"/>
        <w:jc w:val="both"/>
      </w:pPr>
      <w:r>
        <w:rPr/>
        <w:t>delle componenti temporanee del bilancio, ciò porterebbe ad un lieve deterioramento del saldo strutturale (0,1 punti percentuali). Va tuttavia sottolineato che questo deterioramento è principalmente dovuto alla tempistica della spesa relativa alle nuove politiche di inclusione introdotte nel corso di quest’anno. La politica di bilancio programmata per l’anno prossimo consolida la finanza pubblica incrementando in modo strutturale le coperture finanziarie adottate nel 2019.</w:t>
      </w:r>
    </w:p>
    <w:p>
      <w:pPr>
        <w:pStyle w:val="BodyText"/>
        <w:spacing w:line="252" w:lineRule="auto"/>
        <w:ind w:left="1128" w:right="1408" w:firstLine="453"/>
        <w:jc w:val="both"/>
      </w:pPr>
      <w:r>
        <w:rPr/>
        <w:t>Con</w:t>
      </w:r>
      <w:r>
        <w:rPr>
          <w:spacing w:val="-7"/>
        </w:rPr>
        <w:t> </w:t>
      </w:r>
      <w:r>
        <w:rPr/>
        <w:t>riferimento</w:t>
      </w:r>
      <w:r>
        <w:rPr>
          <w:spacing w:val="-6"/>
        </w:rPr>
        <w:t> </w:t>
      </w:r>
      <w:r>
        <w:rPr/>
        <w:t>alla</w:t>
      </w:r>
      <w:r>
        <w:rPr>
          <w:spacing w:val="-5"/>
        </w:rPr>
        <w:t> </w:t>
      </w:r>
      <w:r>
        <w:rPr>
          <w:i/>
        </w:rPr>
        <w:t>compliance</w:t>
      </w:r>
      <w:r>
        <w:rPr>
          <w:i/>
          <w:spacing w:val="-6"/>
        </w:rPr>
        <w:t> </w:t>
      </w:r>
      <w:r>
        <w:rPr/>
        <w:t>con</w:t>
      </w:r>
      <w:r>
        <w:rPr>
          <w:spacing w:val="-6"/>
        </w:rPr>
        <w:t> </w:t>
      </w:r>
      <w:r>
        <w:rPr/>
        <w:t>il</w:t>
      </w:r>
      <w:r>
        <w:rPr>
          <w:spacing w:val="-6"/>
        </w:rPr>
        <w:t> </w:t>
      </w:r>
      <w:r>
        <w:rPr/>
        <w:t>braccio</w:t>
      </w:r>
      <w:r>
        <w:rPr>
          <w:spacing w:val="-9"/>
        </w:rPr>
        <w:t> </w:t>
      </w:r>
      <w:r>
        <w:rPr/>
        <w:t>preventivo</w:t>
      </w:r>
      <w:r>
        <w:rPr>
          <w:spacing w:val="-7"/>
        </w:rPr>
        <w:t> </w:t>
      </w:r>
      <w:r>
        <w:rPr/>
        <w:t>del</w:t>
      </w:r>
      <w:r>
        <w:rPr>
          <w:spacing w:val="-5"/>
        </w:rPr>
        <w:t> </w:t>
      </w:r>
      <w:r>
        <w:rPr/>
        <w:t>Patto</w:t>
      </w:r>
      <w:r>
        <w:rPr>
          <w:spacing w:val="-6"/>
        </w:rPr>
        <w:t> </w:t>
      </w:r>
      <w:r>
        <w:rPr/>
        <w:t>di</w:t>
      </w:r>
      <w:r>
        <w:rPr>
          <w:spacing w:val="-6"/>
        </w:rPr>
        <w:t> </w:t>
      </w:r>
      <w:r>
        <w:rPr/>
        <w:t>Stabilità e Crescita, il Governo intende presentare alla Commissione Europea una richiesta di flessibilità per il 2020 in ragione di spese eccezionali per il contrasto dei rischi derivanti dal dissesto idrogeologico e per altri interventi volti a favorire la sostenibilità ambientale del Paese, quantificabili nell’ordine di 0,2 punti percentuali di PIL. Tenuto conto di questa richiesta, la variazione del saldo strutturale prevista per il 2020 non comporterebbe una deviazione significativa dal sentiero di aggiustamento verso l’OMT. Per il biennio 2021-2022 si punta a un miglioramento</w:t>
      </w:r>
      <w:r>
        <w:rPr>
          <w:spacing w:val="-11"/>
        </w:rPr>
        <w:t> </w:t>
      </w:r>
      <w:r>
        <w:rPr/>
        <w:t>strutturale</w:t>
      </w:r>
      <w:r>
        <w:rPr>
          <w:spacing w:val="-9"/>
        </w:rPr>
        <w:t> </w:t>
      </w:r>
      <w:r>
        <w:rPr/>
        <w:t>di</w:t>
      </w:r>
      <w:r>
        <w:rPr>
          <w:spacing w:val="-10"/>
        </w:rPr>
        <w:t> </w:t>
      </w:r>
      <w:r>
        <w:rPr/>
        <w:t>0,2</w:t>
      </w:r>
      <w:r>
        <w:rPr>
          <w:spacing w:val="-12"/>
        </w:rPr>
        <w:t> </w:t>
      </w:r>
      <w:r>
        <w:rPr/>
        <w:t>punti</w:t>
      </w:r>
      <w:r>
        <w:rPr>
          <w:spacing w:val="-10"/>
        </w:rPr>
        <w:t> </w:t>
      </w:r>
      <w:r>
        <w:rPr/>
        <w:t>percentuali</w:t>
      </w:r>
      <w:r>
        <w:rPr>
          <w:spacing w:val="-9"/>
        </w:rPr>
        <w:t> </w:t>
      </w:r>
      <w:r>
        <w:rPr/>
        <w:t>all’anno,</w:t>
      </w:r>
      <w:r>
        <w:rPr>
          <w:spacing w:val="-8"/>
        </w:rPr>
        <w:t> </w:t>
      </w:r>
      <w:r>
        <w:rPr/>
        <w:t>con</w:t>
      </w:r>
      <w:r>
        <w:rPr>
          <w:spacing w:val="-12"/>
        </w:rPr>
        <w:t> </w:t>
      </w:r>
      <w:r>
        <w:rPr/>
        <w:t>un</w:t>
      </w:r>
      <w:r>
        <w:rPr>
          <w:spacing w:val="-11"/>
        </w:rPr>
        <w:t> </w:t>
      </w:r>
      <w:r>
        <w:rPr/>
        <w:t>livello</w:t>
      </w:r>
      <w:r>
        <w:rPr>
          <w:spacing w:val="-12"/>
        </w:rPr>
        <w:t> </w:t>
      </w:r>
      <w:r>
        <w:rPr/>
        <w:t>finale</w:t>
      </w:r>
      <w:r>
        <w:rPr>
          <w:spacing w:val="-9"/>
        </w:rPr>
        <w:t> </w:t>
      </w:r>
      <w:r>
        <w:rPr/>
        <w:t>del saldo strutturale pari al -1,0 per cento del PIL nel 2022. Il Governo conferma l’impegno a raggiungere l’OMT negli anni</w:t>
      </w:r>
      <w:r>
        <w:rPr>
          <w:spacing w:val="-6"/>
        </w:rPr>
        <w:t> </w:t>
      </w:r>
      <w:r>
        <w:rPr/>
        <w:t>successivi.</w:t>
      </w:r>
    </w:p>
    <w:p>
      <w:pPr>
        <w:pStyle w:val="BodyText"/>
        <w:spacing w:line="252" w:lineRule="auto" w:before="2"/>
        <w:ind w:left="1128" w:right="1414" w:firstLine="453"/>
        <w:jc w:val="both"/>
      </w:pPr>
      <w:r>
        <w:rPr/>
        <w:t>La manovra di finanza pubblica per il 2020 comprende la completa disattivazione dell’aumento dell’IVA, il finanziamento delle politiche invariate per circa un decimo di punto di PIL e il rinnovo di alcune politiche in scadenza (fra cui gli incentivi Industria 4.0).</w:t>
      </w:r>
    </w:p>
    <w:p>
      <w:pPr>
        <w:pStyle w:val="BodyText"/>
        <w:spacing w:line="252" w:lineRule="auto"/>
        <w:ind w:left="1128" w:right="1411" w:firstLine="453"/>
        <w:jc w:val="both"/>
      </w:pPr>
      <w:r>
        <w:rPr/>
        <w:t>Il Governo intende inoltre adottare nuove politiche che costituiranno il primo passo di un programma più vasto volto a rilanciare la crescita, lo sviluppo del Mezzogiorno e la sostenibilità ambientale. Tra queste, il Governo si è impegnato a ridurre il cuneo fiscale sul lavoro, a rilanciare gli investimenti pubblici, ad aumentare</w:t>
      </w:r>
      <w:r>
        <w:rPr>
          <w:spacing w:val="-5"/>
        </w:rPr>
        <w:t> </w:t>
      </w:r>
      <w:r>
        <w:rPr/>
        <w:t>le</w:t>
      </w:r>
      <w:r>
        <w:rPr>
          <w:spacing w:val="-5"/>
        </w:rPr>
        <w:t> </w:t>
      </w:r>
      <w:r>
        <w:rPr/>
        <w:t>risorse</w:t>
      </w:r>
      <w:r>
        <w:rPr>
          <w:spacing w:val="-7"/>
        </w:rPr>
        <w:t> </w:t>
      </w:r>
      <w:r>
        <w:rPr/>
        <w:t>per</w:t>
      </w:r>
      <w:r>
        <w:rPr>
          <w:spacing w:val="-7"/>
        </w:rPr>
        <w:t> </w:t>
      </w:r>
      <w:r>
        <w:rPr/>
        <w:t>istruzione</w:t>
      </w:r>
      <w:r>
        <w:rPr>
          <w:spacing w:val="-5"/>
        </w:rPr>
        <w:t> </w:t>
      </w:r>
      <w:r>
        <w:rPr/>
        <w:t>e</w:t>
      </w:r>
      <w:r>
        <w:rPr>
          <w:spacing w:val="-9"/>
        </w:rPr>
        <w:t> </w:t>
      </w:r>
      <w:r>
        <w:rPr/>
        <w:t>ricerca</w:t>
      </w:r>
      <w:r>
        <w:rPr>
          <w:spacing w:val="-7"/>
        </w:rPr>
        <w:t> </w:t>
      </w:r>
      <w:r>
        <w:rPr/>
        <w:t>scientifica</w:t>
      </w:r>
      <w:r>
        <w:rPr>
          <w:spacing w:val="-6"/>
        </w:rPr>
        <w:t> </w:t>
      </w:r>
      <w:r>
        <w:rPr/>
        <w:t>e</w:t>
      </w:r>
      <w:r>
        <w:rPr>
          <w:spacing w:val="-4"/>
        </w:rPr>
        <w:t> </w:t>
      </w:r>
      <w:r>
        <w:rPr/>
        <w:t>tecnologica</w:t>
      </w:r>
      <w:r>
        <w:rPr>
          <w:spacing w:val="-2"/>
        </w:rPr>
        <w:t> </w:t>
      </w:r>
      <w:r>
        <w:rPr/>
        <w:t>e</w:t>
      </w:r>
      <w:r>
        <w:rPr>
          <w:spacing w:val="-8"/>
        </w:rPr>
        <w:t> </w:t>
      </w:r>
      <w:r>
        <w:rPr/>
        <w:t>a</w:t>
      </w:r>
      <w:r>
        <w:rPr>
          <w:spacing w:val="-9"/>
        </w:rPr>
        <w:t> </w:t>
      </w:r>
      <w:r>
        <w:rPr/>
        <w:t>sostenere e rafforzare il sistema sanitario universale. L’impegno aggiuntivo necessario alla riduzione</w:t>
      </w:r>
      <w:r>
        <w:rPr>
          <w:spacing w:val="-5"/>
        </w:rPr>
        <w:t> </w:t>
      </w:r>
      <w:r>
        <w:rPr/>
        <w:t>del</w:t>
      </w:r>
      <w:r>
        <w:rPr>
          <w:spacing w:val="-4"/>
        </w:rPr>
        <w:t> </w:t>
      </w:r>
      <w:r>
        <w:rPr/>
        <w:t>cuneo</w:t>
      </w:r>
      <w:r>
        <w:rPr>
          <w:spacing w:val="-4"/>
        </w:rPr>
        <w:t> </w:t>
      </w:r>
      <w:r>
        <w:rPr/>
        <w:t>fiscale</w:t>
      </w:r>
      <w:r>
        <w:rPr>
          <w:spacing w:val="-5"/>
        </w:rPr>
        <w:t> </w:t>
      </w:r>
      <w:r>
        <w:rPr/>
        <w:t>nel</w:t>
      </w:r>
      <w:r>
        <w:rPr>
          <w:spacing w:val="-3"/>
        </w:rPr>
        <w:t> </w:t>
      </w:r>
      <w:r>
        <w:rPr/>
        <w:t>2020</w:t>
      </w:r>
      <w:r>
        <w:rPr>
          <w:spacing w:val="-5"/>
        </w:rPr>
        <w:t> </w:t>
      </w:r>
      <w:r>
        <w:rPr/>
        <w:t>è</w:t>
      </w:r>
      <w:r>
        <w:rPr>
          <w:spacing w:val="-4"/>
        </w:rPr>
        <w:t> </w:t>
      </w:r>
      <w:r>
        <w:rPr/>
        <w:t>valutato</w:t>
      </w:r>
      <w:r>
        <w:rPr>
          <w:spacing w:val="-4"/>
        </w:rPr>
        <w:t> </w:t>
      </w:r>
      <w:r>
        <w:rPr/>
        <w:t>in</w:t>
      </w:r>
      <w:r>
        <w:rPr>
          <w:spacing w:val="-5"/>
        </w:rPr>
        <w:t> </w:t>
      </w:r>
      <w:r>
        <w:rPr/>
        <w:t>0,15</w:t>
      </w:r>
      <w:r>
        <w:rPr>
          <w:spacing w:val="-4"/>
        </w:rPr>
        <w:t> </w:t>
      </w:r>
      <w:r>
        <w:rPr/>
        <w:t>punti</w:t>
      </w:r>
      <w:r>
        <w:rPr>
          <w:spacing w:val="-5"/>
        </w:rPr>
        <w:t> </w:t>
      </w:r>
      <w:r>
        <w:rPr/>
        <w:t>percentuali</w:t>
      </w:r>
      <w:r>
        <w:rPr>
          <w:spacing w:val="-5"/>
        </w:rPr>
        <w:t> </w:t>
      </w:r>
      <w:r>
        <w:rPr/>
        <w:t>di</w:t>
      </w:r>
      <w:r>
        <w:rPr>
          <w:spacing w:val="-4"/>
        </w:rPr>
        <w:t> </w:t>
      </w:r>
      <w:r>
        <w:rPr/>
        <w:t>PIL,</w:t>
      </w:r>
      <w:r>
        <w:rPr>
          <w:spacing w:val="-6"/>
        </w:rPr>
        <w:t> </w:t>
      </w:r>
      <w:r>
        <w:rPr/>
        <w:t>che saliranno a 0,3 punti nel</w:t>
      </w:r>
      <w:r>
        <w:rPr>
          <w:spacing w:val="-3"/>
        </w:rPr>
        <w:t> </w:t>
      </w:r>
      <w:r>
        <w:rPr/>
        <w:t>2021.</w:t>
      </w:r>
    </w:p>
    <w:p>
      <w:pPr>
        <w:pStyle w:val="BodyText"/>
        <w:spacing w:line="252" w:lineRule="auto"/>
        <w:ind w:left="1128" w:right="1417" w:firstLine="453"/>
        <w:jc w:val="both"/>
      </w:pPr>
      <w:r>
        <w:rPr/>
        <w:t>Le risorse per il finanziamento degli interventi previsti dalla manovra di bilancio per il 2020 sono pari a quasi lo 0,8 per cento del PIL e saranno assicurate dai seguenti ambiti di intervento:</w:t>
      </w:r>
    </w:p>
    <w:p>
      <w:pPr>
        <w:pStyle w:val="BodyText"/>
        <w:spacing w:before="1"/>
        <w:rPr>
          <w:sz w:val="23"/>
        </w:rPr>
      </w:pPr>
    </w:p>
    <w:p>
      <w:pPr>
        <w:pStyle w:val="ListParagraph"/>
        <w:numPr>
          <w:ilvl w:val="2"/>
          <w:numId w:val="2"/>
        </w:numPr>
        <w:tabs>
          <w:tab w:pos="1582" w:val="left" w:leader="none"/>
        </w:tabs>
        <w:spacing w:line="252" w:lineRule="auto" w:before="0" w:after="0"/>
        <w:ind w:left="1582" w:right="1411" w:hanging="454"/>
        <w:jc w:val="both"/>
        <w:rPr>
          <w:sz w:val="22"/>
        </w:rPr>
      </w:pPr>
      <w:r>
        <w:rPr>
          <w:sz w:val="22"/>
        </w:rPr>
        <w:t>Misure di efficientamento della spesa pubblica e di revisione o soppressione di disposizioni normative vigenti in relazione alla loro efficacia o priorità, per un risparmio di oltre 0,1 punti percentuali di</w:t>
      </w:r>
      <w:r>
        <w:rPr>
          <w:spacing w:val="-6"/>
          <w:sz w:val="22"/>
        </w:rPr>
        <w:t> </w:t>
      </w:r>
      <w:r>
        <w:rPr>
          <w:sz w:val="22"/>
        </w:rPr>
        <w:t>PIL.</w:t>
      </w:r>
    </w:p>
    <w:p>
      <w:pPr>
        <w:pStyle w:val="ListParagraph"/>
        <w:numPr>
          <w:ilvl w:val="2"/>
          <w:numId w:val="2"/>
        </w:numPr>
        <w:tabs>
          <w:tab w:pos="1582" w:val="left" w:leader="none"/>
        </w:tabs>
        <w:spacing w:line="252" w:lineRule="auto" w:before="0" w:after="0"/>
        <w:ind w:left="1582" w:right="1413" w:hanging="454"/>
        <w:jc w:val="both"/>
        <w:rPr>
          <w:sz w:val="22"/>
        </w:rPr>
      </w:pPr>
      <w:r>
        <w:rPr>
          <w:sz w:val="22"/>
        </w:rPr>
        <w:t>Nuove misure di contrasto all’evasione e alle frodi fiscali, nonché interventi per il recupero del gettito tributario anche attraverso una maggiore diffusione dell’utilizzo di strumenti di pagamento tracciabili, per un incremento totale del gettito pari allo 0,4 per cento del</w:t>
      </w:r>
      <w:r>
        <w:rPr>
          <w:spacing w:val="-4"/>
          <w:sz w:val="22"/>
        </w:rPr>
        <w:t> </w:t>
      </w:r>
      <w:r>
        <w:rPr>
          <w:sz w:val="22"/>
        </w:rPr>
        <w:t>PIL.</w:t>
      </w:r>
    </w:p>
    <w:p>
      <w:pPr>
        <w:pStyle w:val="ListParagraph"/>
        <w:numPr>
          <w:ilvl w:val="2"/>
          <w:numId w:val="2"/>
        </w:numPr>
        <w:tabs>
          <w:tab w:pos="1582" w:val="left" w:leader="none"/>
        </w:tabs>
        <w:spacing w:line="252" w:lineRule="auto" w:before="0" w:after="0"/>
        <w:ind w:left="1582" w:right="1415" w:hanging="454"/>
        <w:jc w:val="both"/>
        <w:rPr>
          <w:sz w:val="22"/>
        </w:rPr>
      </w:pPr>
      <w:r>
        <w:rPr>
          <w:sz w:val="22"/>
        </w:rPr>
        <w:t>Riduzione delle spese fiscali e dei sussidi dannosi per l’ambiente e nuove imposte ambientali, che nel complesso aumenterebbero il gettito di circa lo 0,1 per cento del</w:t>
      </w:r>
      <w:r>
        <w:rPr>
          <w:spacing w:val="-4"/>
          <w:sz w:val="22"/>
        </w:rPr>
        <w:t> </w:t>
      </w:r>
      <w:r>
        <w:rPr>
          <w:sz w:val="22"/>
        </w:rPr>
        <w:t>PIL.</w:t>
      </w:r>
    </w:p>
    <w:p>
      <w:pPr>
        <w:pStyle w:val="ListParagraph"/>
        <w:numPr>
          <w:ilvl w:val="2"/>
          <w:numId w:val="2"/>
        </w:numPr>
        <w:tabs>
          <w:tab w:pos="1582" w:val="left" w:leader="none"/>
        </w:tabs>
        <w:spacing w:line="240" w:lineRule="auto" w:before="0" w:after="0"/>
        <w:ind w:left="1582" w:right="0" w:hanging="454"/>
        <w:jc w:val="both"/>
        <w:rPr>
          <w:sz w:val="22"/>
        </w:rPr>
      </w:pPr>
      <w:r>
        <w:rPr>
          <w:sz w:val="22"/>
        </w:rPr>
        <w:t>Altre misure fiscali, fra cui la proroga dell’imposta sostitutiva</w:t>
      </w:r>
      <w:r>
        <w:rPr>
          <w:spacing w:val="51"/>
          <w:sz w:val="22"/>
        </w:rPr>
        <w:t> </w:t>
      </w:r>
      <w:r>
        <w:rPr>
          <w:sz w:val="22"/>
        </w:rPr>
        <w:t>sulla</w:t>
      </w:r>
    </w:p>
    <w:p>
      <w:pPr>
        <w:pStyle w:val="BodyText"/>
        <w:spacing w:before="12"/>
        <w:ind w:left="1582"/>
        <w:jc w:val="both"/>
      </w:pPr>
      <w:r>
        <w:rPr/>
        <w:t>rivalutazione di terreni e partecipazioni, per oltre 0,1 punti percentuali di PIL.</w:t>
      </w:r>
    </w:p>
    <w:p>
      <w:pPr>
        <w:spacing w:after="0"/>
        <w:jc w:val="both"/>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278" w:right="2263" w:firstLine="453"/>
        <w:jc w:val="both"/>
      </w:pPr>
      <w:r>
        <w:rPr/>
        <w:t>Il sentiero dell’indebitamento netto programmatico in rapporto al PIL prevede una</w:t>
      </w:r>
      <w:r>
        <w:rPr>
          <w:spacing w:val="-20"/>
        </w:rPr>
        <w:t> </w:t>
      </w:r>
      <w:r>
        <w:rPr/>
        <w:t>discesa</w:t>
      </w:r>
      <w:r>
        <w:rPr>
          <w:spacing w:val="-19"/>
        </w:rPr>
        <w:t> </w:t>
      </w:r>
      <w:r>
        <w:rPr/>
        <w:t>all’1,8</w:t>
      </w:r>
      <w:r>
        <w:rPr>
          <w:spacing w:val="-18"/>
        </w:rPr>
        <w:t> </w:t>
      </w:r>
      <w:r>
        <w:rPr/>
        <w:t>per</w:t>
      </w:r>
      <w:r>
        <w:rPr>
          <w:spacing w:val="-18"/>
        </w:rPr>
        <w:t> </w:t>
      </w:r>
      <w:r>
        <w:rPr/>
        <w:t>cento</w:t>
      </w:r>
      <w:r>
        <w:rPr>
          <w:spacing w:val="-20"/>
        </w:rPr>
        <w:t> </w:t>
      </w:r>
      <w:r>
        <w:rPr/>
        <w:t>nel</w:t>
      </w:r>
      <w:r>
        <w:rPr>
          <w:spacing w:val="-19"/>
        </w:rPr>
        <w:t> </w:t>
      </w:r>
      <w:r>
        <w:rPr/>
        <w:t>2021</w:t>
      </w:r>
      <w:r>
        <w:rPr>
          <w:spacing w:val="-20"/>
        </w:rPr>
        <w:t> </w:t>
      </w:r>
      <w:r>
        <w:rPr/>
        <w:t>e</w:t>
      </w:r>
      <w:r>
        <w:rPr>
          <w:spacing w:val="-19"/>
        </w:rPr>
        <w:t> </w:t>
      </w:r>
      <w:r>
        <w:rPr/>
        <w:t>all’1,4</w:t>
      </w:r>
      <w:r>
        <w:rPr>
          <w:spacing w:val="-18"/>
        </w:rPr>
        <w:t> </w:t>
      </w:r>
      <w:r>
        <w:rPr/>
        <w:t>per</w:t>
      </w:r>
      <w:r>
        <w:rPr>
          <w:spacing w:val="-19"/>
        </w:rPr>
        <w:t> </w:t>
      </w:r>
      <w:r>
        <w:rPr/>
        <w:t>cento</w:t>
      </w:r>
      <w:r>
        <w:rPr>
          <w:spacing w:val="-19"/>
        </w:rPr>
        <w:t> </w:t>
      </w:r>
      <w:r>
        <w:rPr/>
        <w:t>nel</w:t>
      </w:r>
      <w:r>
        <w:rPr>
          <w:spacing w:val="-19"/>
        </w:rPr>
        <w:t> </w:t>
      </w:r>
      <w:r>
        <w:rPr/>
        <w:t>2022.</w:t>
      </w:r>
      <w:r>
        <w:rPr>
          <w:spacing w:val="-18"/>
        </w:rPr>
        <w:t> </w:t>
      </w:r>
      <w:r>
        <w:rPr/>
        <w:t>In</w:t>
      </w:r>
      <w:r>
        <w:rPr>
          <w:spacing w:val="-20"/>
        </w:rPr>
        <w:t> </w:t>
      </w:r>
      <w:r>
        <w:rPr/>
        <w:t>corrispondenza di tali saldi, l’avanzo primario (ovvero il saldo di bilancio esclusi i pagamenti per interessi) passerebbe dall’1,3 per cento di quest’anno all’1,1 per cento nel 2020, per poi migliorare nei due anni successivi, fino all’1,6 per cento nel</w:t>
      </w:r>
      <w:r>
        <w:rPr>
          <w:spacing w:val="-18"/>
        </w:rPr>
        <w:t> </w:t>
      </w:r>
      <w:r>
        <w:rPr/>
        <w:t>2022.</w:t>
      </w:r>
    </w:p>
    <w:p>
      <w:pPr>
        <w:pStyle w:val="BodyText"/>
        <w:spacing w:before="2"/>
        <w:rPr>
          <w:sz w:val="23"/>
        </w:rPr>
      </w:pPr>
    </w:p>
    <w:p>
      <w:pPr>
        <w:pStyle w:val="BodyText"/>
        <w:spacing w:line="252" w:lineRule="auto" w:before="1"/>
        <w:ind w:left="278" w:right="2261" w:firstLine="453"/>
        <w:jc w:val="both"/>
      </w:pPr>
      <w:r>
        <w:rPr/>
        <w:t>Venendo alla previsione macroeconomica, l’intonazione della politica fiscale dello scenario programmatico è meno restrittiva nel 2020 e 2021 in confronto allo scenario tendenziale. In particolare, nel 2020 non ha luogo l’elevato aumento dell’IVA</w:t>
      </w:r>
      <w:r>
        <w:rPr>
          <w:spacing w:val="-10"/>
        </w:rPr>
        <w:t> </w:t>
      </w:r>
      <w:r>
        <w:rPr/>
        <w:t>previsto</w:t>
      </w:r>
      <w:r>
        <w:rPr>
          <w:spacing w:val="-11"/>
        </w:rPr>
        <w:t> </w:t>
      </w:r>
      <w:r>
        <w:rPr/>
        <w:t>dalla</w:t>
      </w:r>
      <w:r>
        <w:rPr>
          <w:spacing w:val="-10"/>
        </w:rPr>
        <w:t> </w:t>
      </w:r>
      <w:r>
        <w:rPr/>
        <w:t>legislazione</w:t>
      </w:r>
      <w:r>
        <w:rPr>
          <w:spacing w:val="-11"/>
        </w:rPr>
        <w:t> </w:t>
      </w:r>
      <w:r>
        <w:rPr/>
        <w:t>vigente</w:t>
      </w:r>
      <w:r>
        <w:rPr>
          <w:spacing w:val="-10"/>
        </w:rPr>
        <w:t> </w:t>
      </w:r>
      <w:r>
        <w:rPr/>
        <w:t>e</w:t>
      </w:r>
      <w:r>
        <w:rPr>
          <w:spacing w:val="-9"/>
        </w:rPr>
        <w:t> </w:t>
      </w:r>
      <w:r>
        <w:rPr/>
        <w:t>discusso</w:t>
      </w:r>
      <w:r>
        <w:rPr>
          <w:spacing w:val="-11"/>
        </w:rPr>
        <w:t> </w:t>
      </w:r>
      <w:r>
        <w:rPr/>
        <w:t>nel</w:t>
      </w:r>
      <w:r>
        <w:rPr>
          <w:spacing w:val="-10"/>
        </w:rPr>
        <w:t> </w:t>
      </w:r>
      <w:r>
        <w:rPr/>
        <w:t>precedente</w:t>
      </w:r>
      <w:r>
        <w:rPr>
          <w:spacing w:val="-10"/>
        </w:rPr>
        <w:t> </w:t>
      </w:r>
      <w:r>
        <w:rPr/>
        <w:t>paragrafo.</w:t>
      </w:r>
      <w:r>
        <w:rPr>
          <w:spacing w:val="-9"/>
        </w:rPr>
        <w:t> </w:t>
      </w:r>
      <w:r>
        <w:rPr/>
        <w:t>Ciò porta da un lato ad una maggiore crescita della domanda interna e, dall’altro, ad un incremento più contenuto dei deflatori dei consumi e del PIL. L’effetto netto è positivo sul PIL reale e su altre variabili macroeconomiche quali l’occupazione, ma riduce lievemente il PIL nominale. La crescita del PIL reale nel 2020 è prevista allo 0,6</w:t>
      </w:r>
      <w:r>
        <w:rPr>
          <w:spacing w:val="-10"/>
        </w:rPr>
        <w:t> </w:t>
      </w:r>
      <w:r>
        <w:rPr/>
        <w:t>per</w:t>
      </w:r>
      <w:r>
        <w:rPr>
          <w:spacing w:val="-12"/>
        </w:rPr>
        <w:t> </w:t>
      </w:r>
      <w:r>
        <w:rPr/>
        <w:t>cento,</w:t>
      </w:r>
      <w:r>
        <w:rPr>
          <w:spacing w:val="-8"/>
        </w:rPr>
        <w:t> </w:t>
      </w:r>
      <w:r>
        <w:rPr/>
        <w:t>mentre</w:t>
      </w:r>
      <w:r>
        <w:rPr>
          <w:spacing w:val="-12"/>
        </w:rPr>
        <w:t> </w:t>
      </w:r>
      <w:r>
        <w:rPr/>
        <w:t>il</w:t>
      </w:r>
      <w:r>
        <w:rPr>
          <w:spacing w:val="-13"/>
        </w:rPr>
        <w:t> </w:t>
      </w:r>
      <w:r>
        <w:rPr/>
        <w:t>PIL</w:t>
      </w:r>
      <w:r>
        <w:rPr>
          <w:spacing w:val="-8"/>
        </w:rPr>
        <w:t> </w:t>
      </w:r>
      <w:r>
        <w:rPr/>
        <w:t>nominale</w:t>
      </w:r>
      <w:r>
        <w:rPr>
          <w:spacing w:val="-13"/>
        </w:rPr>
        <w:t> </w:t>
      </w:r>
      <w:r>
        <w:rPr/>
        <w:t>crescerebbe</w:t>
      </w:r>
      <w:r>
        <w:rPr>
          <w:spacing w:val="-9"/>
        </w:rPr>
        <w:t> </w:t>
      </w:r>
      <w:r>
        <w:rPr/>
        <w:t>del</w:t>
      </w:r>
      <w:r>
        <w:rPr>
          <w:spacing w:val="-10"/>
        </w:rPr>
        <w:t> </w:t>
      </w:r>
      <w:r>
        <w:rPr/>
        <w:t>2,0</w:t>
      </w:r>
      <w:r>
        <w:rPr>
          <w:spacing w:val="-13"/>
        </w:rPr>
        <w:t> </w:t>
      </w:r>
      <w:r>
        <w:rPr/>
        <w:t>per</w:t>
      </w:r>
      <w:r>
        <w:rPr>
          <w:spacing w:val="-11"/>
        </w:rPr>
        <w:t> </w:t>
      </w:r>
      <w:r>
        <w:rPr/>
        <w:t>cento.</w:t>
      </w:r>
      <w:r>
        <w:rPr>
          <w:spacing w:val="-12"/>
        </w:rPr>
        <w:t> </w:t>
      </w:r>
      <w:r>
        <w:rPr/>
        <w:t>L’occupazione aumenterebbe</w:t>
      </w:r>
      <w:r>
        <w:rPr>
          <w:spacing w:val="-8"/>
        </w:rPr>
        <w:t> </w:t>
      </w:r>
      <w:r>
        <w:rPr/>
        <w:t>di</w:t>
      </w:r>
      <w:r>
        <w:rPr>
          <w:spacing w:val="-8"/>
        </w:rPr>
        <w:t> </w:t>
      </w:r>
      <w:r>
        <w:rPr/>
        <w:t>un</w:t>
      </w:r>
      <w:r>
        <w:rPr>
          <w:spacing w:val="-8"/>
        </w:rPr>
        <w:t> </w:t>
      </w:r>
      <w:r>
        <w:rPr/>
        <w:t>decimo</w:t>
      </w:r>
      <w:r>
        <w:rPr>
          <w:spacing w:val="-8"/>
        </w:rPr>
        <w:t> </w:t>
      </w:r>
      <w:r>
        <w:rPr/>
        <w:t>di</w:t>
      </w:r>
      <w:r>
        <w:rPr>
          <w:spacing w:val="-7"/>
        </w:rPr>
        <w:t> </w:t>
      </w:r>
      <w:r>
        <w:rPr/>
        <w:t>punto</w:t>
      </w:r>
      <w:r>
        <w:rPr>
          <w:spacing w:val="-8"/>
        </w:rPr>
        <w:t> </w:t>
      </w:r>
      <w:r>
        <w:rPr/>
        <w:t>in</w:t>
      </w:r>
      <w:r>
        <w:rPr>
          <w:spacing w:val="-8"/>
        </w:rPr>
        <w:t> </w:t>
      </w:r>
      <w:r>
        <w:rPr/>
        <w:t>più</w:t>
      </w:r>
      <w:r>
        <w:rPr>
          <w:spacing w:val="-8"/>
        </w:rPr>
        <w:t> </w:t>
      </w:r>
      <w:r>
        <w:rPr/>
        <w:t>rispetto</w:t>
      </w:r>
      <w:r>
        <w:rPr>
          <w:spacing w:val="-8"/>
        </w:rPr>
        <w:t> </w:t>
      </w:r>
      <w:r>
        <w:rPr/>
        <w:t>al</w:t>
      </w:r>
      <w:r>
        <w:rPr>
          <w:spacing w:val="-7"/>
        </w:rPr>
        <w:t> </w:t>
      </w:r>
      <w:r>
        <w:rPr/>
        <w:t>tendenziale,</w:t>
      </w:r>
      <w:r>
        <w:rPr>
          <w:spacing w:val="-7"/>
        </w:rPr>
        <w:t> </w:t>
      </w:r>
      <w:r>
        <w:rPr/>
        <w:t>sia</w:t>
      </w:r>
      <w:r>
        <w:rPr>
          <w:spacing w:val="-8"/>
        </w:rPr>
        <w:t> </w:t>
      </w:r>
      <w:r>
        <w:rPr/>
        <w:t>in</w:t>
      </w:r>
      <w:r>
        <w:rPr>
          <w:spacing w:val="-11"/>
        </w:rPr>
        <w:t> </w:t>
      </w:r>
      <w:r>
        <w:rPr/>
        <w:t>termini</w:t>
      </w:r>
      <w:r>
        <w:rPr>
          <w:spacing w:val="-7"/>
        </w:rPr>
        <w:t> </w:t>
      </w:r>
      <w:r>
        <w:rPr/>
        <w:t>di occupati che di ore lavorate. Il surplus di partite correnti sarebbe leggermente inferiore a causa del maggiore incremento della domanda</w:t>
      </w:r>
      <w:r>
        <w:rPr>
          <w:spacing w:val="-15"/>
        </w:rPr>
        <w:t> </w:t>
      </w:r>
      <w:r>
        <w:rPr/>
        <w:t>interna.</w:t>
      </w:r>
    </w:p>
    <w:p>
      <w:pPr>
        <w:pStyle w:val="BodyText"/>
        <w:spacing w:line="252" w:lineRule="auto"/>
        <w:ind w:left="278" w:right="2261" w:firstLine="453"/>
        <w:jc w:val="both"/>
      </w:pPr>
      <w:r>
        <w:rPr/>
        <w:t>Nei due anni seguenti, in corrispondenza di una riduzione degli obiettivi di indebitamento netto di maggiore entità in confronto alle stime tendenziali, ma distribuita in misura più equilibrata su ciascun anno, il tasso di crescita del PIL si attesterebbe all’1,0 per cento, grazie ad un contributo complessivo della domanda interna leggermente più elevato in confronto al 2020 e ad una ripresa più decisa della produzione (e quindi un apporto della variazione delle scorte leggermente positivo) nel 2021.</w:t>
      </w:r>
    </w:p>
    <w:p>
      <w:pPr>
        <w:pStyle w:val="BodyText"/>
        <w:spacing w:before="10" w:after="1"/>
        <w:rPr>
          <w:sz w:val="23"/>
        </w:rPr>
      </w:pPr>
    </w:p>
    <w:tbl>
      <w:tblPr>
        <w:tblW w:w="0" w:type="auto"/>
        <w:jc w:val="left"/>
        <w:tblInd w:w="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82"/>
        <w:gridCol w:w="1394"/>
        <w:gridCol w:w="786"/>
        <w:gridCol w:w="786"/>
        <w:gridCol w:w="785"/>
        <w:gridCol w:w="788"/>
      </w:tblGrid>
      <w:tr>
        <w:trPr>
          <w:trHeight w:val="509" w:hRule="atLeast"/>
        </w:trPr>
        <w:tc>
          <w:tcPr>
            <w:tcW w:w="8221" w:type="dxa"/>
            <w:gridSpan w:val="6"/>
            <w:shd w:val="clear" w:color="auto" w:fill="006247"/>
          </w:tcPr>
          <w:p>
            <w:pPr>
              <w:pStyle w:val="TableParagraph"/>
              <w:spacing w:line="223" w:lineRule="auto" w:before="73"/>
              <w:ind w:left="98"/>
              <w:jc w:val="left"/>
              <w:rPr>
                <w:rFonts w:ascii="Franklin Gothic Heavy"/>
                <w:b/>
                <w:sz w:val="17"/>
              </w:rPr>
            </w:pPr>
            <w:r>
              <w:rPr>
                <w:rFonts w:ascii="Franklin Gothic Heavy"/>
                <w:b/>
                <w:color w:val="EFEFEF"/>
                <w:sz w:val="17"/>
              </w:rPr>
              <w:t>TAVOLA I.2: QUADRO MACROECONOMICO PROGRAMMATICO (variazioni percentuali, salvo ove non diversamente indicato)</w:t>
            </w:r>
          </w:p>
        </w:tc>
      </w:tr>
      <w:tr>
        <w:trPr>
          <w:trHeight w:val="316" w:hRule="atLeast"/>
        </w:trPr>
        <w:tc>
          <w:tcPr>
            <w:tcW w:w="3682" w:type="dxa"/>
            <w:tcBorders>
              <w:bottom w:val="single" w:sz="8" w:space="0" w:color="000000"/>
            </w:tcBorders>
          </w:tcPr>
          <w:p>
            <w:pPr>
              <w:pStyle w:val="TableParagraph"/>
              <w:jc w:val="left"/>
              <w:rPr>
                <w:rFonts w:ascii="Times New Roman"/>
                <w:sz w:val="20"/>
              </w:rPr>
            </w:pPr>
          </w:p>
        </w:tc>
        <w:tc>
          <w:tcPr>
            <w:tcW w:w="1394" w:type="dxa"/>
            <w:tcBorders>
              <w:bottom w:val="single" w:sz="8" w:space="0" w:color="000000"/>
            </w:tcBorders>
          </w:tcPr>
          <w:p>
            <w:pPr>
              <w:pStyle w:val="TableParagraph"/>
              <w:spacing w:before="55"/>
              <w:ind w:right="190"/>
              <w:rPr>
                <w:sz w:val="17"/>
              </w:rPr>
            </w:pPr>
            <w:r>
              <w:rPr>
                <w:sz w:val="17"/>
              </w:rPr>
              <w:t>2018</w:t>
            </w:r>
          </w:p>
        </w:tc>
        <w:tc>
          <w:tcPr>
            <w:tcW w:w="786" w:type="dxa"/>
            <w:tcBorders>
              <w:bottom w:val="single" w:sz="8" w:space="0" w:color="000000"/>
            </w:tcBorders>
          </w:tcPr>
          <w:p>
            <w:pPr>
              <w:pStyle w:val="TableParagraph"/>
              <w:spacing w:before="55"/>
              <w:ind w:left="172" w:right="172"/>
              <w:jc w:val="center"/>
              <w:rPr>
                <w:sz w:val="17"/>
              </w:rPr>
            </w:pPr>
            <w:r>
              <w:rPr>
                <w:sz w:val="17"/>
              </w:rPr>
              <w:t>2019</w:t>
            </w:r>
          </w:p>
        </w:tc>
        <w:tc>
          <w:tcPr>
            <w:tcW w:w="786" w:type="dxa"/>
            <w:tcBorders>
              <w:bottom w:val="single" w:sz="8" w:space="0" w:color="000000"/>
            </w:tcBorders>
          </w:tcPr>
          <w:p>
            <w:pPr>
              <w:pStyle w:val="TableParagraph"/>
              <w:spacing w:before="55"/>
              <w:ind w:right="190"/>
              <w:rPr>
                <w:sz w:val="17"/>
              </w:rPr>
            </w:pPr>
            <w:r>
              <w:rPr>
                <w:sz w:val="17"/>
              </w:rPr>
              <w:t>2020</w:t>
            </w:r>
          </w:p>
        </w:tc>
        <w:tc>
          <w:tcPr>
            <w:tcW w:w="785" w:type="dxa"/>
            <w:tcBorders>
              <w:bottom w:val="single" w:sz="8" w:space="0" w:color="000000"/>
            </w:tcBorders>
          </w:tcPr>
          <w:p>
            <w:pPr>
              <w:pStyle w:val="TableParagraph"/>
              <w:spacing w:before="55"/>
              <w:ind w:left="173" w:right="173"/>
              <w:jc w:val="center"/>
              <w:rPr>
                <w:sz w:val="17"/>
              </w:rPr>
            </w:pPr>
            <w:r>
              <w:rPr>
                <w:sz w:val="17"/>
              </w:rPr>
              <w:t>2021</w:t>
            </w:r>
          </w:p>
        </w:tc>
        <w:tc>
          <w:tcPr>
            <w:tcW w:w="788" w:type="dxa"/>
            <w:tcBorders>
              <w:bottom w:val="single" w:sz="8" w:space="0" w:color="000000"/>
            </w:tcBorders>
          </w:tcPr>
          <w:p>
            <w:pPr>
              <w:pStyle w:val="TableParagraph"/>
              <w:spacing w:before="55"/>
              <w:ind w:left="174" w:right="175"/>
              <w:jc w:val="center"/>
              <w:rPr>
                <w:sz w:val="17"/>
              </w:rPr>
            </w:pPr>
            <w:r>
              <w:rPr>
                <w:sz w:val="17"/>
              </w:rPr>
              <w:t>2022</w:t>
            </w:r>
          </w:p>
        </w:tc>
      </w:tr>
      <w:tr>
        <w:trPr>
          <w:trHeight w:val="282" w:hRule="atLeast"/>
        </w:trPr>
        <w:tc>
          <w:tcPr>
            <w:tcW w:w="3682" w:type="dxa"/>
            <w:tcBorders>
              <w:top w:val="single" w:sz="8" w:space="0" w:color="000000"/>
            </w:tcBorders>
          </w:tcPr>
          <w:p>
            <w:pPr>
              <w:pStyle w:val="TableParagraph"/>
              <w:spacing w:before="35"/>
              <w:ind w:left="69"/>
              <w:jc w:val="left"/>
              <w:rPr>
                <w:sz w:val="17"/>
              </w:rPr>
            </w:pPr>
            <w:r>
              <w:rPr>
                <w:sz w:val="17"/>
              </w:rPr>
              <w:t>PIL</w:t>
            </w:r>
          </w:p>
        </w:tc>
        <w:tc>
          <w:tcPr>
            <w:tcW w:w="1394" w:type="dxa"/>
            <w:tcBorders>
              <w:top w:val="single" w:sz="8" w:space="0" w:color="000000"/>
            </w:tcBorders>
          </w:tcPr>
          <w:p>
            <w:pPr>
              <w:pStyle w:val="TableParagraph"/>
              <w:spacing w:before="35"/>
              <w:ind w:right="267"/>
              <w:rPr>
                <w:sz w:val="17"/>
              </w:rPr>
            </w:pPr>
            <w:r>
              <w:rPr>
                <w:sz w:val="17"/>
              </w:rPr>
              <w:t>0,8</w:t>
            </w:r>
          </w:p>
        </w:tc>
        <w:tc>
          <w:tcPr>
            <w:tcW w:w="786" w:type="dxa"/>
            <w:tcBorders>
              <w:top w:val="single" w:sz="8" w:space="0" w:color="000000"/>
            </w:tcBorders>
          </w:tcPr>
          <w:p>
            <w:pPr>
              <w:pStyle w:val="TableParagraph"/>
              <w:spacing w:before="35"/>
              <w:ind w:left="173" w:right="172"/>
              <w:jc w:val="center"/>
              <w:rPr>
                <w:sz w:val="17"/>
              </w:rPr>
            </w:pPr>
            <w:r>
              <w:rPr>
                <w:sz w:val="17"/>
              </w:rPr>
              <w:t>0,1</w:t>
            </w:r>
          </w:p>
        </w:tc>
        <w:tc>
          <w:tcPr>
            <w:tcW w:w="786" w:type="dxa"/>
            <w:tcBorders>
              <w:top w:val="single" w:sz="8" w:space="0" w:color="000000"/>
            </w:tcBorders>
          </w:tcPr>
          <w:p>
            <w:pPr>
              <w:pStyle w:val="TableParagraph"/>
              <w:spacing w:before="35"/>
              <w:ind w:left="173" w:right="169"/>
              <w:jc w:val="center"/>
              <w:rPr>
                <w:sz w:val="17"/>
              </w:rPr>
            </w:pPr>
            <w:r>
              <w:rPr>
                <w:sz w:val="17"/>
              </w:rPr>
              <w:t>0,6</w:t>
            </w:r>
          </w:p>
        </w:tc>
        <w:tc>
          <w:tcPr>
            <w:tcW w:w="785" w:type="dxa"/>
            <w:tcBorders>
              <w:top w:val="single" w:sz="8" w:space="0" w:color="000000"/>
            </w:tcBorders>
          </w:tcPr>
          <w:p>
            <w:pPr>
              <w:pStyle w:val="TableParagraph"/>
              <w:spacing w:before="35"/>
              <w:ind w:left="173" w:right="171"/>
              <w:jc w:val="center"/>
              <w:rPr>
                <w:sz w:val="17"/>
              </w:rPr>
            </w:pPr>
            <w:r>
              <w:rPr>
                <w:sz w:val="17"/>
              </w:rPr>
              <w:t>1,0</w:t>
            </w:r>
          </w:p>
        </w:tc>
        <w:tc>
          <w:tcPr>
            <w:tcW w:w="788" w:type="dxa"/>
            <w:tcBorders>
              <w:top w:val="single" w:sz="8" w:space="0" w:color="000000"/>
            </w:tcBorders>
          </w:tcPr>
          <w:p>
            <w:pPr>
              <w:pStyle w:val="TableParagraph"/>
              <w:spacing w:before="35"/>
              <w:ind w:left="174" w:right="174"/>
              <w:jc w:val="center"/>
              <w:rPr>
                <w:sz w:val="17"/>
              </w:rPr>
            </w:pPr>
            <w:r>
              <w:rPr>
                <w:sz w:val="17"/>
              </w:rPr>
              <w:t>1,0</w:t>
            </w:r>
          </w:p>
        </w:tc>
      </w:tr>
      <w:tr>
        <w:trPr>
          <w:trHeight w:val="300" w:hRule="atLeast"/>
        </w:trPr>
        <w:tc>
          <w:tcPr>
            <w:tcW w:w="3682" w:type="dxa"/>
          </w:tcPr>
          <w:p>
            <w:pPr>
              <w:pStyle w:val="TableParagraph"/>
              <w:spacing w:before="53"/>
              <w:ind w:left="69"/>
              <w:jc w:val="left"/>
              <w:rPr>
                <w:sz w:val="17"/>
              </w:rPr>
            </w:pPr>
            <w:r>
              <w:rPr>
                <w:sz w:val="17"/>
              </w:rPr>
              <w:t>Deflatore PIL</w:t>
            </w:r>
          </w:p>
        </w:tc>
        <w:tc>
          <w:tcPr>
            <w:tcW w:w="1394" w:type="dxa"/>
          </w:tcPr>
          <w:p>
            <w:pPr>
              <w:pStyle w:val="TableParagraph"/>
              <w:spacing w:before="53"/>
              <w:ind w:right="267"/>
              <w:rPr>
                <w:sz w:val="17"/>
              </w:rPr>
            </w:pPr>
            <w:r>
              <w:rPr>
                <w:sz w:val="17"/>
              </w:rPr>
              <w:t>0,9</w:t>
            </w:r>
          </w:p>
        </w:tc>
        <w:tc>
          <w:tcPr>
            <w:tcW w:w="786" w:type="dxa"/>
          </w:tcPr>
          <w:p>
            <w:pPr>
              <w:pStyle w:val="TableParagraph"/>
              <w:spacing w:before="53"/>
              <w:ind w:left="173" w:right="172"/>
              <w:jc w:val="center"/>
              <w:rPr>
                <w:sz w:val="17"/>
              </w:rPr>
            </w:pPr>
            <w:r>
              <w:rPr>
                <w:sz w:val="17"/>
              </w:rPr>
              <w:t>0,9</w:t>
            </w:r>
          </w:p>
        </w:tc>
        <w:tc>
          <w:tcPr>
            <w:tcW w:w="786" w:type="dxa"/>
          </w:tcPr>
          <w:p>
            <w:pPr>
              <w:pStyle w:val="TableParagraph"/>
              <w:spacing w:before="53"/>
              <w:ind w:left="173" w:right="169"/>
              <w:jc w:val="center"/>
              <w:rPr>
                <w:sz w:val="17"/>
              </w:rPr>
            </w:pPr>
            <w:r>
              <w:rPr>
                <w:sz w:val="17"/>
              </w:rPr>
              <w:t>1,3</w:t>
            </w:r>
          </w:p>
        </w:tc>
        <w:tc>
          <w:tcPr>
            <w:tcW w:w="785" w:type="dxa"/>
          </w:tcPr>
          <w:p>
            <w:pPr>
              <w:pStyle w:val="TableParagraph"/>
              <w:spacing w:before="53"/>
              <w:ind w:left="173" w:right="170"/>
              <w:jc w:val="center"/>
              <w:rPr>
                <w:sz w:val="17"/>
              </w:rPr>
            </w:pPr>
            <w:r>
              <w:rPr>
                <w:sz w:val="17"/>
              </w:rPr>
              <w:t>1,7</w:t>
            </w:r>
          </w:p>
        </w:tc>
        <w:tc>
          <w:tcPr>
            <w:tcW w:w="788" w:type="dxa"/>
          </w:tcPr>
          <w:p>
            <w:pPr>
              <w:pStyle w:val="TableParagraph"/>
              <w:spacing w:before="53"/>
              <w:ind w:left="174" w:right="174"/>
              <w:jc w:val="center"/>
              <w:rPr>
                <w:sz w:val="17"/>
              </w:rPr>
            </w:pPr>
            <w:r>
              <w:rPr>
                <w:sz w:val="17"/>
              </w:rPr>
              <w:t>1,7</w:t>
            </w:r>
          </w:p>
        </w:tc>
      </w:tr>
      <w:tr>
        <w:trPr>
          <w:trHeight w:val="300" w:hRule="atLeast"/>
        </w:trPr>
        <w:tc>
          <w:tcPr>
            <w:tcW w:w="3682" w:type="dxa"/>
          </w:tcPr>
          <w:p>
            <w:pPr>
              <w:pStyle w:val="TableParagraph"/>
              <w:spacing w:before="53"/>
              <w:ind w:left="69"/>
              <w:jc w:val="left"/>
              <w:rPr>
                <w:sz w:val="17"/>
              </w:rPr>
            </w:pPr>
            <w:r>
              <w:rPr>
                <w:sz w:val="17"/>
              </w:rPr>
              <w:t>Deflatore consumi</w:t>
            </w:r>
          </w:p>
        </w:tc>
        <w:tc>
          <w:tcPr>
            <w:tcW w:w="1394" w:type="dxa"/>
          </w:tcPr>
          <w:p>
            <w:pPr>
              <w:pStyle w:val="TableParagraph"/>
              <w:spacing w:before="53"/>
              <w:ind w:right="267"/>
              <w:rPr>
                <w:sz w:val="17"/>
              </w:rPr>
            </w:pPr>
            <w:r>
              <w:rPr>
                <w:sz w:val="17"/>
              </w:rPr>
              <w:t>0,9</w:t>
            </w:r>
          </w:p>
        </w:tc>
        <w:tc>
          <w:tcPr>
            <w:tcW w:w="786" w:type="dxa"/>
          </w:tcPr>
          <w:p>
            <w:pPr>
              <w:pStyle w:val="TableParagraph"/>
              <w:spacing w:before="53"/>
              <w:ind w:left="173" w:right="172"/>
              <w:jc w:val="center"/>
              <w:rPr>
                <w:sz w:val="17"/>
              </w:rPr>
            </w:pPr>
            <w:r>
              <w:rPr>
                <w:sz w:val="17"/>
              </w:rPr>
              <w:t>0,8</w:t>
            </w:r>
          </w:p>
        </w:tc>
        <w:tc>
          <w:tcPr>
            <w:tcW w:w="786" w:type="dxa"/>
          </w:tcPr>
          <w:p>
            <w:pPr>
              <w:pStyle w:val="TableParagraph"/>
              <w:spacing w:before="53"/>
              <w:ind w:left="173" w:right="169"/>
              <w:jc w:val="center"/>
              <w:rPr>
                <w:sz w:val="17"/>
              </w:rPr>
            </w:pPr>
            <w:r>
              <w:rPr>
                <w:sz w:val="17"/>
              </w:rPr>
              <w:t>1,0</w:t>
            </w:r>
          </w:p>
        </w:tc>
        <w:tc>
          <w:tcPr>
            <w:tcW w:w="785" w:type="dxa"/>
          </w:tcPr>
          <w:p>
            <w:pPr>
              <w:pStyle w:val="TableParagraph"/>
              <w:spacing w:before="53"/>
              <w:ind w:left="173" w:right="171"/>
              <w:jc w:val="center"/>
              <w:rPr>
                <w:sz w:val="17"/>
              </w:rPr>
            </w:pPr>
            <w:r>
              <w:rPr>
                <w:sz w:val="17"/>
              </w:rPr>
              <w:t>1,9</w:t>
            </w:r>
          </w:p>
        </w:tc>
        <w:tc>
          <w:tcPr>
            <w:tcW w:w="788" w:type="dxa"/>
          </w:tcPr>
          <w:p>
            <w:pPr>
              <w:pStyle w:val="TableParagraph"/>
              <w:spacing w:before="53"/>
              <w:ind w:left="174" w:right="174"/>
              <w:jc w:val="center"/>
              <w:rPr>
                <w:sz w:val="17"/>
              </w:rPr>
            </w:pPr>
            <w:r>
              <w:rPr>
                <w:sz w:val="17"/>
              </w:rPr>
              <w:t>1,8</w:t>
            </w:r>
          </w:p>
        </w:tc>
      </w:tr>
      <w:tr>
        <w:trPr>
          <w:trHeight w:val="300" w:hRule="atLeast"/>
        </w:trPr>
        <w:tc>
          <w:tcPr>
            <w:tcW w:w="3682" w:type="dxa"/>
          </w:tcPr>
          <w:p>
            <w:pPr>
              <w:pStyle w:val="TableParagraph"/>
              <w:spacing w:before="53"/>
              <w:ind w:left="69"/>
              <w:jc w:val="left"/>
              <w:rPr>
                <w:sz w:val="17"/>
              </w:rPr>
            </w:pPr>
            <w:r>
              <w:rPr>
                <w:sz w:val="17"/>
              </w:rPr>
              <w:t>PIL nominale</w:t>
            </w:r>
          </w:p>
        </w:tc>
        <w:tc>
          <w:tcPr>
            <w:tcW w:w="1394" w:type="dxa"/>
          </w:tcPr>
          <w:p>
            <w:pPr>
              <w:pStyle w:val="TableParagraph"/>
              <w:spacing w:before="53"/>
              <w:ind w:right="267"/>
              <w:rPr>
                <w:sz w:val="17"/>
              </w:rPr>
            </w:pPr>
            <w:r>
              <w:rPr>
                <w:sz w:val="17"/>
              </w:rPr>
              <w:t>1,7</w:t>
            </w:r>
          </w:p>
        </w:tc>
        <w:tc>
          <w:tcPr>
            <w:tcW w:w="786" w:type="dxa"/>
          </w:tcPr>
          <w:p>
            <w:pPr>
              <w:pStyle w:val="TableParagraph"/>
              <w:spacing w:before="53"/>
              <w:ind w:left="173" w:right="172"/>
              <w:jc w:val="center"/>
              <w:rPr>
                <w:sz w:val="17"/>
              </w:rPr>
            </w:pPr>
            <w:r>
              <w:rPr>
                <w:sz w:val="17"/>
              </w:rPr>
              <w:t>1,0</w:t>
            </w:r>
          </w:p>
        </w:tc>
        <w:tc>
          <w:tcPr>
            <w:tcW w:w="786" w:type="dxa"/>
          </w:tcPr>
          <w:p>
            <w:pPr>
              <w:pStyle w:val="TableParagraph"/>
              <w:spacing w:before="53"/>
              <w:ind w:left="173" w:right="169"/>
              <w:jc w:val="center"/>
              <w:rPr>
                <w:sz w:val="17"/>
              </w:rPr>
            </w:pPr>
            <w:r>
              <w:rPr>
                <w:sz w:val="17"/>
              </w:rPr>
              <w:t>2,0</w:t>
            </w:r>
          </w:p>
        </w:tc>
        <w:tc>
          <w:tcPr>
            <w:tcW w:w="785" w:type="dxa"/>
          </w:tcPr>
          <w:p>
            <w:pPr>
              <w:pStyle w:val="TableParagraph"/>
              <w:spacing w:before="53"/>
              <w:ind w:left="173" w:right="170"/>
              <w:jc w:val="center"/>
              <w:rPr>
                <w:sz w:val="17"/>
              </w:rPr>
            </w:pPr>
            <w:r>
              <w:rPr>
                <w:sz w:val="17"/>
              </w:rPr>
              <w:t>2,7</w:t>
            </w:r>
          </w:p>
        </w:tc>
        <w:tc>
          <w:tcPr>
            <w:tcW w:w="788" w:type="dxa"/>
          </w:tcPr>
          <w:p>
            <w:pPr>
              <w:pStyle w:val="TableParagraph"/>
              <w:spacing w:before="53"/>
              <w:ind w:left="174" w:right="174"/>
              <w:jc w:val="center"/>
              <w:rPr>
                <w:sz w:val="17"/>
              </w:rPr>
            </w:pPr>
            <w:r>
              <w:rPr>
                <w:sz w:val="17"/>
              </w:rPr>
              <w:t>2,6</w:t>
            </w:r>
          </w:p>
        </w:tc>
      </w:tr>
      <w:tr>
        <w:trPr>
          <w:trHeight w:val="300" w:hRule="atLeast"/>
        </w:trPr>
        <w:tc>
          <w:tcPr>
            <w:tcW w:w="3682" w:type="dxa"/>
          </w:tcPr>
          <w:p>
            <w:pPr>
              <w:pStyle w:val="TableParagraph"/>
              <w:spacing w:before="53"/>
              <w:ind w:left="69"/>
              <w:jc w:val="left"/>
              <w:rPr>
                <w:sz w:val="17"/>
              </w:rPr>
            </w:pPr>
            <w:r>
              <w:rPr>
                <w:sz w:val="17"/>
              </w:rPr>
              <w:t>Occupazione ULA (2)</w:t>
            </w:r>
          </w:p>
        </w:tc>
        <w:tc>
          <w:tcPr>
            <w:tcW w:w="1394" w:type="dxa"/>
          </w:tcPr>
          <w:p>
            <w:pPr>
              <w:pStyle w:val="TableParagraph"/>
              <w:spacing w:before="53"/>
              <w:ind w:right="267"/>
              <w:rPr>
                <w:sz w:val="17"/>
              </w:rPr>
            </w:pPr>
            <w:r>
              <w:rPr>
                <w:sz w:val="17"/>
              </w:rPr>
              <w:t>0,8</w:t>
            </w:r>
          </w:p>
        </w:tc>
        <w:tc>
          <w:tcPr>
            <w:tcW w:w="786" w:type="dxa"/>
          </w:tcPr>
          <w:p>
            <w:pPr>
              <w:pStyle w:val="TableParagraph"/>
              <w:spacing w:before="53"/>
              <w:ind w:left="173" w:right="172"/>
              <w:jc w:val="center"/>
              <w:rPr>
                <w:sz w:val="17"/>
              </w:rPr>
            </w:pPr>
            <w:r>
              <w:rPr>
                <w:sz w:val="17"/>
              </w:rPr>
              <w:t>0,5</w:t>
            </w:r>
          </w:p>
        </w:tc>
        <w:tc>
          <w:tcPr>
            <w:tcW w:w="786" w:type="dxa"/>
          </w:tcPr>
          <w:p>
            <w:pPr>
              <w:pStyle w:val="TableParagraph"/>
              <w:spacing w:before="53"/>
              <w:ind w:left="173" w:right="169"/>
              <w:jc w:val="center"/>
              <w:rPr>
                <w:sz w:val="17"/>
              </w:rPr>
            </w:pPr>
            <w:r>
              <w:rPr>
                <w:sz w:val="17"/>
              </w:rPr>
              <w:t>0,4</w:t>
            </w:r>
          </w:p>
        </w:tc>
        <w:tc>
          <w:tcPr>
            <w:tcW w:w="785" w:type="dxa"/>
          </w:tcPr>
          <w:p>
            <w:pPr>
              <w:pStyle w:val="TableParagraph"/>
              <w:spacing w:before="53"/>
              <w:ind w:left="173" w:right="171"/>
              <w:jc w:val="center"/>
              <w:rPr>
                <w:sz w:val="17"/>
              </w:rPr>
            </w:pPr>
            <w:r>
              <w:rPr>
                <w:sz w:val="17"/>
              </w:rPr>
              <w:t>0,6</w:t>
            </w:r>
          </w:p>
        </w:tc>
        <w:tc>
          <w:tcPr>
            <w:tcW w:w="788" w:type="dxa"/>
          </w:tcPr>
          <w:p>
            <w:pPr>
              <w:pStyle w:val="TableParagraph"/>
              <w:spacing w:before="53"/>
              <w:ind w:left="174" w:right="174"/>
              <w:jc w:val="center"/>
              <w:rPr>
                <w:sz w:val="17"/>
              </w:rPr>
            </w:pPr>
            <w:r>
              <w:rPr>
                <w:sz w:val="17"/>
              </w:rPr>
              <w:t>0,9</w:t>
            </w:r>
          </w:p>
        </w:tc>
      </w:tr>
      <w:tr>
        <w:trPr>
          <w:trHeight w:val="300" w:hRule="atLeast"/>
        </w:trPr>
        <w:tc>
          <w:tcPr>
            <w:tcW w:w="3682" w:type="dxa"/>
          </w:tcPr>
          <w:p>
            <w:pPr>
              <w:pStyle w:val="TableParagraph"/>
              <w:spacing w:before="53"/>
              <w:ind w:left="69"/>
              <w:jc w:val="left"/>
              <w:rPr>
                <w:sz w:val="17"/>
              </w:rPr>
            </w:pPr>
            <w:r>
              <w:rPr>
                <w:sz w:val="17"/>
              </w:rPr>
              <w:t>Occupazione FL (3)</w:t>
            </w:r>
          </w:p>
        </w:tc>
        <w:tc>
          <w:tcPr>
            <w:tcW w:w="1394" w:type="dxa"/>
          </w:tcPr>
          <w:p>
            <w:pPr>
              <w:pStyle w:val="TableParagraph"/>
              <w:spacing w:before="53"/>
              <w:ind w:right="267"/>
              <w:rPr>
                <w:sz w:val="17"/>
              </w:rPr>
            </w:pPr>
            <w:r>
              <w:rPr>
                <w:sz w:val="17"/>
              </w:rPr>
              <w:t>0,8</w:t>
            </w:r>
          </w:p>
        </w:tc>
        <w:tc>
          <w:tcPr>
            <w:tcW w:w="786" w:type="dxa"/>
          </w:tcPr>
          <w:p>
            <w:pPr>
              <w:pStyle w:val="TableParagraph"/>
              <w:spacing w:before="53"/>
              <w:ind w:left="173" w:right="172"/>
              <w:jc w:val="center"/>
              <w:rPr>
                <w:sz w:val="17"/>
              </w:rPr>
            </w:pPr>
            <w:r>
              <w:rPr>
                <w:sz w:val="17"/>
              </w:rPr>
              <w:t>0,5</w:t>
            </w:r>
          </w:p>
        </w:tc>
        <w:tc>
          <w:tcPr>
            <w:tcW w:w="786" w:type="dxa"/>
          </w:tcPr>
          <w:p>
            <w:pPr>
              <w:pStyle w:val="TableParagraph"/>
              <w:spacing w:before="53"/>
              <w:ind w:left="173" w:right="169"/>
              <w:jc w:val="center"/>
              <w:rPr>
                <w:sz w:val="17"/>
              </w:rPr>
            </w:pPr>
            <w:r>
              <w:rPr>
                <w:sz w:val="17"/>
              </w:rPr>
              <w:t>0,4</w:t>
            </w:r>
          </w:p>
        </w:tc>
        <w:tc>
          <w:tcPr>
            <w:tcW w:w="785" w:type="dxa"/>
          </w:tcPr>
          <w:p>
            <w:pPr>
              <w:pStyle w:val="TableParagraph"/>
              <w:spacing w:before="53"/>
              <w:ind w:left="173" w:right="171"/>
              <w:jc w:val="center"/>
              <w:rPr>
                <w:sz w:val="17"/>
              </w:rPr>
            </w:pPr>
            <w:r>
              <w:rPr>
                <w:sz w:val="17"/>
              </w:rPr>
              <w:t>0,7</w:t>
            </w:r>
          </w:p>
        </w:tc>
        <w:tc>
          <w:tcPr>
            <w:tcW w:w="788" w:type="dxa"/>
          </w:tcPr>
          <w:p>
            <w:pPr>
              <w:pStyle w:val="TableParagraph"/>
              <w:spacing w:before="53"/>
              <w:ind w:left="174" w:right="174"/>
              <w:jc w:val="center"/>
              <w:rPr>
                <w:sz w:val="17"/>
              </w:rPr>
            </w:pPr>
            <w:r>
              <w:rPr>
                <w:sz w:val="17"/>
              </w:rPr>
              <w:t>0,9</w:t>
            </w:r>
          </w:p>
        </w:tc>
      </w:tr>
      <w:tr>
        <w:trPr>
          <w:trHeight w:val="303" w:hRule="atLeast"/>
        </w:trPr>
        <w:tc>
          <w:tcPr>
            <w:tcW w:w="3682" w:type="dxa"/>
          </w:tcPr>
          <w:p>
            <w:pPr>
              <w:pStyle w:val="TableParagraph"/>
              <w:spacing w:before="53"/>
              <w:ind w:left="69"/>
              <w:jc w:val="left"/>
              <w:rPr>
                <w:sz w:val="17"/>
              </w:rPr>
            </w:pPr>
            <w:r>
              <w:rPr>
                <w:sz w:val="17"/>
              </w:rPr>
              <w:t>Tasso di disoccupazione</w:t>
            </w:r>
          </w:p>
        </w:tc>
        <w:tc>
          <w:tcPr>
            <w:tcW w:w="1394" w:type="dxa"/>
          </w:tcPr>
          <w:p>
            <w:pPr>
              <w:pStyle w:val="TableParagraph"/>
              <w:spacing w:before="53"/>
              <w:ind w:right="219"/>
              <w:rPr>
                <w:sz w:val="17"/>
              </w:rPr>
            </w:pPr>
            <w:r>
              <w:rPr>
                <w:sz w:val="17"/>
              </w:rPr>
              <w:t>10,6</w:t>
            </w:r>
          </w:p>
        </w:tc>
        <w:tc>
          <w:tcPr>
            <w:tcW w:w="786" w:type="dxa"/>
          </w:tcPr>
          <w:p>
            <w:pPr>
              <w:pStyle w:val="TableParagraph"/>
              <w:spacing w:before="53"/>
              <w:ind w:left="172" w:right="172"/>
              <w:jc w:val="center"/>
              <w:rPr>
                <w:sz w:val="17"/>
              </w:rPr>
            </w:pPr>
            <w:r>
              <w:rPr>
                <w:sz w:val="17"/>
              </w:rPr>
              <w:t>10,1</w:t>
            </w:r>
          </w:p>
        </w:tc>
        <w:tc>
          <w:tcPr>
            <w:tcW w:w="786" w:type="dxa"/>
          </w:tcPr>
          <w:p>
            <w:pPr>
              <w:pStyle w:val="TableParagraph"/>
              <w:spacing w:before="53"/>
              <w:ind w:right="219"/>
              <w:rPr>
                <w:sz w:val="17"/>
              </w:rPr>
            </w:pPr>
            <w:r>
              <w:rPr>
                <w:sz w:val="17"/>
              </w:rPr>
              <w:t>10,0</w:t>
            </w:r>
          </w:p>
        </w:tc>
        <w:tc>
          <w:tcPr>
            <w:tcW w:w="785" w:type="dxa"/>
          </w:tcPr>
          <w:p>
            <w:pPr>
              <w:pStyle w:val="TableParagraph"/>
              <w:spacing w:before="53"/>
              <w:ind w:left="173" w:right="171"/>
              <w:jc w:val="center"/>
              <w:rPr>
                <w:sz w:val="17"/>
              </w:rPr>
            </w:pPr>
            <w:r>
              <w:rPr>
                <w:sz w:val="17"/>
              </w:rPr>
              <w:t>9,5</w:t>
            </w:r>
          </w:p>
        </w:tc>
        <w:tc>
          <w:tcPr>
            <w:tcW w:w="788" w:type="dxa"/>
          </w:tcPr>
          <w:p>
            <w:pPr>
              <w:pStyle w:val="TableParagraph"/>
              <w:spacing w:before="53"/>
              <w:ind w:left="174" w:right="174"/>
              <w:jc w:val="center"/>
              <w:rPr>
                <w:sz w:val="17"/>
              </w:rPr>
            </w:pPr>
            <w:r>
              <w:rPr>
                <w:sz w:val="17"/>
              </w:rPr>
              <w:t>9,1</w:t>
            </w:r>
          </w:p>
        </w:tc>
      </w:tr>
      <w:tr>
        <w:trPr>
          <w:trHeight w:val="327" w:hRule="atLeast"/>
        </w:trPr>
        <w:tc>
          <w:tcPr>
            <w:tcW w:w="3682" w:type="dxa"/>
            <w:tcBorders>
              <w:bottom w:val="single" w:sz="8" w:space="0" w:color="000000"/>
            </w:tcBorders>
          </w:tcPr>
          <w:p>
            <w:pPr>
              <w:pStyle w:val="TableParagraph"/>
              <w:spacing w:before="57"/>
              <w:ind w:left="69"/>
              <w:jc w:val="left"/>
              <w:rPr>
                <w:sz w:val="17"/>
              </w:rPr>
            </w:pPr>
            <w:r>
              <w:rPr>
                <w:sz w:val="17"/>
              </w:rPr>
              <w:t>Bilancia partite correnti (saldo in % PIL)</w:t>
            </w:r>
          </w:p>
        </w:tc>
        <w:tc>
          <w:tcPr>
            <w:tcW w:w="1394" w:type="dxa"/>
            <w:tcBorders>
              <w:bottom w:val="single" w:sz="8" w:space="0" w:color="000000"/>
            </w:tcBorders>
          </w:tcPr>
          <w:p>
            <w:pPr>
              <w:pStyle w:val="TableParagraph"/>
              <w:spacing w:before="57"/>
              <w:ind w:right="267"/>
              <w:rPr>
                <w:sz w:val="17"/>
              </w:rPr>
            </w:pPr>
            <w:r>
              <w:rPr>
                <w:sz w:val="17"/>
              </w:rPr>
              <w:t>2,5</w:t>
            </w:r>
          </w:p>
        </w:tc>
        <w:tc>
          <w:tcPr>
            <w:tcW w:w="786" w:type="dxa"/>
            <w:tcBorders>
              <w:bottom w:val="single" w:sz="8" w:space="0" w:color="000000"/>
            </w:tcBorders>
          </w:tcPr>
          <w:p>
            <w:pPr>
              <w:pStyle w:val="TableParagraph"/>
              <w:spacing w:before="57"/>
              <w:ind w:left="173" w:right="172"/>
              <w:jc w:val="center"/>
              <w:rPr>
                <w:sz w:val="17"/>
              </w:rPr>
            </w:pPr>
            <w:r>
              <w:rPr>
                <w:sz w:val="17"/>
              </w:rPr>
              <w:t>2,7</w:t>
            </w:r>
          </w:p>
        </w:tc>
        <w:tc>
          <w:tcPr>
            <w:tcW w:w="786" w:type="dxa"/>
            <w:tcBorders>
              <w:bottom w:val="single" w:sz="8" w:space="0" w:color="000000"/>
            </w:tcBorders>
          </w:tcPr>
          <w:p>
            <w:pPr>
              <w:pStyle w:val="TableParagraph"/>
              <w:spacing w:before="57"/>
              <w:ind w:left="173" w:right="169"/>
              <w:jc w:val="center"/>
              <w:rPr>
                <w:sz w:val="17"/>
              </w:rPr>
            </w:pPr>
            <w:r>
              <w:rPr>
                <w:sz w:val="17"/>
              </w:rPr>
              <w:t>2,7</w:t>
            </w:r>
          </w:p>
        </w:tc>
        <w:tc>
          <w:tcPr>
            <w:tcW w:w="785" w:type="dxa"/>
            <w:tcBorders>
              <w:bottom w:val="single" w:sz="8" w:space="0" w:color="000000"/>
            </w:tcBorders>
          </w:tcPr>
          <w:p>
            <w:pPr>
              <w:pStyle w:val="TableParagraph"/>
              <w:spacing w:before="57"/>
              <w:ind w:left="173" w:right="170"/>
              <w:jc w:val="center"/>
              <w:rPr>
                <w:sz w:val="17"/>
              </w:rPr>
            </w:pPr>
            <w:r>
              <w:rPr>
                <w:sz w:val="17"/>
              </w:rPr>
              <w:t>2,6</w:t>
            </w:r>
          </w:p>
        </w:tc>
        <w:tc>
          <w:tcPr>
            <w:tcW w:w="788" w:type="dxa"/>
            <w:tcBorders>
              <w:bottom w:val="single" w:sz="8" w:space="0" w:color="000000"/>
            </w:tcBorders>
          </w:tcPr>
          <w:p>
            <w:pPr>
              <w:pStyle w:val="TableParagraph"/>
              <w:spacing w:before="57"/>
              <w:ind w:left="174" w:right="174"/>
              <w:jc w:val="center"/>
              <w:rPr>
                <w:sz w:val="17"/>
              </w:rPr>
            </w:pPr>
            <w:r>
              <w:rPr>
                <w:sz w:val="17"/>
              </w:rPr>
              <w:t>2,5</w:t>
            </w:r>
          </w:p>
        </w:tc>
      </w:tr>
    </w:tbl>
    <w:p>
      <w:pPr>
        <w:pStyle w:val="ListParagraph"/>
        <w:numPr>
          <w:ilvl w:val="0"/>
          <w:numId w:val="4"/>
        </w:numPr>
        <w:tabs>
          <w:tab w:pos="577" w:val="left" w:leader="none"/>
        </w:tabs>
        <w:spacing w:line="240" w:lineRule="auto" w:before="0" w:after="0"/>
        <w:ind w:left="576" w:right="0" w:hanging="229"/>
        <w:jc w:val="left"/>
        <w:rPr>
          <w:rFonts w:ascii="Franklin Gothic Book"/>
          <w:sz w:val="16"/>
        </w:rPr>
      </w:pPr>
      <w:r>
        <w:rPr>
          <w:rFonts w:ascii="Franklin Gothic Book"/>
          <w:sz w:val="16"/>
        </w:rPr>
        <w:t>Eventuali imprecisioni derivano da</w:t>
      </w:r>
      <w:r>
        <w:rPr>
          <w:rFonts w:ascii="Franklin Gothic Book"/>
          <w:spacing w:val="-6"/>
          <w:sz w:val="16"/>
        </w:rPr>
        <w:t> </w:t>
      </w:r>
      <w:r>
        <w:rPr>
          <w:rFonts w:ascii="Franklin Gothic Book"/>
          <w:sz w:val="16"/>
        </w:rPr>
        <w:t>arrotondamenti.</w:t>
      </w:r>
    </w:p>
    <w:p>
      <w:pPr>
        <w:pStyle w:val="ListParagraph"/>
        <w:numPr>
          <w:ilvl w:val="0"/>
          <w:numId w:val="4"/>
        </w:numPr>
        <w:tabs>
          <w:tab w:pos="579" w:val="left" w:leader="none"/>
        </w:tabs>
        <w:spacing w:line="240" w:lineRule="auto" w:before="44" w:after="0"/>
        <w:ind w:left="578" w:right="0" w:hanging="231"/>
        <w:jc w:val="left"/>
        <w:rPr>
          <w:rFonts w:ascii="Franklin Gothic Book" w:hAnsi="Franklin Gothic Book"/>
          <w:sz w:val="16"/>
        </w:rPr>
      </w:pPr>
      <w:r>
        <w:rPr>
          <w:rFonts w:ascii="Franklin Gothic Book" w:hAnsi="Franklin Gothic Book"/>
          <w:sz w:val="16"/>
        </w:rPr>
        <w:t>Occupazione espressa in termini di unità standard di lavoro</w:t>
      </w:r>
      <w:r>
        <w:rPr>
          <w:rFonts w:ascii="Franklin Gothic Book" w:hAnsi="Franklin Gothic Book"/>
          <w:spacing w:val="-9"/>
          <w:sz w:val="16"/>
        </w:rPr>
        <w:t> </w:t>
      </w:r>
      <w:r>
        <w:rPr>
          <w:rFonts w:ascii="Franklin Gothic Book" w:hAnsi="Franklin Gothic Book"/>
          <w:sz w:val="16"/>
        </w:rPr>
        <w:t>(ULA).</w:t>
      </w:r>
    </w:p>
    <w:p>
      <w:pPr>
        <w:pStyle w:val="ListParagraph"/>
        <w:numPr>
          <w:ilvl w:val="0"/>
          <w:numId w:val="4"/>
        </w:numPr>
        <w:tabs>
          <w:tab w:pos="579" w:val="left" w:leader="none"/>
        </w:tabs>
        <w:spacing w:line="240" w:lineRule="auto" w:before="46" w:after="0"/>
        <w:ind w:left="578" w:right="0" w:hanging="231"/>
        <w:jc w:val="left"/>
        <w:rPr>
          <w:rFonts w:ascii="Franklin Gothic Book" w:hAnsi="Franklin Gothic Book"/>
          <w:sz w:val="16"/>
        </w:rPr>
      </w:pPr>
      <w:r>
        <w:rPr/>
        <w:pict>
          <v:line style="position:absolute;mso-position-horizontal-relative:page;mso-position-vertical-relative:paragraph;z-index:-251632640;mso-wrap-distance-left:0;mso-wrap-distance-right:0" from="70.223999pt,14.072037pt" to="482.013999pt,14.072037pt" stroked="true" strokeweight="1.44pt" strokecolor="#086d44">
            <v:stroke dashstyle="solid"/>
            <w10:wrap type="topAndBottom"/>
          </v:line>
        </w:pict>
      </w:r>
      <w:r>
        <w:rPr>
          <w:rFonts w:ascii="Franklin Gothic Book" w:hAnsi="Franklin Gothic Book"/>
          <w:sz w:val="16"/>
        </w:rPr>
        <w:t>Numero di occupati in base all’indagine campionaria della Rilevazione Continua delle Forze</w:t>
      </w:r>
      <w:r>
        <w:rPr>
          <w:rFonts w:ascii="Franklin Gothic Book" w:hAnsi="Franklin Gothic Book"/>
          <w:spacing w:val="-9"/>
          <w:sz w:val="16"/>
        </w:rPr>
        <w:t> </w:t>
      </w:r>
      <w:r>
        <w:rPr>
          <w:rFonts w:ascii="Franklin Gothic Book" w:hAnsi="Franklin Gothic Book"/>
          <w:sz w:val="16"/>
        </w:rPr>
        <w:t>Lavoro.</w:t>
      </w:r>
    </w:p>
    <w:p>
      <w:pPr>
        <w:pStyle w:val="BodyText"/>
        <w:spacing w:before="4"/>
        <w:rPr>
          <w:rFonts w:ascii="Franklin Gothic Book"/>
          <w:sz w:val="11"/>
        </w:rPr>
      </w:pPr>
    </w:p>
    <w:p>
      <w:pPr>
        <w:pStyle w:val="BodyText"/>
        <w:spacing w:line="252" w:lineRule="auto" w:before="101"/>
        <w:ind w:left="278" w:right="2261" w:firstLine="453"/>
        <w:jc w:val="both"/>
      </w:pPr>
      <w:r>
        <w:rPr/>
        <w:t>Infine,</w:t>
      </w:r>
      <w:r>
        <w:rPr>
          <w:spacing w:val="-10"/>
        </w:rPr>
        <w:t> </w:t>
      </w:r>
      <w:r>
        <w:rPr/>
        <w:t>per</w:t>
      </w:r>
      <w:r>
        <w:rPr>
          <w:spacing w:val="-9"/>
        </w:rPr>
        <w:t> </w:t>
      </w:r>
      <w:r>
        <w:rPr/>
        <w:t>quanto</w:t>
      </w:r>
      <w:r>
        <w:rPr>
          <w:spacing w:val="-11"/>
        </w:rPr>
        <w:t> </w:t>
      </w:r>
      <w:r>
        <w:rPr/>
        <w:t>riguarda</w:t>
      </w:r>
      <w:r>
        <w:rPr>
          <w:spacing w:val="-11"/>
        </w:rPr>
        <w:t> </w:t>
      </w:r>
      <w:r>
        <w:rPr/>
        <w:t>la</w:t>
      </w:r>
      <w:r>
        <w:rPr>
          <w:spacing w:val="-11"/>
        </w:rPr>
        <w:t> </w:t>
      </w:r>
      <w:r>
        <w:rPr/>
        <w:t>proiezione</w:t>
      </w:r>
      <w:r>
        <w:rPr>
          <w:spacing w:val="-11"/>
        </w:rPr>
        <w:t> </w:t>
      </w:r>
      <w:r>
        <w:rPr/>
        <w:t>del</w:t>
      </w:r>
      <w:r>
        <w:rPr>
          <w:spacing w:val="-10"/>
        </w:rPr>
        <w:t> </w:t>
      </w:r>
      <w:r>
        <w:rPr/>
        <w:t>rapporto</w:t>
      </w:r>
      <w:r>
        <w:rPr>
          <w:spacing w:val="-11"/>
        </w:rPr>
        <w:t> </w:t>
      </w:r>
      <w:r>
        <w:rPr/>
        <w:t>debito/PIL,</w:t>
      </w:r>
      <w:r>
        <w:rPr>
          <w:spacing w:val="-10"/>
        </w:rPr>
        <w:t> </w:t>
      </w:r>
      <w:r>
        <w:rPr/>
        <w:t>partendo</w:t>
      </w:r>
      <w:r>
        <w:rPr>
          <w:spacing w:val="-11"/>
        </w:rPr>
        <w:t> </w:t>
      </w:r>
      <w:r>
        <w:rPr/>
        <w:t>dal livello</w:t>
      </w:r>
      <w:r>
        <w:rPr>
          <w:spacing w:val="-14"/>
        </w:rPr>
        <w:t> </w:t>
      </w:r>
      <w:r>
        <w:rPr/>
        <w:t>previsto</w:t>
      </w:r>
      <w:r>
        <w:rPr>
          <w:spacing w:val="-13"/>
        </w:rPr>
        <w:t> </w:t>
      </w:r>
      <w:r>
        <w:rPr/>
        <w:t>per</w:t>
      </w:r>
      <w:r>
        <w:rPr>
          <w:spacing w:val="-12"/>
        </w:rPr>
        <w:t> </w:t>
      </w:r>
      <w:r>
        <w:rPr/>
        <w:t>fine</w:t>
      </w:r>
      <w:r>
        <w:rPr>
          <w:spacing w:val="-13"/>
        </w:rPr>
        <w:t> </w:t>
      </w:r>
      <w:r>
        <w:rPr/>
        <w:t>2019</w:t>
      </w:r>
      <w:r>
        <w:rPr>
          <w:spacing w:val="-13"/>
        </w:rPr>
        <w:t> </w:t>
      </w:r>
      <w:r>
        <w:rPr/>
        <w:t>(135,7</w:t>
      </w:r>
      <w:r>
        <w:rPr>
          <w:spacing w:val="-12"/>
        </w:rPr>
        <w:t> </w:t>
      </w:r>
      <w:r>
        <w:rPr/>
        <w:t>per</w:t>
      </w:r>
      <w:r>
        <w:rPr>
          <w:spacing w:val="-14"/>
        </w:rPr>
        <w:t> </w:t>
      </w:r>
      <w:r>
        <w:rPr/>
        <w:t>cento)</w:t>
      </w:r>
      <w:r>
        <w:rPr>
          <w:spacing w:val="-13"/>
        </w:rPr>
        <w:t> </w:t>
      </w:r>
      <w:r>
        <w:rPr/>
        <w:t>e</w:t>
      </w:r>
      <w:r>
        <w:rPr>
          <w:spacing w:val="-13"/>
        </w:rPr>
        <w:t> </w:t>
      </w:r>
      <w:r>
        <w:rPr/>
        <w:t>ipotizzando</w:t>
      </w:r>
      <w:r>
        <w:rPr>
          <w:spacing w:val="-13"/>
        </w:rPr>
        <w:t> </w:t>
      </w:r>
      <w:r>
        <w:rPr/>
        <w:t>proventi</w:t>
      </w:r>
      <w:r>
        <w:rPr>
          <w:spacing w:val="-13"/>
        </w:rPr>
        <w:t> </w:t>
      </w:r>
      <w:r>
        <w:rPr/>
        <w:t>da</w:t>
      </w:r>
      <w:r>
        <w:rPr>
          <w:spacing w:val="-13"/>
        </w:rPr>
        <w:t> </w:t>
      </w:r>
      <w:r>
        <w:rPr/>
        <w:t>dismissioni e altri introiti in conto capitale destinati al fondo di ammortamento del debito pubblico</w:t>
      </w:r>
      <w:r>
        <w:rPr>
          <w:spacing w:val="-5"/>
        </w:rPr>
        <w:t> </w:t>
      </w:r>
      <w:r>
        <w:rPr/>
        <w:t>per</w:t>
      </w:r>
      <w:r>
        <w:rPr>
          <w:spacing w:val="-3"/>
        </w:rPr>
        <w:t> </w:t>
      </w:r>
      <w:r>
        <w:rPr/>
        <w:t>0,2</w:t>
      </w:r>
      <w:r>
        <w:rPr>
          <w:spacing w:val="-4"/>
        </w:rPr>
        <w:t> </w:t>
      </w:r>
      <w:r>
        <w:rPr/>
        <w:t>punti</w:t>
      </w:r>
      <w:r>
        <w:rPr>
          <w:spacing w:val="-4"/>
        </w:rPr>
        <w:t> </w:t>
      </w:r>
      <w:r>
        <w:rPr/>
        <w:t>percentuali</w:t>
      </w:r>
      <w:r>
        <w:rPr>
          <w:spacing w:val="-5"/>
        </w:rPr>
        <w:t> </w:t>
      </w:r>
      <w:r>
        <w:rPr/>
        <w:t>di</w:t>
      </w:r>
      <w:r>
        <w:rPr>
          <w:spacing w:val="-5"/>
        </w:rPr>
        <w:t> </w:t>
      </w:r>
      <w:r>
        <w:rPr/>
        <w:t>PIL</w:t>
      </w:r>
      <w:r>
        <w:rPr>
          <w:spacing w:val="-3"/>
        </w:rPr>
        <w:t> </w:t>
      </w:r>
      <w:r>
        <w:rPr/>
        <w:t>all’anno,</w:t>
      </w:r>
      <w:r>
        <w:rPr>
          <w:spacing w:val="-2"/>
        </w:rPr>
        <w:t> </w:t>
      </w:r>
      <w:r>
        <w:rPr/>
        <w:t>il</w:t>
      </w:r>
      <w:r>
        <w:rPr>
          <w:spacing w:val="-5"/>
        </w:rPr>
        <w:t> </w:t>
      </w:r>
      <w:r>
        <w:rPr/>
        <w:t>rapporto</w:t>
      </w:r>
      <w:r>
        <w:rPr>
          <w:spacing w:val="-6"/>
        </w:rPr>
        <w:t> </w:t>
      </w:r>
      <w:r>
        <w:rPr/>
        <w:t>scenderebbe</w:t>
      </w:r>
      <w:r>
        <w:rPr>
          <w:spacing w:val="-4"/>
        </w:rPr>
        <w:t> </w:t>
      </w:r>
      <w:r>
        <w:rPr/>
        <w:t>al</w:t>
      </w:r>
      <w:r>
        <w:rPr>
          <w:spacing w:val="-4"/>
        </w:rPr>
        <w:t> </w:t>
      </w:r>
      <w:r>
        <w:rPr/>
        <w:t>135,2 per cento nel 2020 e quindi al 133,4 per cento nel 2021 e al 131,4 per cento nel 2022.</w:t>
      </w:r>
      <w:r>
        <w:rPr>
          <w:spacing w:val="33"/>
        </w:rPr>
        <w:t> </w:t>
      </w:r>
      <w:r>
        <w:rPr/>
        <w:t>La</w:t>
      </w:r>
      <w:r>
        <w:rPr>
          <w:spacing w:val="33"/>
        </w:rPr>
        <w:t> </w:t>
      </w:r>
      <w:r>
        <w:rPr/>
        <w:t>Regola</w:t>
      </w:r>
      <w:r>
        <w:rPr>
          <w:spacing w:val="32"/>
        </w:rPr>
        <w:t> </w:t>
      </w:r>
      <w:r>
        <w:rPr/>
        <w:t>del</w:t>
      </w:r>
      <w:r>
        <w:rPr>
          <w:spacing w:val="32"/>
        </w:rPr>
        <w:t> </w:t>
      </w:r>
      <w:r>
        <w:rPr/>
        <w:t>debito</w:t>
      </w:r>
      <w:r>
        <w:rPr>
          <w:spacing w:val="33"/>
        </w:rPr>
        <w:t> </w:t>
      </w:r>
      <w:r>
        <w:rPr/>
        <w:t>non</w:t>
      </w:r>
      <w:r>
        <w:rPr>
          <w:spacing w:val="33"/>
        </w:rPr>
        <w:t> </w:t>
      </w:r>
      <w:r>
        <w:rPr/>
        <w:t>sarebbe</w:t>
      </w:r>
      <w:r>
        <w:rPr>
          <w:spacing w:val="32"/>
        </w:rPr>
        <w:t> </w:t>
      </w:r>
      <w:r>
        <w:rPr/>
        <w:t>soddisfatta</w:t>
      </w:r>
      <w:r>
        <w:rPr>
          <w:spacing w:val="33"/>
        </w:rPr>
        <w:t> </w:t>
      </w:r>
      <w:r>
        <w:rPr/>
        <w:t>in</w:t>
      </w:r>
      <w:r>
        <w:rPr>
          <w:spacing w:val="32"/>
        </w:rPr>
        <w:t> </w:t>
      </w:r>
      <w:r>
        <w:rPr/>
        <w:t>nessuna</w:t>
      </w:r>
      <w:r>
        <w:rPr>
          <w:spacing w:val="34"/>
        </w:rPr>
        <w:t> </w:t>
      </w:r>
      <w:r>
        <w:rPr/>
        <w:t>delle</w:t>
      </w:r>
      <w:r>
        <w:rPr>
          <w:spacing w:val="33"/>
        </w:rPr>
        <w:t> </w:t>
      </w:r>
      <w:r>
        <w:rPr/>
        <w:t>sue</w:t>
      </w:r>
    </w:p>
    <w:p>
      <w:pPr>
        <w:spacing w:after="0" w:line="252" w:lineRule="auto"/>
        <w:jc w:val="both"/>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1128" w:right="1411"/>
        <w:jc w:val="both"/>
      </w:pPr>
      <w:r>
        <w:rPr/>
        <w:t>configurazioni, ma la riduzione del rapporto debito/PIL nel 2022 rispetto all’anno precedente sarebbe significativa, due punti percentuali. A partire dal 2021, la crescita del PIL nominale è prevista superare il costo medio di finanziamento del debito</w:t>
      </w:r>
      <w:r>
        <w:rPr>
          <w:spacing w:val="-16"/>
        </w:rPr>
        <w:t> </w:t>
      </w:r>
      <w:r>
        <w:rPr/>
        <w:t>pubblico.</w:t>
      </w:r>
      <w:r>
        <w:rPr>
          <w:spacing w:val="-14"/>
        </w:rPr>
        <w:t> </w:t>
      </w:r>
      <w:r>
        <w:rPr/>
        <w:t>Se</w:t>
      </w:r>
      <w:r>
        <w:rPr>
          <w:spacing w:val="-16"/>
        </w:rPr>
        <w:t> </w:t>
      </w:r>
      <w:r>
        <w:rPr/>
        <w:t>il</w:t>
      </w:r>
      <w:r>
        <w:rPr>
          <w:spacing w:val="-15"/>
        </w:rPr>
        <w:t> </w:t>
      </w:r>
      <w:r>
        <w:rPr/>
        <w:t>surplus</w:t>
      </w:r>
      <w:r>
        <w:rPr>
          <w:spacing w:val="-16"/>
        </w:rPr>
        <w:t> </w:t>
      </w:r>
      <w:r>
        <w:rPr/>
        <w:t>primario</w:t>
      </w:r>
      <w:r>
        <w:rPr>
          <w:spacing w:val="-16"/>
        </w:rPr>
        <w:t> </w:t>
      </w:r>
      <w:r>
        <w:rPr/>
        <w:t>aumenterà</w:t>
      </w:r>
      <w:r>
        <w:rPr>
          <w:spacing w:val="-15"/>
        </w:rPr>
        <w:t> </w:t>
      </w:r>
      <w:r>
        <w:rPr/>
        <w:t>gradualmente</w:t>
      </w:r>
      <w:r>
        <w:rPr>
          <w:spacing w:val="-16"/>
        </w:rPr>
        <w:t> </w:t>
      </w:r>
      <w:r>
        <w:rPr/>
        <w:t>negli</w:t>
      </w:r>
      <w:r>
        <w:rPr>
          <w:spacing w:val="-15"/>
        </w:rPr>
        <w:t> </w:t>
      </w:r>
      <w:r>
        <w:rPr/>
        <w:t>anni</w:t>
      </w:r>
      <w:r>
        <w:rPr>
          <w:spacing w:val="-15"/>
        </w:rPr>
        <w:t> </w:t>
      </w:r>
      <w:r>
        <w:rPr/>
        <w:t>seguenti, il soddisfacimento della Regola del debito sarà assicurato anche in presenza di una graduale inversione del trend dei tassi di interesse a livello</w:t>
      </w:r>
      <w:r>
        <w:rPr>
          <w:spacing w:val="-13"/>
        </w:rPr>
        <w:t> </w:t>
      </w:r>
      <w:r>
        <w:rPr/>
        <w:t>europeo.</w:t>
      </w:r>
    </w:p>
    <w:p>
      <w:pPr>
        <w:pStyle w:val="BodyText"/>
        <w:spacing w:before="5"/>
        <w:rPr>
          <w:sz w:val="27"/>
        </w:rPr>
      </w:pPr>
    </w:p>
    <w:tbl>
      <w:tblPr>
        <w:tblW w:w="0" w:type="auto"/>
        <w:jc w:val="left"/>
        <w:tblInd w:w="1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5"/>
        <w:gridCol w:w="749"/>
        <w:gridCol w:w="786"/>
        <w:gridCol w:w="786"/>
        <w:gridCol w:w="787"/>
        <w:gridCol w:w="790"/>
        <w:gridCol w:w="681"/>
      </w:tblGrid>
      <w:tr>
        <w:trPr>
          <w:trHeight w:val="217" w:hRule="atLeast"/>
        </w:trPr>
        <w:tc>
          <w:tcPr>
            <w:tcW w:w="8344" w:type="dxa"/>
            <w:gridSpan w:val="7"/>
            <w:shd w:val="clear" w:color="auto" w:fill="086D44"/>
          </w:tcPr>
          <w:p>
            <w:pPr>
              <w:pStyle w:val="TableParagraph"/>
              <w:spacing w:line="169" w:lineRule="exact" w:before="29"/>
              <w:ind w:left="57"/>
              <w:jc w:val="left"/>
              <w:rPr>
                <w:rFonts w:ascii="Franklin Gothic Heavy"/>
                <w:b/>
                <w:sz w:val="17"/>
              </w:rPr>
            </w:pPr>
            <w:r>
              <w:rPr>
                <w:rFonts w:ascii="Franklin Gothic Heavy"/>
                <w:b/>
                <w:color w:val="EFEFEF"/>
                <w:sz w:val="17"/>
              </w:rPr>
              <w:t>TAVOLA I.3: INDICATORI DI FINANZA PUBBLICA (in percentuale del PIL) (1)</w:t>
            </w:r>
          </w:p>
        </w:tc>
      </w:tr>
      <w:tr>
        <w:trPr>
          <w:trHeight w:val="280" w:hRule="atLeast"/>
        </w:trPr>
        <w:tc>
          <w:tcPr>
            <w:tcW w:w="3765" w:type="dxa"/>
            <w:tcBorders>
              <w:top w:val="single" w:sz="34" w:space="0" w:color="086D44"/>
              <w:bottom w:val="single" w:sz="4" w:space="0" w:color="000000"/>
            </w:tcBorders>
          </w:tcPr>
          <w:p>
            <w:pPr>
              <w:pStyle w:val="TableParagraph"/>
              <w:jc w:val="left"/>
              <w:rPr>
                <w:rFonts w:ascii="Times New Roman"/>
                <w:sz w:val="16"/>
              </w:rPr>
            </w:pPr>
          </w:p>
        </w:tc>
        <w:tc>
          <w:tcPr>
            <w:tcW w:w="749" w:type="dxa"/>
            <w:tcBorders>
              <w:top w:val="single" w:sz="34" w:space="0" w:color="086D44"/>
              <w:bottom w:val="single" w:sz="4" w:space="0" w:color="000000"/>
            </w:tcBorders>
          </w:tcPr>
          <w:p>
            <w:pPr>
              <w:pStyle w:val="TableParagraph"/>
              <w:spacing w:before="47"/>
              <w:ind w:right="135"/>
              <w:rPr>
                <w:sz w:val="16"/>
              </w:rPr>
            </w:pPr>
            <w:r>
              <w:rPr>
                <w:sz w:val="16"/>
              </w:rPr>
              <w:t>2017</w:t>
            </w:r>
          </w:p>
        </w:tc>
        <w:tc>
          <w:tcPr>
            <w:tcW w:w="786" w:type="dxa"/>
            <w:tcBorders>
              <w:top w:val="single" w:sz="34" w:space="0" w:color="086D44"/>
              <w:bottom w:val="single" w:sz="4" w:space="0" w:color="000000"/>
            </w:tcBorders>
          </w:tcPr>
          <w:p>
            <w:pPr>
              <w:pStyle w:val="TableParagraph"/>
              <w:spacing w:before="47"/>
              <w:ind w:right="136"/>
              <w:rPr>
                <w:sz w:val="16"/>
              </w:rPr>
            </w:pPr>
            <w:r>
              <w:rPr>
                <w:sz w:val="16"/>
              </w:rPr>
              <w:t>2018</w:t>
            </w:r>
          </w:p>
        </w:tc>
        <w:tc>
          <w:tcPr>
            <w:tcW w:w="786" w:type="dxa"/>
            <w:tcBorders>
              <w:top w:val="single" w:sz="34" w:space="0" w:color="086D44"/>
              <w:bottom w:val="single" w:sz="4" w:space="0" w:color="000000"/>
            </w:tcBorders>
          </w:tcPr>
          <w:p>
            <w:pPr>
              <w:pStyle w:val="TableParagraph"/>
              <w:spacing w:before="47"/>
              <w:ind w:right="135"/>
              <w:rPr>
                <w:sz w:val="16"/>
              </w:rPr>
            </w:pPr>
            <w:r>
              <w:rPr>
                <w:sz w:val="16"/>
              </w:rPr>
              <w:t>2019</w:t>
            </w:r>
          </w:p>
        </w:tc>
        <w:tc>
          <w:tcPr>
            <w:tcW w:w="787" w:type="dxa"/>
            <w:tcBorders>
              <w:top w:val="single" w:sz="34" w:space="0" w:color="086D44"/>
              <w:bottom w:val="single" w:sz="4" w:space="0" w:color="000000"/>
            </w:tcBorders>
          </w:tcPr>
          <w:p>
            <w:pPr>
              <w:pStyle w:val="TableParagraph"/>
              <w:spacing w:before="47"/>
              <w:ind w:right="137"/>
              <w:rPr>
                <w:sz w:val="16"/>
              </w:rPr>
            </w:pPr>
            <w:r>
              <w:rPr>
                <w:sz w:val="16"/>
              </w:rPr>
              <w:t>2020</w:t>
            </w:r>
          </w:p>
        </w:tc>
        <w:tc>
          <w:tcPr>
            <w:tcW w:w="790" w:type="dxa"/>
            <w:tcBorders>
              <w:top w:val="single" w:sz="34" w:space="0" w:color="086D44"/>
              <w:bottom w:val="single" w:sz="4" w:space="0" w:color="000000"/>
            </w:tcBorders>
          </w:tcPr>
          <w:p>
            <w:pPr>
              <w:pStyle w:val="TableParagraph"/>
              <w:spacing w:before="47"/>
              <w:ind w:right="139"/>
              <w:rPr>
                <w:sz w:val="16"/>
              </w:rPr>
            </w:pPr>
            <w:r>
              <w:rPr>
                <w:sz w:val="16"/>
              </w:rPr>
              <w:t>2021</w:t>
            </w:r>
          </w:p>
        </w:tc>
        <w:tc>
          <w:tcPr>
            <w:tcW w:w="681" w:type="dxa"/>
            <w:tcBorders>
              <w:top w:val="single" w:sz="34" w:space="0" w:color="086D44"/>
              <w:bottom w:val="single" w:sz="4" w:space="0" w:color="000000"/>
            </w:tcBorders>
          </w:tcPr>
          <w:p>
            <w:pPr>
              <w:pStyle w:val="TableParagraph"/>
              <w:spacing w:before="47"/>
              <w:ind w:right="28"/>
              <w:rPr>
                <w:sz w:val="16"/>
              </w:rPr>
            </w:pPr>
            <w:r>
              <w:rPr>
                <w:sz w:val="16"/>
              </w:rPr>
              <w:t>2022</w:t>
            </w:r>
          </w:p>
        </w:tc>
      </w:tr>
      <w:tr>
        <w:trPr>
          <w:trHeight w:val="207" w:hRule="atLeast"/>
        </w:trPr>
        <w:tc>
          <w:tcPr>
            <w:tcW w:w="3765" w:type="dxa"/>
            <w:tcBorders>
              <w:top w:val="single" w:sz="4" w:space="0" w:color="000000"/>
            </w:tcBorders>
          </w:tcPr>
          <w:p>
            <w:pPr>
              <w:pStyle w:val="TableParagraph"/>
              <w:spacing w:line="181" w:lineRule="exact" w:before="6"/>
              <w:ind w:left="28"/>
              <w:jc w:val="left"/>
              <w:rPr>
                <w:sz w:val="16"/>
              </w:rPr>
            </w:pPr>
            <w:r>
              <w:rPr>
                <w:sz w:val="16"/>
              </w:rPr>
              <w:t>QUADRO PROGRAMMATICO</w:t>
            </w:r>
          </w:p>
        </w:tc>
        <w:tc>
          <w:tcPr>
            <w:tcW w:w="749" w:type="dxa"/>
            <w:tcBorders>
              <w:top w:val="single" w:sz="4" w:space="0" w:color="000000"/>
            </w:tcBorders>
          </w:tcPr>
          <w:p>
            <w:pPr>
              <w:pStyle w:val="TableParagraph"/>
              <w:jc w:val="left"/>
              <w:rPr>
                <w:rFonts w:ascii="Times New Roman"/>
                <w:sz w:val="14"/>
              </w:rPr>
            </w:pPr>
          </w:p>
        </w:tc>
        <w:tc>
          <w:tcPr>
            <w:tcW w:w="786" w:type="dxa"/>
            <w:tcBorders>
              <w:top w:val="single" w:sz="4" w:space="0" w:color="000000"/>
            </w:tcBorders>
          </w:tcPr>
          <w:p>
            <w:pPr>
              <w:pStyle w:val="TableParagraph"/>
              <w:jc w:val="left"/>
              <w:rPr>
                <w:rFonts w:ascii="Times New Roman"/>
                <w:sz w:val="14"/>
              </w:rPr>
            </w:pPr>
          </w:p>
        </w:tc>
        <w:tc>
          <w:tcPr>
            <w:tcW w:w="786" w:type="dxa"/>
            <w:tcBorders>
              <w:top w:val="single" w:sz="4" w:space="0" w:color="000000"/>
            </w:tcBorders>
          </w:tcPr>
          <w:p>
            <w:pPr>
              <w:pStyle w:val="TableParagraph"/>
              <w:jc w:val="left"/>
              <w:rPr>
                <w:rFonts w:ascii="Times New Roman"/>
                <w:sz w:val="14"/>
              </w:rPr>
            </w:pPr>
          </w:p>
        </w:tc>
        <w:tc>
          <w:tcPr>
            <w:tcW w:w="787" w:type="dxa"/>
            <w:tcBorders>
              <w:top w:val="single" w:sz="4" w:space="0" w:color="000000"/>
            </w:tcBorders>
          </w:tcPr>
          <w:p>
            <w:pPr>
              <w:pStyle w:val="TableParagraph"/>
              <w:jc w:val="left"/>
              <w:rPr>
                <w:rFonts w:ascii="Times New Roman"/>
                <w:sz w:val="14"/>
              </w:rPr>
            </w:pPr>
          </w:p>
        </w:tc>
        <w:tc>
          <w:tcPr>
            <w:tcW w:w="790" w:type="dxa"/>
            <w:tcBorders>
              <w:top w:val="single" w:sz="4" w:space="0" w:color="000000"/>
            </w:tcBorders>
          </w:tcPr>
          <w:p>
            <w:pPr>
              <w:pStyle w:val="TableParagraph"/>
              <w:jc w:val="left"/>
              <w:rPr>
                <w:rFonts w:ascii="Times New Roman"/>
                <w:sz w:val="14"/>
              </w:rPr>
            </w:pPr>
          </w:p>
        </w:tc>
        <w:tc>
          <w:tcPr>
            <w:tcW w:w="681" w:type="dxa"/>
            <w:tcBorders>
              <w:top w:val="single" w:sz="4" w:space="0" w:color="000000"/>
            </w:tcBorders>
          </w:tcPr>
          <w:p>
            <w:pPr>
              <w:pStyle w:val="TableParagraph"/>
              <w:jc w:val="left"/>
              <w:rPr>
                <w:rFonts w:ascii="Times New Roman"/>
                <w:sz w:val="14"/>
              </w:rPr>
            </w:pPr>
          </w:p>
        </w:tc>
      </w:tr>
      <w:tr>
        <w:trPr>
          <w:trHeight w:val="227" w:hRule="atLeast"/>
        </w:trPr>
        <w:tc>
          <w:tcPr>
            <w:tcW w:w="3765" w:type="dxa"/>
          </w:tcPr>
          <w:p>
            <w:pPr>
              <w:pStyle w:val="TableParagraph"/>
              <w:spacing w:line="181" w:lineRule="exact" w:before="27"/>
              <w:ind w:left="28"/>
              <w:jc w:val="left"/>
              <w:rPr>
                <w:sz w:val="16"/>
              </w:rPr>
            </w:pPr>
            <w:r>
              <w:rPr>
                <w:sz w:val="16"/>
              </w:rPr>
              <w:t>Indebitamento netto</w:t>
            </w:r>
          </w:p>
        </w:tc>
        <w:tc>
          <w:tcPr>
            <w:tcW w:w="749" w:type="dxa"/>
          </w:tcPr>
          <w:p>
            <w:pPr>
              <w:pStyle w:val="TableParagraph"/>
              <w:spacing w:before="20"/>
              <w:ind w:right="135"/>
              <w:rPr>
                <w:sz w:val="16"/>
              </w:rPr>
            </w:pPr>
            <w:r>
              <w:rPr>
                <w:sz w:val="16"/>
              </w:rPr>
              <w:t>-2,4</w:t>
            </w:r>
          </w:p>
        </w:tc>
        <w:tc>
          <w:tcPr>
            <w:tcW w:w="786" w:type="dxa"/>
          </w:tcPr>
          <w:p>
            <w:pPr>
              <w:pStyle w:val="TableParagraph"/>
              <w:spacing w:before="20"/>
              <w:ind w:right="136"/>
              <w:rPr>
                <w:sz w:val="16"/>
              </w:rPr>
            </w:pPr>
            <w:r>
              <w:rPr>
                <w:sz w:val="16"/>
              </w:rPr>
              <w:t>-2,2</w:t>
            </w:r>
          </w:p>
        </w:tc>
        <w:tc>
          <w:tcPr>
            <w:tcW w:w="786" w:type="dxa"/>
          </w:tcPr>
          <w:p>
            <w:pPr>
              <w:pStyle w:val="TableParagraph"/>
              <w:spacing w:before="20"/>
              <w:ind w:right="135"/>
              <w:rPr>
                <w:sz w:val="16"/>
              </w:rPr>
            </w:pPr>
            <w:r>
              <w:rPr>
                <w:sz w:val="16"/>
              </w:rPr>
              <w:t>-2,2</w:t>
            </w:r>
          </w:p>
        </w:tc>
        <w:tc>
          <w:tcPr>
            <w:tcW w:w="787" w:type="dxa"/>
          </w:tcPr>
          <w:p>
            <w:pPr>
              <w:pStyle w:val="TableParagraph"/>
              <w:spacing w:before="20"/>
              <w:ind w:right="137"/>
              <w:rPr>
                <w:sz w:val="16"/>
              </w:rPr>
            </w:pPr>
            <w:r>
              <w:rPr>
                <w:sz w:val="16"/>
              </w:rPr>
              <w:t>-2,2</w:t>
            </w:r>
          </w:p>
        </w:tc>
        <w:tc>
          <w:tcPr>
            <w:tcW w:w="790" w:type="dxa"/>
          </w:tcPr>
          <w:p>
            <w:pPr>
              <w:pStyle w:val="TableParagraph"/>
              <w:spacing w:before="20"/>
              <w:ind w:right="139"/>
              <w:rPr>
                <w:sz w:val="16"/>
              </w:rPr>
            </w:pPr>
            <w:r>
              <w:rPr>
                <w:sz w:val="16"/>
              </w:rPr>
              <w:t>-1,8</w:t>
            </w:r>
          </w:p>
        </w:tc>
        <w:tc>
          <w:tcPr>
            <w:tcW w:w="681" w:type="dxa"/>
          </w:tcPr>
          <w:p>
            <w:pPr>
              <w:pStyle w:val="TableParagraph"/>
              <w:spacing w:before="20"/>
              <w:ind w:right="28"/>
              <w:rPr>
                <w:sz w:val="16"/>
              </w:rPr>
            </w:pPr>
            <w:r>
              <w:rPr>
                <w:sz w:val="16"/>
              </w:rPr>
              <w:t>-1,4</w:t>
            </w:r>
          </w:p>
        </w:tc>
      </w:tr>
      <w:tr>
        <w:trPr>
          <w:trHeight w:val="226" w:hRule="atLeast"/>
        </w:trPr>
        <w:tc>
          <w:tcPr>
            <w:tcW w:w="3765" w:type="dxa"/>
          </w:tcPr>
          <w:p>
            <w:pPr>
              <w:pStyle w:val="TableParagraph"/>
              <w:spacing w:before="24"/>
              <w:ind w:left="28"/>
              <w:jc w:val="left"/>
              <w:rPr>
                <w:sz w:val="16"/>
              </w:rPr>
            </w:pPr>
            <w:r>
              <w:rPr>
                <w:sz w:val="16"/>
              </w:rPr>
              <w:t>Saldo primario</w:t>
            </w:r>
          </w:p>
        </w:tc>
        <w:tc>
          <w:tcPr>
            <w:tcW w:w="749" w:type="dxa"/>
          </w:tcPr>
          <w:p>
            <w:pPr>
              <w:pStyle w:val="TableParagraph"/>
              <w:spacing w:before="20"/>
              <w:ind w:right="135"/>
              <w:rPr>
                <w:sz w:val="16"/>
              </w:rPr>
            </w:pPr>
            <w:r>
              <w:rPr>
                <w:sz w:val="16"/>
              </w:rPr>
              <w:t>1,3</w:t>
            </w:r>
          </w:p>
        </w:tc>
        <w:tc>
          <w:tcPr>
            <w:tcW w:w="786" w:type="dxa"/>
          </w:tcPr>
          <w:p>
            <w:pPr>
              <w:pStyle w:val="TableParagraph"/>
              <w:spacing w:before="20"/>
              <w:ind w:right="136"/>
              <w:rPr>
                <w:sz w:val="16"/>
              </w:rPr>
            </w:pPr>
            <w:r>
              <w:rPr>
                <w:sz w:val="16"/>
              </w:rPr>
              <w:t>1,5</w:t>
            </w:r>
          </w:p>
        </w:tc>
        <w:tc>
          <w:tcPr>
            <w:tcW w:w="786" w:type="dxa"/>
          </w:tcPr>
          <w:p>
            <w:pPr>
              <w:pStyle w:val="TableParagraph"/>
              <w:spacing w:before="20"/>
              <w:ind w:right="135"/>
              <w:rPr>
                <w:sz w:val="16"/>
              </w:rPr>
            </w:pPr>
            <w:r>
              <w:rPr>
                <w:sz w:val="16"/>
              </w:rPr>
              <w:t>1,3</w:t>
            </w:r>
          </w:p>
        </w:tc>
        <w:tc>
          <w:tcPr>
            <w:tcW w:w="787" w:type="dxa"/>
          </w:tcPr>
          <w:p>
            <w:pPr>
              <w:pStyle w:val="TableParagraph"/>
              <w:spacing w:before="20"/>
              <w:ind w:right="137"/>
              <w:rPr>
                <w:sz w:val="16"/>
              </w:rPr>
            </w:pPr>
            <w:r>
              <w:rPr>
                <w:sz w:val="16"/>
              </w:rPr>
              <w:t>1,1</w:t>
            </w:r>
          </w:p>
        </w:tc>
        <w:tc>
          <w:tcPr>
            <w:tcW w:w="790" w:type="dxa"/>
          </w:tcPr>
          <w:p>
            <w:pPr>
              <w:pStyle w:val="TableParagraph"/>
              <w:spacing w:before="20"/>
              <w:ind w:right="139"/>
              <w:rPr>
                <w:sz w:val="16"/>
              </w:rPr>
            </w:pPr>
            <w:r>
              <w:rPr>
                <w:sz w:val="16"/>
              </w:rPr>
              <w:t>1,3</w:t>
            </w:r>
          </w:p>
        </w:tc>
        <w:tc>
          <w:tcPr>
            <w:tcW w:w="681" w:type="dxa"/>
          </w:tcPr>
          <w:p>
            <w:pPr>
              <w:pStyle w:val="TableParagraph"/>
              <w:spacing w:before="20"/>
              <w:ind w:right="28"/>
              <w:rPr>
                <w:sz w:val="16"/>
              </w:rPr>
            </w:pPr>
            <w:r>
              <w:rPr>
                <w:sz w:val="16"/>
              </w:rPr>
              <w:t>1,6</w:t>
            </w:r>
          </w:p>
        </w:tc>
      </w:tr>
      <w:tr>
        <w:trPr>
          <w:trHeight w:val="226" w:hRule="atLeast"/>
        </w:trPr>
        <w:tc>
          <w:tcPr>
            <w:tcW w:w="3765" w:type="dxa"/>
          </w:tcPr>
          <w:p>
            <w:pPr>
              <w:pStyle w:val="TableParagraph"/>
              <w:spacing w:line="181" w:lineRule="exact" w:before="26"/>
              <w:ind w:left="28"/>
              <w:jc w:val="left"/>
              <w:rPr>
                <w:sz w:val="16"/>
              </w:rPr>
            </w:pPr>
            <w:r>
              <w:rPr>
                <w:sz w:val="16"/>
              </w:rPr>
              <w:t>Interessi</w:t>
            </w:r>
          </w:p>
        </w:tc>
        <w:tc>
          <w:tcPr>
            <w:tcW w:w="749" w:type="dxa"/>
          </w:tcPr>
          <w:p>
            <w:pPr>
              <w:pStyle w:val="TableParagraph"/>
              <w:spacing w:before="21"/>
              <w:ind w:right="135"/>
              <w:rPr>
                <w:sz w:val="16"/>
              </w:rPr>
            </w:pPr>
            <w:r>
              <w:rPr>
                <w:sz w:val="16"/>
              </w:rPr>
              <w:t>-3,8</w:t>
            </w:r>
          </w:p>
        </w:tc>
        <w:tc>
          <w:tcPr>
            <w:tcW w:w="786" w:type="dxa"/>
          </w:tcPr>
          <w:p>
            <w:pPr>
              <w:pStyle w:val="TableParagraph"/>
              <w:spacing w:before="21"/>
              <w:ind w:right="136"/>
              <w:rPr>
                <w:sz w:val="16"/>
              </w:rPr>
            </w:pPr>
            <w:r>
              <w:rPr>
                <w:sz w:val="16"/>
              </w:rPr>
              <w:t>-3,7</w:t>
            </w:r>
          </w:p>
        </w:tc>
        <w:tc>
          <w:tcPr>
            <w:tcW w:w="786" w:type="dxa"/>
          </w:tcPr>
          <w:p>
            <w:pPr>
              <w:pStyle w:val="TableParagraph"/>
              <w:spacing w:before="21"/>
              <w:ind w:right="135"/>
              <w:rPr>
                <w:sz w:val="16"/>
              </w:rPr>
            </w:pPr>
            <w:r>
              <w:rPr>
                <w:sz w:val="16"/>
              </w:rPr>
              <w:t>-3,4</w:t>
            </w:r>
          </w:p>
        </w:tc>
        <w:tc>
          <w:tcPr>
            <w:tcW w:w="787" w:type="dxa"/>
          </w:tcPr>
          <w:p>
            <w:pPr>
              <w:pStyle w:val="TableParagraph"/>
              <w:spacing w:before="21"/>
              <w:ind w:right="137"/>
              <w:rPr>
                <w:sz w:val="16"/>
              </w:rPr>
            </w:pPr>
            <w:r>
              <w:rPr>
                <w:sz w:val="16"/>
              </w:rPr>
              <w:t>-3,3</w:t>
            </w:r>
          </w:p>
        </w:tc>
        <w:tc>
          <w:tcPr>
            <w:tcW w:w="790" w:type="dxa"/>
          </w:tcPr>
          <w:p>
            <w:pPr>
              <w:pStyle w:val="TableParagraph"/>
              <w:spacing w:before="21"/>
              <w:ind w:right="139"/>
              <w:rPr>
                <w:sz w:val="16"/>
              </w:rPr>
            </w:pPr>
            <w:r>
              <w:rPr>
                <w:sz w:val="16"/>
              </w:rPr>
              <w:t>-3,1</w:t>
            </w:r>
          </w:p>
        </w:tc>
        <w:tc>
          <w:tcPr>
            <w:tcW w:w="681" w:type="dxa"/>
          </w:tcPr>
          <w:p>
            <w:pPr>
              <w:pStyle w:val="TableParagraph"/>
              <w:spacing w:before="21"/>
              <w:ind w:right="28"/>
              <w:rPr>
                <w:sz w:val="16"/>
              </w:rPr>
            </w:pPr>
            <w:r>
              <w:rPr>
                <w:sz w:val="16"/>
              </w:rPr>
              <w:t>-2,9</w:t>
            </w:r>
          </w:p>
        </w:tc>
      </w:tr>
      <w:tr>
        <w:trPr>
          <w:trHeight w:val="234" w:hRule="atLeast"/>
        </w:trPr>
        <w:tc>
          <w:tcPr>
            <w:tcW w:w="3765" w:type="dxa"/>
          </w:tcPr>
          <w:p>
            <w:pPr>
              <w:pStyle w:val="TableParagraph"/>
              <w:spacing w:before="27"/>
              <w:ind w:left="28"/>
              <w:jc w:val="left"/>
              <w:rPr>
                <w:sz w:val="16"/>
              </w:rPr>
            </w:pPr>
            <w:r>
              <w:rPr>
                <w:sz w:val="16"/>
              </w:rPr>
              <w:t>Indebitamento netto strutturale (2)</w:t>
            </w:r>
          </w:p>
        </w:tc>
        <w:tc>
          <w:tcPr>
            <w:tcW w:w="749" w:type="dxa"/>
          </w:tcPr>
          <w:p>
            <w:pPr>
              <w:pStyle w:val="TableParagraph"/>
              <w:spacing w:before="20"/>
              <w:ind w:right="135"/>
              <w:rPr>
                <w:sz w:val="16"/>
              </w:rPr>
            </w:pPr>
            <w:r>
              <w:rPr>
                <w:sz w:val="16"/>
              </w:rPr>
              <w:t>-1,4</w:t>
            </w:r>
          </w:p>
        </w:tc>
        <w:tc>
          <w:tcPr>
            <w:tcW w:w="786" w:type="dxa"/>
          </w:tcPr>
          <w:p>
            <w:pPr>
              <w:pStyle w:val="TableParagraph"/>
              <w:spacing w:before="20"/>
              <w:ind w:right="136"/>
              <w:rPr>
                <w:sz w:val="16"/>
              </w:rPr>
            </w:pPr>
            <w:r>
              <w:rPr>
                <w:sz w:val="16"/>
              </w:rPr>
              <w:t>-1,5</w:t>
            </w:r>
          </w:p>
        </w:tc>
        <w:tc>
          <w:tcPr>
            <w:tcW w:w="786" w:type="dxa"/>
          </w:tcPr>
          <w:p>
            <w:pPr>
              <w:pStyle w:val="TableParagraph"/>
              <w:spacing w:before="20"/>
              <w:ind w:right="135"/>
              <w:rPr>
                <w:sz w:val="16"/>
              </w:rPr>
            </w:pPr>
            <w:r>
              <w:rPr>
                <w:sz w:val="16"/>
              </w:rPr>
              <w:t>-1,2</w:t>
            </w:r>
          </w:p>
        </w:tc>
        <w:tc>
          <w:tcPr>
            <w:tcW w:w="787" w:type="dxa"/>
          </w:tcPr>
          <w:p>
            <w:pPr>
              <w:pStyle w:val="TableParagraph"/>
              <w:spacing w:before="20"/>
              <w:ind w:right="137"/>
              <w:rPr>
                <w:sz w:val="16"/>
              </w:rPr>
            </w:pPr>
            <w:r>
              <w:rPr>
                <w:sz w:val="16"/>
              </w:rPr>
              <w:t>-1,4</w:t>
            </w:r>
          </w:p>
        </w:tc>
        <w:tc>
          <w:tcPr>
            <w:tcW w:w="790" w:type="dxa"/>
          </w:tcPr>
          <w:p>
            <w:pPr>
              <w:pStyle w:val="TableParagraph"/>
              <w:spacing w:before="20"/>
              <w:ind w:right="139"/>
              <w:rPr>
                <w:sz w:val="16"/>
              </w:rPr>
            </w:pPr>
            <w:r>
              <w:rPr>
                <w:sz w:val="16"/>
              </w:rPr>
              <w:t>-1,2</w:t>
            </w:r>
          </w:p>
        </w:tc>
        <w:tc>
          <w:tcPr>
            <w:tcW w:w="681" w:type="dxa"/>
          </w:tcPr>
          <w:p>
            <w:pPr>
              <w:pStyle w:val="TableParagraph"/>
              <w:spacing w:line="175" w:lineRule="exact" w:before="39"/>
              <w:ind w:right="28"/>
              <w:rPr>
                <w:sz w:val="16"/>
              </w:rPr>
            </w:pPr>
            <w:r>
              <w:rPr>
                <w:sz w:val="16"/>
              </w:rPr>
              <w:t>-1,0</w:t>
            </w:r>
          </w:p>
        </w:tc>
      </w:tr>
      <w:tr>
        <w:trPr>
          <w:trHeight w:val="225" w:hRule="atLeast"/>
        </w:trPr>
        <w:tc>
          <w:tcPr>
            <w:tcW w:w="3765" w:type="dxa"/>
          </w:tcPr>
          <w:p>
            <w:pPr>
              <w:pStyle w:val="TableParagraph"/>
              <w:spacing w:before="19"/>
              <w:ind w:left="28"/>
              <w:jc w:val="left"/>
              <w:rPr>
                <w:sz w:val="16"/>
              </w:rPr>
            </w:pPr>
            <w:r>
              <w:rPr>
                <w:sz w:val="16"/>
              </w:rPr>
              <w:t>Variazione strutturale</w:t>
            </w:r>
          </w:p>
        </w:tc>
        <w:tc>
          <w:tcPr>
            <w:tcW w:w="749" w:type="dxa"/>
          </w:tcPr>
          <w:p>
            <w:pPr>
              <w:pStyle w:val="TableParagraph"/>
              <w:spacing w:before="14"/>
              <w:ind w:right="135"/>
              <w:rPr>
                <w:sz w:val="16"/>
              </w:rPr>
            </w:pPr>
            <w:r>
              <w:rPr>
                <w:sz w:val="16"/>
              </w:rPr>
              <w:t>-0,6</w:t>
            </w:r>
          </w:p>
        </w:tc>
        <w:tc>
          <w:tcPr>
            <w:tcW w:w="786" w:type="dxa"/>
          </w:tcPr>
          <w:p>
            <w:pPr>
              <w:pStyle w:val="TableParagraph"/>
              <w:spacing w:before="14"/>
              <w:ind w:right="136"/>
              <w:rPr>
                <w:sz w:val="16"/>
              </w:rPr>
            </w:pPr>
            <w:r>
              <w:rPr>
                <w:sz w:val="16"/>
              </w:rPr>
              <w:t>-0,1</w:t>
            </w:r>
          </w:p>
        </w:tc>
        <w:tc>
          <w:tcPr>
            <w:tcW w:w="786" w:type="dxa"/>
          </w:tcPr>
          <w:p>
            <w:pPr>
              <w:pStyle w:val="TableParagraph"/>
              <w:spacing w:before="14"/>
              <w:ind w:right="135"/>
              <w:rPr>
                <w:sz w:val="16"/>
              </w:rPr>
            </w:pPr>
            <w:r>
              <w:rPr>
                <w:sz w:val="16"/>
              </w:rPr>
              <w:t>0,3</w:t>
            </w:r>
          </w:p>
        </w:tc>
        <w:tc>
          <w:tcPr>
            <w:tcW w:w="787" w:type="dxa"/>
          </w:tcPr>
          <w:p>
            <w:pPr>
              <w:pStyle w:val="TableParagraph"/>
              <w:spacing w:before="14"/>
              <w:ind w:right="137"/>
              <w:rPr>
                <w:sz w:val="16"/>
              </w:rPr>
            </w:pPr>
            <w:r>
              <w:rPr>
                <w:sz w:val="16"/>
              </w:rPr>
              <w:t>-0,1</w:t>
            </w:r>
          </w:p>
        </w:tc>
        <w:tc>
          <w:tcPr>
            <w:tcW w:w="790" w:type="dxa"/>
          </w:tcPr>
          <w:p>
            <w:pPr>
              <w:pStyle w:val="TableParagraph"/>
              <w:spacing w:before="14"/>
              <w:ind w:right="139"/>
              <w:rPr>
                <w:sz w:val="16"/>
              </w:rPr>
            </w:pPr>
            <w:r>
              <w:rPr>
                <w:sz w:val="16"/>
              </w:rPr>
              <w:t>0,2</w:t>
            </w:r>
          </w:p>
        </w:tc>
        <w:tc>
          <w:tcPr>
            <w:tcW w:w="681" w:type="dxa"/>
          </w:tcPr>
          <w:p>
            <w:pPr>
              <w:pStyle w:val="TableParagraph"/>
              <w:spacing w:line="175" w:lineRule="exact" w:before="31"/>
              <w:ind w:right="28"/>
              <w:rPr>
                <w:sz w:val="16"/>
              </w:rPr>
            </w:pPr>
            <w:r>
              <w:rPr>
                <w:sz w:val="16"/>
              </w:rPr>
              <w:t>0,2</w:t>
            </w:r>
          </w:p>
        </w:tc>
      </w:tr>
      <w:tr>
        <w:trPr>
          <w:trHeight w:val="221" w:hRule="atLeast"/>
        </w:trPr>
        <w:tc>
          <w:tcPr>
            <w:tcW w:w="3765" w:type="dxa"/>
          </w:tcPr>
          <w:p>
            <w:pPr>
              <w:pStyle w:val="TableParagraph"/>
              <w:spacing w:line="181" w:lineRule="exact" w:before="21"/>
              <w:ind w:left="28"/>
              <w:jc w:val="left"/>
              <w:rPr>
                <w:sz w:val="16"/>
              </w:rPr>
            </w:pPr>
            <w:r>
              <w:rPr>
                <w:sz w:val="16"/>
              </w:rPr>
              <w:t>Debito pubblico (lordo sostegni) (3)</w:t>
            </w:r>
          </w:p>
        </w:tc>
        <w:tc>
          <w:tcPr>
            <w:tcW w:w="749" w:type="dxa"/>
          </w:tcPr>
          <w:p>
            <w:pPr>
              <w:pStyle w:val="TableParagraph"/>
              <w:spacing w:before="14"/>
              <w:ind w:right="135"/>
              <w:rPr>
                <w:sz w:val="16"/>
              </w:rPr>
            </w:pPr>
            <w:r>
              <w:rPr>
                <w:sz w:val="16"/>
              </w:rPr>
              <w:t>134,1</w:t>
            </w:r>
          </w:p>
        </w:tc>
        <w:tc>
          <w:tcPr>
            <w:tcW w:w="786" w:type="dxa"/>
          </w:tcPr>
          <w:p>
            <w:pPr>
              <w:pStyle w:val="TableParagraph"/>
              <w:spacing w:before="14"/>
              <w:ind w:right="136"/>
              <w:rPr>
                <w:sz w:val="16"/>
              </w:rPr>
            </w:pPr>
            <w:r>
              <w:rPr>
                <w:sz w:val="16"/>
              </w:rPr>
              <w:t>134,8</w:t>
            </w:r>
          </w:p>
        </w:tc>
        <w:tc>
          <w:tcPr>
            <w:tcW w:w="786" w:type="dxa"/>
          </w:tcPr>
          <w:p>
            <w:pPr>
              <w:pStyle w:val="TableParagraph"/>
              <w:spacing w:before="14"/>
              <w:ind w:right="135"/>
              <w:rPr>
                <w:sz w:val="16"/>
              </w:rPr>
            </w:pPr>
            <w:r>
              <w:rPr>
                <w:sz w:val="16"/>
              </w:rPr>
              <w:t>135,7</w:t>
            </w:r>
          </w:p>
        </w:tc>
        <w:tc>
          <w:tcPr>
            <w:tcW w:w="787" w:type="dxa"/>
          </w:tcPr>
          <w:p>
            <w:pPr>
              <w:pStyle w:val="TableParagraph"/>
              <w:spacing w:before="14"/>
              <w:ind w:right="136"/>
              <w:rPr>
                <w:sz w:val="16"/>
              </w:rPr>
            </w:pPr>
            <w:r>
              <w:rPr>
                <w:sz w:val="16"/>
              </w:rPr>
              <w:t>135,2</w:t>
            </w:r>
          </w:p>
        </w:tc>
        <w:tc>
          <w:tcPr>
            <w:tcW w:w="790" w:type="dxa"/>
          </w:tcPr>
          <w:p>
            <w:pPr>
              <w:pStyle w:val="TableParagraph"/>
              <w:spacing w:before="14"/>
              <w:ind w:right="139"/>
              <w:rPr>
                <w:sz w:val="16"/>
              </w:rPr>
            </w:pPr>
            <w:r>
              <w:rPr>
                <w:sz w:val="16"/>
              </w:rPr>
              <w:t>133,4</w:t>
            </w:r>
          </w:p>
        </w:tc>
        <w:tc>
          <w:tcPr>
            <w:tcW w:w="681" w:type="dxa"/>
          </w:tcPr>
          <w:p>
            <w:pPr>
              <w:pStyle w:val="TableParagraph"/>
              <w:spacing w:before="14"/>
              <w:ind w:right="28"/>
              <w:rPr>
                <w:sz w:val="16"/>
              </w:rPr>
            </w:pPr>
            <w:r>
              <w:rPr>
                <w:sz w:val="16"/>
              </w:rPr>
              <w:t>131,4</w:t>
            </w:r>
          </w:p>
        </w:tc>
      </w:tr>
      <w:tr>
        <w:trPr>
          <w:trHeight w:val="245" w:hRule="atLeast"/>
        </w:trPr>
        <w:tc>
          <w:tcPr>
            <w:tcW w:w="3765" w:type="dxa"/>
            <w:tcBorders>
              <w:bottom w:val="single" w:sz="4" w:space="0" w:color="000000"/>
            </w:tcBorders>
          </w:tcPr>
          <w:p>
            <w:pPr>
              <w:pStyle w:val="TableParagraph"/>
              <w:spacing w:before="24"/>
              <w:ind w:left="28"/>
              <w:jc w:val="left"/>
              <w:rPr>
                <w:sz w:val="16"/>
              </w:rPr>
            </w:pPr>
            <w:r>
              <w:rPr>
                <w:sz w:val="16"/>
              </w:rPr>
              <w:t>Debito pubblico (netto sostegni) (3)</w:t>
            </w:r>
          </w:p>
        </w:tc>
        <w:tc>
          <w:tcPr>
            <w:tcW w:w="749" w:type="dxa"/>
            <w:tcBorders>
              <w:bottom w:val="single" w:sz="4" w:space="0" w:color="000000"/>
            </w:tcBorders>
          </w:tcPr>
          <w:p>
            <w:pPr>
              <w:pStyle w:val="TableParagraph"/>
              <w:spacing w:before="20"/>
              <w:ind w:right="135"/>
              <w:rPr>
                <w:sz w:val="16"/>
              </w:rPr>
            </w:pPr>
            <w:r>
              <w:rPr>
                <w:sz w:val="16"/>
              </w:rPr>
              <w:t>130,7</w:t>
            </w:r>
          </w:p>
        </w:tc>
        <w:tc>
          <w:tcPr>
            <w:tcW w:w="786" w:type="dxa"/>
            <w:tcBorders>
              <w:bottom w:val="single" w:sz="4" w:space="0" w:color="000000"/>
            </w:tcBorders>
          </w:tcPr>
          <w:p>
            <w:pPr>
              <w:pStyle w:val="TableParagraph"/>
              <w:spacing w:before="20"/>
              <w:ind w:right="136"/>
              <w:rPr>
                <w:sz w:val="16"/>
              </w:rPr>
            </w:pPr>
            <w:r>
              <w:rPr>
                <w:sz w:val="16"/>
              </w:rPr>
              <w:t>131,5</w:t>
            </w:r>
          </w:p>
        </w:tc>
        <w:tc>
          <w:tcPr>
            <w:tcW w:w="786" w:type="dxa"/>
            <w:tcBorders>
              <w:bottom w:val="single" w:sz="4" w:space="0" w:color="000000"/>
            </w:tcBorders>
          </w:tcPr>
          <w:p>
            <w:pPr>
              <w:pStyle w:val="TableParagraph"/>
              <w:spacing w:before="20"/>
              <w:ind w:right="135"/>
              <w:rPr>
                <w:sz w:val="16"/>
              </w:rPr>
            </w:pPr>
            <w:r>
              <w:rPr>
                <w:sz w:val="16"/>
              </w:rPr>
              <w:t>132,5</w:t>
            </w:r>
          </w:p>
        </w:tc>
        <w:tc>
          <w:tcPr>
            <w:tcW w:w="787" w:type="dxa"/>
            <w:tcBorders>
              <w:bottom w:val="single" w:sz="4" w:space="0" w:color="000000"/>
            </w:tcBorders>
          </w:tcPr>
          <w:p>
            <w:pPr>
              <w:pStyle w:val="TableParagraph"/>
              <w:spacing w:before="20"/>
              <w:ind w:right="137"/>
              <w:rPr>
                <w:sz w:val="16"/>
              </w:rPr>
            </w:pPr>
            <w:r>
              <w:rPr>
                <w:sz w:val="16"/>
              </w:rPr>
              <w:t>132,0</w:t>
            </w:r>
          </w:p>
        </w:tc>
        <w:tc>
          <w:tcPr>
            <w:tcW w:w="790" w:type="dxa"/>
            <w:tcBorders>
              <w:bottom w:val="single" w:sz="4" w:space="0" w:color="000000"/>
            </w:tcBorders>
          </w:tcPr>
          <w:p>
            <w:pPr>
              <w:pStyle w:val="TableParagraph"/>
              <w:spacing w:before="20"/>
              <w:ind w:right="139"/>
              <w:rPr>
                <w:sz w:val="16"/>
              </w:rPr>
            </w:pPr>
            <w:r>
              <w:rPr>
                <w:sz w:val="16"/>
              </w:rPr>
              <w:t>130,3</w:t>
            </w:r>
          </w:p>
        </w:tc>
        <w:tc>
          <w:tcPr>
            <w:tcW w:w="681" w:type="dxa"/>
            <w:tcBorders>
              <w:bottom w:val="single" w:sz="4" w:space="0" w:color="000000"/>
            </w:tcBorders>
          </w:tcPr>
          <w:p>
            <w:pPr>
              <w:pStyle w:val="TableParagraph"/>
              <w:spacing w:before="20"/>
              <w:ind w:right="28"/>
              <w:rPr>
                <w:sz w:val="16"/>
              </w:rPr>
            </w:pPr>
            <w:r>
              <w:rPr>
                <w:sz w:val="16"/>
              </w:rPr>
              <w:t>128,4</w:t>
            </w:r>
          </w:p>
        </w:tc>
      </w:tr>
      <w:tr>
        <w:trPr>
          <w:trHeight w:val="227" w:hRule="atLeast"/>
        </w:trPr>
        <w:tc>
          <w:tcPr>
            <w:tcW w:w="3765" w:type="dxa"/>
            <w:tcBorders>
              <w:top w:val="single" w:sz="4" w:space="0" w:color="000000"/>
              <w:bottom w:val="single" w:sz="4" w:space="0" w:color="000000"/>
            </w:tcBorders>
          </w:tcPr>
          <w:p>
            <w:pPr>
              <w:pStyle w:val="TableParagraph"/>
              <w:spacing w:before="6"/>
              <w:ind w:left="28"/>
              <w:jc w:val="left"/>
              <w:rPr>
                <w:sz w:val="16"/>
              </w:rPr>
            </w:pPr>
            <w:r>
              <w:rPr>
                <w:sz w:val="16"/>
              </w:rPr>
              <w:t>Proventi da privatizzazioni</w:t>
            </w:r>
          </w:p>
        </w:tc>
        <w:tc>
          <w:tcPr>
            <w:tcW w:w="749" w:type="dxa"/>
            <w:tcBorders>
              <w:top w:val="single" w:sz="4" w:space="0" w:color="000000"/>
              <w:bottom w:val="single" w:sz="4" w:space="0" w:color="000000"/>
            </w:tcBorders>
          </w:tcPr>
          <w:p>
            <w:pPr>
              <w:pStyle w:val="TableParagraph"/>
              <w:spacing w:before="2"/>
              <w:ind w:right="135"/>
              <w:rPr>
                <w:sz w:val="16"/>
              </w:rPr>
            </w:pPr>
            <w:r>
              <w:rPr>
                <w:sz w:val="16"/>
              </w:rPr>
              <w:t>0,0</w:t>
            </w:r>
          </w:p>
        </w:tc>
        <w:tc>
          <w:tcPr>
            <w:tcW w:w="786" w:type="dxa"/>
            <w:tcBorders>
              <w:top w:val="single" w:sz="4" w:space="0" w:color="000000"/>
              <w:bottom w:val="single" w:sz="4" w:space="0" w:color="000000"/>
            </w:tcBorders>
          </w:tcPr>
          <w:p>
            <w:pPr>
              <w:pStyle w:val="TableParagraph"/>
              <w:spacing w:before="2"/>
              <w:ind w:right="136"/>
              <w:rPr>
                <w:sz w:val="16"/>
              </w:rPr>
            </w:pPr>
            <w:r>
              <w:rPr>
                <w:sz w:val="16"/>
              </w:rPr>
              <w:t>0,0</w:t>
            </w:r>
          </w:p>
        </w:tc>
        <w:tc>
          <w:tcPr>
            <w:tcW w:w="786" w:type="dxa"/>
            <w:tcBorders>
              <w:top w:val="single" w:sz="4" w:space="0" w:color="000000"/>
              <w:bottom w:val="single" w:sz="4" w:space="0" w:color="000000"/>
            </w:tcBorders>
          </w:tcPr>
          <w:p>
            <w:pPr>
              <w:pStyle w:val="TableParagraph"/>
              <w:spacing w:before="2"/>
              <w:ind w:right="135"/>
              <w:rPr>
                <w:sz w:val="16"/>
              </w:rPr>
            </w:pPr>
            <w:r>
              <w:rPr>
                <w:sz w:val="16"/>
              </w:rPr>
              <w:t>0,0</w:t>
            </w:r>
          </w:p>
        </w:tc>
        <w:tc>
          <w:tcPr>
            <w:tcW w:w="787" w:type="dxa"/>
            <w:tcBorders>
              <w:top w:val="single" w:sz="4" w:space="0" w:color="000000"/>
              <w:bottom w:val="single" w:sz="4" w:space="0" w:color="000000"/>
            </w:tcBorders>
          </w:tcPr>
          <w:p>
            <w:pPr>
              <w:pStyle w:val="TableParagraph"/>
              <w:spacing w:before="2"/>
              <w:ind w:right="137"/>
              <w:rPr>
                <w:sz w:val="16"/>
              </w:rPr>
            </w:pPr>
            <w:r>
              <w:rPr>
                <w:sz w:val="16"/>
              </w:rPr>
              <w:t>0,2</w:t>
            </w:r>
          </w:p>
        </w:tc>
        <w:tc>
          <w:tcPr>
            <w:tcW w:w="790" w:type="dxa"/>
            <w:tcBorders>
              <w:top w:val="single" w:sz="4" w:space="0" w:color="000000"/>
              <w:bottom w:val="single" w:sz="4" w:space="0" w:color="000000"/>
            </w:tcBorders>
          </w:tcPr>
          <w:p>
            <w:pPr>
              <w:pStyle w:val="TableParagraph"/>
              <w:spacing w:before="2"/>
              <w:ind w:right="139"/>
              <w:rPr>
                <w:sz w:val="16"/>
              </w:rPr>
            </w:pPr>
            <w:r>
              <w:rPr>
                <w:sz w:val="16"/>
              </w:rPr>
              <w:t>0,2</w:t>
            </w:r>
          </w:p>
        </w:tc>
        <w:tc>
          <w:tcPr>
            <w:tcW w:w="681" w:type="dxa"/>
            <w:tcBorders>
              <w:top w:val="single" w:sz="4" w:space="0" w:color="000000"/>
              <w:bottom w:val="single" w:sz="4" w:space="0" w:color="000000"/>
            </w:tcBorders>
          </w:tcPr>
          <w:p>
            <w:pPr>
              <w:pStyle w:val="TableParagraph"/>
              <w:spacing w:before="2"/>
              <w:ind w:right="28"/>
              <w:rPr>
                <w:sz w:val="16"/>
              </w:rPr>
            </w:pPr>
            <w:r>
              <w:rPr>
                <w:sz w:val="16"/>
              </w:rPr>
              <w:t>0,2</w:t>
            </w:r>
          </w:p>
        </w:tc>
      </w:tr>
      <w:tr>
        <w:trPr>
          <w:trHeight w:val="207" w:hRule="atLeast"/>
        </w:trPr>
        <w:tc>
          <w:tcPr>
            <w:tcW w:w="3765" w:type="dxa"/>
            <w:tcBorders>
              <w:top w:val="single" w:sz="4" w:space="0" w:color="000000"/>
            </w:tcBorders>
          </w:tcPr>
          <w:p>
            <w:pPr>
              <w:pStyle w:val="TableParagraph"/>
              <w:spacing w:line="181" w:lineRule="exact" w:before="6"/>
              <w:ind w:left="28"/>
              <w:jc w:val="left"/>
              <w:rPr>
                <w:sz w:val="16"/>
              </w:rPr>
            </w:pPr>
            <w:r>
              <w:rPr>
                <w:sz w:val="16"/>
              </w:rPr>
              <w:t>QUADRO TENDENZIALE</w:t>
            </w:r>
          </w:p>
        </w:tc>
        <w:tc>
          <w:tcPr>
            <w:tcW w:w="749" w:type="dxa"/>
            <w:tcBorders>
              <w:top w:val="single" w:sz="4" w:space="0" w:color="000000"/>
            </w:tcBorders>
          </w:tcPr>
          <w:p>
            <w:pPr>
              <w:pStyle w:val="TableParagraph"/>
              <w:jc w:val="left"/>
              <w:rPr>
                <w:rFonts w:ascii="Times New Roman"/>
                <w:sz w:val="14"/>
              </w:rPr>
            </w:pPr>
          </w:p>
        </w:tc>
        <w:tc>
          <w:tcPr>
            <w:tcW w:w="786" w:type="dxa"/>
            <w:tcBorders>
              <w:top w:val="single" w:sz="4" w:space="0" w:color="000000"/>
            </w:tcBorders>
          </w:tcPr>
          <w:p>
            <w:pPr>
              <w:pStyle w:val="TableParagraph"/>
              <w:jc w:val="left"/>
              <w:rPr>
                <w:rFonts w:ascii="Times New Roman"/>
                <w:sz w:val="14"/>
              </w:rPr>
            </w:pPr>
          </w:p>
        </w:tc>
        <w:tc>
          <w:tcPr>
            <w:tcW w:w="786" w:type="dxa"/>
            <w:tcBorders>
              <w:top w:val="single" w:sz="4" w:space="0" w:color="000000"/>
            </w:tcBorders>
          </w:tcPr>
          <w:p>
            <w:pPr>
              <w:pStyle w:val="TableParagraph"/>
              <w:jc w:val="left"/>
              <w:rPr>
                <w:rFonts w:ascii="Times New Roman"/>
                <w:sz w:val="14"/>
              </w:rPr>
            </w:pPr>
          </w:p>
        </w:tc>
        <w:tc>
          <w:tcPr>
            <w:tcW w:w="787" w:type="dxa"/>
            <w:tcBorders>
              <w:top w:val="single" w:sz="4" w:space="0" w:color="000000"/>
            </w:tcBorders>
          </w:tcPr>
          <w:p>
            <w:pPr>
              <w:pStyle w:val="TableParagraph"/>
              <w:jc w:val="left"/>
              <w:rPr>
                <w:rFonts w:ascii="Times New Roman"/>
                <w:sz w:val="14"/>
              </w:rPr>
            </w:pPr>
          </w:p>
        </w:tc>
        <w:tc>
          <w:tcPr>
            <w:tcW w:w="790" w:type="dxa"/>
            <w:tcBorders>
              <w:top w:val="single" w:sz="4" w:space="0" w:color="000000"/>
            </w:tcBorders>
          </w:tcPr>
          <w:p>
            <w:pPr>
              <w:pStyle w:val="TableParagraph"/>
              <w:jc w:val="left"/>
              <w:rPr>
                <w:rFonts w:ascii="Times New Roman"/>
                <w:sz w:val="14"/>
              </w:rPr>
            </w:pPr>
          </w:p>
        </w:tc>
        <w:tc>
          <w:tcPr>
            <w:tcW w:w="681" w:type="dxa"/>
            <w:tcBorders>
              <w:top w:val="single" w:sz="4" w:space="0" w:color="000000"/>
            </w:tcBorders>
          </w:tcPr>
          <w:p>
            <w:pPr>
              <w:pStyle w:val="TableParagraph"/>
              <w:jc w:val="left"/>
              <w:rPr>
                <w:rFonts w:ascii="Times New Roman"/>
                <w:sz w:val="14"/>
              </w:rPr>
            </w:pPr>
          </w:p>
        </w:tc>
      </w:tr>
      <w:tr>
        <w:trPr>
          <w:trHeight w:val="226" w:hRule="atLeast"/>
        </w:trPr>
        <w:tc>
          <w:tcPr>
            <w:tcW w:w="3765" w:type="dxa"/>
          </w:tcPr>
          <w:p>
            <w:pPr>
              <w:pStyle w:val="TableParagraph"/>
              <w:spacing w:before="24"/>
              <w:ind w:left="28"/>
              <w:jc w:val="left"/>
              <w:rPr>
                <w:sz w:val="16"/>
              </w:rPr>
            </w:pPr>
            <w:r>
              <w:rPr>
                <w:sz w:val="16"/>
              </w:rPr>
              <w:t>Indebitamento netto</w:t>
            </w:r>
          </w:p>
        </w:tc>
        <w:tc>
          <w:tcPr>
            <w:tcW w:w="749" w:type="dxa"/>
          </w:tcPr>
          <w:p>
            <w:pPr>
              <w:pStyle w:val="TableParagraph"/>
              <w:spacing w:before="20"/>
              <w:ind w:right="135"/>
              <w:rPr>
                <w:sz w:val="16"/>
              </w:rPr>
            </w:pPr>
            <w:r>
              <w:rPr>
                <w:sz w:val="16"/>
              </w:rPr>
              <w:t>-2,4</w:t>
            </w:r>
          </w:p>
        </w:tc>
        <w:tc>
          <w:tcPr>
            <w:tcW w:w="786" w:type="dxa"/>
          </w:tcPr>
          <w:p>
            <w:pPr>
              <w:pStyle w:val="TableParagraph"/>
              <w:spacing w:before="20"/>
              <w:ind w:right="136"/>
              <w:rPr>
                <w:sz w:val="16"/>
              </w:rPr>
            </w:pPr>
            <w:r>
              <w:rPr>
                <w:sz w:val="16"/>
              </w:rPr>
              <w:t>-2,2</w:t>
            </w:r>
          </w:p>
        </w:tc>
        <w:tc>
          <w:tcPr>
            <w:tcW w:w="786" w:type="dxa"/>
          </w:tcPr>
          <w:p>
            <w:pPr>
              <w:pStyle w:val="TableParagraph"/>
              <w:spacing w:before="20"/>
              <w:ind w:right="135"/>
              <w:rPr>
                <w:sz w:val="16"/>
              </w:rPr>
            </w:pPr>
            <w:r>
              <w:rPr>
                <w:sz w:val="16"/>
              </w:rPr>
              <w:t>-2,2</w:t>
            </w:r>
          </w:p>
        </w:tc>
        <w:tc>
          <w:tcPr>
            <w:tcW w:w="787" w:type="dxa"/>
          </w:tcPr>
          <w:p>
            <w:pPr>
              <w:pStyle w:val="TableParagraph"/>
              <w:spacing w:before="20"/>
              <w:ind w:right="137"/>
              <w:rPr>
                <w:sz w:val="16"/>
              </w:rPr>
            </w:pPr>
            <w:r>
              <w:rPr>
                <w:sz w:val="16"/>
              </w:rPr>
              <w:t>-1,4</w:t>
            </w:r>
          </w:p>
        </w:tc>
        <w:tc>
          <w:tcPr>
            <w:tcW w:w="790" w:type="dxa"/>
          </w:tcPr>
          <w:p>
            <w:pPr>
              <w:pStyle w:val="TableParagraph"/>
              <w:spacing w:before="20"/>
              <w:ind w:right="139"/>
              <w:rPr>
                <w:sz w:val="16"/>
              </w:rPr>
            </w:pPr>
            <w:r>
              <w:rPr>
                <w:sz w:val="16"/>
              </w:rPr>
              <w:t>-1,1</w:t>
            </w:r>
          </w:p>
        </w:tc>
        <w:tc>
          <w:tcPr>
            <w:tcW w:w="681" w:type="dxa"/>
          </w:tcPr>
          <w:p>
            <w:pPr>
              <w:pStyle w:val="TableParagraph"/>
              <w:spacing w:before="20"/>
              <w:ind w:right="28"/>
              <w:rPr>
                <w:sz w:val="16"/>
              </w:rPr>
            </w:pPr>
            <w:r>
              <w:rPr>
                <w:sz w:val="16"/>
              </w:rPr>
              <w:t>-0,9</w:t>
            </w:r>
          </w:p>
        </w:tc>
      </w:tr>
      <w:tr>
        <w:trPr>
          <w:trHeight w:val="226" w:hRule="atLeast"/>
        </w:trPr>
        <w:tc>
          <w:tcPr>
            <w:tcW w:w="3765" w:type="dxa"/>
          </w:tcPr>
          <w:p>
            <w:pPr>
              <w:pStyle w:val="TableParagraph"/>
              <w:spacing w:line="181" w:lineRule="exact" w:before="26"/>
              <w:ind w:left="28"/>
              <w:jc w:val="left"/>
              <w:rPr>
                <w:sz w:val="16"/>
              </w:rPr>
            </w:pPr>
            <w:r>
              <w:rPr>
                <w:sz w:val="16"/>
              </w:rPr>
              <w:t>Saldo primario</w:t>
            </w:r>
          </w:p>
        </w:tc>
        <w:tc>
          <w:tcPr>
            <w:tcW w:w="749" w:type="dxa"/>
          </w:tcPr>
          <w:p>
            <w:pPr>
              <w:pStyle w:val="TableParagraph"/>
              <w:spacing w:before="21"/>
              <w:ind w:right="135"/>
              <w:rPr>
                <w:sz w:val="16"/>
              </w:rPr>
            </w:pPr>
            <w:r>
              <w:rPr>
                <w:sz w:val="16"/>
              </w:rPr>
              <w:t>1,3</w:t>
            </w:r>
          </w:p>
        </w:tc>
        <w:tc>
          <w:tcPr>
            <w:tcW w:w="786" w:type="dxa"/>
          </w:tcPr>
          <w:p>
            <w:pPr>
              <w:pStyle w:val="TableParagraph"/>
              <w:spacing w:before="21"/>
              <w:ind w:right="136"/>
              <w:rPr>
                <w:sz w:val="16"/>
              </w:rPr>
            </w:pPr>
            <w:r>
              <w:rPr>
                <w:sz w:val="16"/>
              </w:rPr>
              <w:t>1,5</w:t>
            </w:r>
          </w:p>
        </w:tc>
        <w:tc>
          <w:tcPr>
            <w:tcW w:w="786" w:type="dxa"/>
          </w:tcPr>
          <w:p>
            <w:pPr>
              <w:pStyle w:val="TableParagraph"/>
              <w:spacing w:before="21"/>
              <w:ind w:right="135"/>
              <w:rPr>
                <w:sz w:val="16"/>
              </w:rPr>
            </w:pPr>
            <w:r>
              <w:rPr>
                <w:sz w:val="16"/>
              </w:rPr>
              <w:t>1,3</w:t>
            </w:r>
          </w:p>
        </w:tc>
        <w:tc>
          <w:tcPr>
            <w:tcW w:w="787" w:type="dxa"/>
          </w:tcPr>
          <w:p>
            <w:pPr>
              <w:pStyle w:val="TableParagraph"/>
              <w:spacing w:before="21"/>
              <w:ind w:right="137"/>
              <w:rPr>
                <w:sz w:val="16"/>
              </w:rPr>
            </w:pPr>
            <w:r>
              <w:rPr>
                <w:sz w:val="16"/>
              </w:rPr>
              <w:t>1,9</w:t>
            </w:r>
          </w:p>
        </w:tc>
        <w:tc>
          <w:tcPr>
            <w:tcW w:w="790" w:type="dxa"/>
          </w:tcPr>
          <w:p>
            <w:pPr>
              <w:pStyle w:val="TableParagraph"/>
              <w:spacing w:before="21"/>
              <w:ind w:right="139"/>
              <w:rPr>
                <w:sz w:val="16"/>
              </w:rPr>
            </w:pPr>
            <w:r>
              <w:rPr>
                <w:sz w:val="16"/>
              </w:rPr>
              <w:t>1,9</w:t>
            </w:r>
          </w:p>
        </w:tc>
        <w:tc>
          <w:tcPr>
            <w:tcW w:w="681" w:type="dxa"/>
          </w:tcPr>
          <w:p>
            <w:pPr>
              <w:pStyle w:val="TableParagraph"/>
              <w:spacing w:before="21"/>
              <w:ind w:right="28"/>
              <w:rPr>
                <w:sz w:val="16"/>
              </w:rPr>
            </w:pPr>
            <w:r>
              <w:rPr>
                <w:sz w:val="16"/>
              </w:rPr>
              <w:t>2,0</w:t>
            </w:r>
          </w:p>
        </w:tc>
      </w:tr>
      <w:tr>
        <w:trPr>
          <w:trHeight w:val="228" w:hRule="atLeast"/>
        </w:trPr>
        <w:tc>
          <w:tcPr>
            <w:tcW w:w="3765" w:type="dxa"/>
          </w:tcPr>
          <w:p>
            <w:pPr>
              <w:pStyle w:val="TableParagraph"/>
              <w:spacing w:line="181" w:lineRule="exact" w:before="27"/>
              <w:ind w:left="28"/>
              <w:jc w:val="left"/>
              <w:rPr>
                <w:sz w:val="16"/>
              </w:rPr>
            </w:pPr>
            <w:r>
              <w:rPr>
                <w:sz w:val="16"/>
              </w:rPr>
              <w:t>Interessi</w:t>
            </w:r>
          </w:p>
        </w:tc>
        <w:tc>
          <w:tcPr>
            <w:tcW w:w="749" w:type="dxa"/>
          </w:tcPr>
          <w:p>
            <w:pPr>
              <w:pStyle w:val="TableParagraph"/>
              <w:spacing w:before="20"/>
              <w:ind w:right="135"/>
              <w:rPr>
                <w:sz w:val="16"/>
              </w:rPr>
            </w:pPr>
            <w:r>
              <w:rPr>
                <w:sz w:val="16"/>
              </w:rPr>
              <w:t>-3,8</w:t>
            </w:r>
          </w:p>
        </w:tc>
        <w:tc>
          <w:tcPr>
            <w:tcW w:w="786" w:type="dxa"/>
          </w:tcPr>
          <w:p>
            <w:pPr>
              <w:pStyle w:val="TableParagraph"/>
              <w:spacing w:before="20"/>
              <w:ind w:right="136"/>
              <w:rPr>
                <w:sz w:val="16"/>
              </w:rPr>
            </w:pPr>
            <w:r>
              <w:rPr>
                <w:sz w:val="16"/>
              </w:rPr>
              <w:t>-3,7</w:t>
            </w:r>
          </w:p>
        </w:tc>
        <w:tc>
          <w:tcPr>
            <w:tcW w:w="786" w:type="dxa"/>
          </w:tcPr>
          <w:p>
            <w:pPr>
              <w:pStyle w:val="TableParagraph"/>
              <w:spacing w:before="20"/>
              <w:ind w:right="135"/>
              <w:rPr>
                <w:sz w:val="16"/>
              </w:rPr>
            </w:pPr>
            <w:r>
              <w:rPr>
                <w:sz w:val="16"/>
              </w:rPr>
              <w:t>-3,4</w:t>
            </w:r>
          </w:p>
        </w:tc>
        <w:tc>
          <w:tcPr>
            <w:tcW w:w="787" w:type="dxa"/>
          </w:tcPr>
          <w:p>
            <w:pPr>
              <w:pStyle w:val="TableParagraph"/>
              <w:spacing w:before="20"/>
              <w:ind w:right="137"/>
              <w:rPr>
                <w:sz w:val="16"/>
              </w:rPr>
            </w:pPr>
            <w:r>
              <w:rPr>
                <w:sz w:val="16"/>
              </w:rPr>
              <w:t>-3,2</w:t>
            </w:r>
          </w:p>
        </w:tc>
        <w:tc>
          <w:tcPr>
            <w:tcW w:w="790" w:type="dxa"/>
          </w:tcPr>
          <w:p>
            <w:pPr>
              <w:pStyle w:val="TableParagraph"/>
              <w:spacing w:before="20"/>
              <w:ind w:right="139"/>
              <w:rPr>
                <w:sz w:val="16"/>
              </w:rPr>
            </w:pPr>
            <w:r>
              <w:rPr>
                <w:sz w:val="16"/>
              </w:rPr>
              <w:t>-3,1</w:t>
            </w:r>
          </w:p>
        </w:tc>
        <w:tc>
          <w:tcPr>
            <w:tcW w:w="681" w:type="dxa"/>
          </w:tcPr>
          <w:p>
            <w:pPr>
              <w:pStyle w:val="TableParagraph"/>
              <w:spacing w:before="20"/>
              <w:ind w:right="28"/>
              <w:rPr>
                <w:sz w:val="16"/>
              </w:rPr>
            </w:pPr>
            <w:r>
              <w:rPr>
                <w:sz w:val="16"/>
              </w:rPr>
              <w:t>-2,9</w:t>
            </w:r>
          </w:p>
        </w:tc>
      </w:tr>
      <w:tr>
        <w:trPr>
          <w:trHeight w:val="225" w:hRule="atLeast"/>
        </w:trPr>
        <w:tc>
          <w:tcPr>
            <w:tcW w:w="3765" w:type="dxa"/>
          </w:tcPr>
          <w:p>
            <w:pPr>
              <w:pStyle w:val="TableParagraph"/>
              <w:spacing w:line="181" w:lineRule="exact" w:before="24"/>
              <w:ind w:left="28"/>
              <w:jc w:val="left"/>
              <w:rPr>
                <w:sz w:val="16"/>
              </w:rPr>
            </w:pPr>
            <w:r>
              <w:rPr>
                <w:sz w:val="16"/>
              </w:rPr>
              <w:t>Indebitamento netto strutturale (2)</w:t>
            </w:r>
          </w:p>
        </w:tc>
        <w:tc>
          <w:tcPr>
            <w:tcW w:w="749" w:type="dxa"/>
          </w:tcPr>
          <w:p>
            <w:pPr>
              <w:pStyle w:val="TableParagraph"/>
              <w:spacing w:before="20"/>
              <w:ind w:right="135"/>
              <w:rPr>
                <w:sz w:val="16"/>
              </w:rPr>
            </w:pPr>
            <w:r>
              <w:rPr>
                <w:sz w:val="16"/>
              </w:rPr>
              <w:t>-1,4</w:t>
            </w:r>
          </w:p>
        </w:tc>
        <w:tc>
          <w:tcPr>
            <w:tcW w:w="786" w:type="dxa"/>
          </w:tcPr>
          <w:p>
            <w:pPr>
              <w:pStyle w:val="TableParagraph"/>
              <w:spacing w:before="20"/>
              <w:ind w:right="136"/>
              <w:rPr>
                <w:sz w:val="16"/>
              </w:rPr>
            </w:pPr>
            <w:r>
              <w:rPr>
                <w:sz w:val="16"/>
              </w:rPr>
              <w:t>-1,5</w:t>
            </w:r>
          </w:p>
        </w:tc>
        <w:tc>
          <w:tcPr>
            <w:tcW w:w="786" w:type="dxa"/>
          </w:tcPr>
          <w:p>
            <w:pPr>
              <w:pStyle w:val="TableParagraph"/>
              <w:spacing w:before="20"/>
              <w:ind w:right="135"/>
              <w:rPr>
                <w:sz w:val="16"/>
              </w:rPr>
            </w:pPr>
            <w:r>
              <w:rPr>
                <w:sz w:val="16"/>
              </w:rPr>
              <w:t>-1,2</w:t>
            </w:r>
          </w:p>
        </w:tc>
        <w:tc>
          <w:tcPr>
            <w:tcW w:w="787" w:type="dxa"/>
          </w:tcPr>
          <w:p>
            <w:pPr>
              <w:pStyle w:val="TableParagraph"/>
              <w:spacing w:before="20"/>
              <w:ind w:right="137"/>
              <w:rPr>
                <w:sz w:val="16"/>
              </w:rPr>
            </w:pPr>
            <w:r>
              <w:rPr>
                <w:sz w:val="16"/>
              </w:rPr>
              <w:t>-0,5</w:t>
            </w:r>
          </w:p>
        </w:tc>
        <w:tc>
          <w:tcPr>
            <w:tcW w:w="790" w:type="dxa"/>
          </w:tcPr>
          <w:p>
            <w:pPr>
              <w:pStyle w:val="TableParagraph"/>
              <w:spacing w:before="20"/>
              <w:ind w:right="139"/>
              <w:rPr>
                <w:sz w:val="16"/>
              </w:rPr>
            </w:pPr>
            <w:r>
              <w:rPr>
                <w:sz w:val="16"/>
              </w:rPr>
              <w:t>-0,4</w:t>
            </w:r>
          </w:p>
        </w:tc>
        <w:tc>
          <w:tcPr>
            <w:tcW w:w="681" w:type="dxa"/>
          </w:tcPr>
          <w:p>
            <w:pPr>
              <w:pStyle w:val="TableParagraph"/>
              <w:spacing w:before="20"/>
              <w:ind w:right="28"/>
              <w:rPr>
                <w:sz w:val="16"/>
              </w:rPr>
            </w:pPr>
            <w:r>
              <w:rPr>
                <w:sz w:val="16"/>
              </w:rPr>
              <w:t>-0,4</w:t>
            </w:r>
          </w:p>
        </w:tc>
      </w:tr>
      <w:tr>
        <w:trPr>
          <w:trHeight w:val="227" w:hRule="atLeast"/>
        </w:trPr>
        <w:tc>
          <w:tcPr>
            <w:tcW w:w="3765" w:type="dxa"/>
          </w:tcPr>
          <w:p>
            <w:pPr>
              <w:pStyle w:val="TableParagraph"/>
              <w:spacing w:line="181" w:lineRule="exact" w:before="27"/>
              <w:ind w:left="28"/>
              <w:jc w:val="left"/>
              <w:rPr>
                <w:sz w:val="16"/>
              </w:rPr>
            </w:pPr>
            <w:r>
              <w:rPr>
                <w:sz w:val="16"/>
              </w:rPr>
              <w:t>Variazione strutturale</w:t>
            </w:r>
          </w:p>
        </w:tc>
        <w:tc>
          <w:tcPr>
            <w:tcW w:w="749" w:type="dxa"/>
          </w:tcPr>
          <w:p>
            <w:pPr>
              <w:pStyle w:val="TableParagraph"/>
              <w:spacing w:before="20"/>
              <w:ind w:right="135"/>
              <w:rPr>
                <w:sz w:val="16"/>
              </w:rPr>
            </w:pPr>
            <w:r>
              <w:rPr>
                <w:sz w:val="16"/>
              </w:rPr>
              <w:t>-0,6</w:t>
            </w:r>
          </w:p>
        </w:tc>
        <w:tc>
          <w:tcPr>
            <w:tcW w:w="786" w:type="dxa"/>
          </w:tcPr>
          <w:p>
            <w:pPr>
              <w:pStyle w:val="TableParagraph"/>
              <w:spacing w:before="20"/>
              <w:ind w:right="136"/>
              <w:rPr>
                <w:sz w:val="16"/>
              </w:rPr>
            </w:pPr>
            <w:r>
              <w:rPr>
                <w:sz w:val="16"/>
              </w:rPr>
              <w:t>-0,1</w:t>
            </w:r>
          </w:p>
        </w:tc>
        <w:tc>
          <w:tcPr>
            <w:tcW w:w="786" w:type="dxa"/>
          </w:tcPr>
          <w:p>
            <w:pPr>
              <w:pStyle w:val="TableParagraph"/>
              <w:spacing w:before="20"/>
              <w:ind w:right="135"/>
              <w:rPr>
                <w:sz w:val="16"/>
              </w:rPr>
            </w:pPr>
            <w:r>
              <w:rPr>
                <w:sz w:val="16"/>
              </w:rPr>
              <w:t>0,3</w:t>
            </w:r>
          </w:p>
        </w:tc>
        <w:tc>
          <w:tcPr>
            <w:tcW w:w="787" w:type="dxa"/>
          </w:tcPr>
          <w:p>
            <w:pPr>
              <w:pStyle w:val="TableParagraph"/>
              <w:spacing w:before="20"/>
              <w:ind w:right="137"/>
              <w:rPr>
                <w:sz w:val="16"/>
              </w:rPr>
            </w:pPr>
            <w:r>
              <w:rPr>
                <w:sz w:val="16"/>
              </w:rPr>
              <w:t>0,7</w:t>
            </w:r>
          </w:p>
        </w:tc>
        <w:tc>
          <w:tcPr>
            <w:tcW w:w="790" w:type="dxa"/>
          </w:tcPr>
          <w:p>
            <w:pPr>
              <w:pStyle w:val="TableParagraph"/>
              <w:spacing w:before="20"/>
              <w:ind w:right="139"/>
              <w:rPr>
                <w:sz w:val="16"/>
              </w:rPr>
            </w:pPr>
            <w:r>
              <w:rPr>
                <w:sz w:val="16"/>
              </w:rPr>
              <w:t>0,1</w:t>
            </w:r>
          </w:p>
        </w:tc>
        <w:tc>
          <w:tcPr>
            <w:tcW w:w="681" w:type="dxa"/>
          </w:tcPr>
          <w:p>
            <w:pPr>
              <w:pStyle w:val="TableParagraph"/>
              <w:spacing w:before="20"/>
              <w:ind w:right="28"/>
              <w:rPr>
                <w:sz w:val="16"/>
              </w:rPr>
            </w:pPr>
            <w:r>
              <w:rPr>
                <w:sz w:val="16"/>
              </w:rPr>
              <w:t>0,0</w:t>
            </w:r>
          </w:p>
        </w:tc>
      </w:tr>
      <w:tr>
        <w:trPr>
          <w:trHeight w:val="225" w:hRule="atLeast"/>
        </w:trPr>
        <w:tc>
          <w:tcPr>
            <w:tcW w:w="3765" w:type="dxa"/>
          </w:tcPr>
          <w:p>
            <w:pPr>
              <w:pStyle w:val="TableParagraph"/>
              <w:spacing w:line="181" w:lineRule="exact" w:before="24"/>
              <w:ind w:left="28"/>
              <w:jc w:val="left"/>
              <w:rPr>
                <w:sz w:val="16"/>
              </w:rPr>
            </w:pPr>
            <w:r>
              <w:rPr>
                <w:sz w:val="16"/>
              </w:rPr>
              <w:t>Debito pubblico (lordo sostegni) (3)</w:t>
            </w:r>
          </w:p>
        </w:tc>
        <w:tc>
          <w:tcPr>
            <w:tcW w:w="749" w:type="dxa"/>
          </w:tcPr>
          <w:p>
            <w:pPr>
              <w:pStyle w:val="TableParagraph"/>
              <w:spacing w:before="20"/>
              <w:ind w:right="135"/>
              <w:rPr>
                <w:sz w:val="16"/>
              </w:rPr>
            </w:pPr>
            <w:r>
              <w:rPr>
                <w:sz w:val="16"/>
              </w:rPr>
              <w:t>134,1</w:t>
            </w:r>
          </w:p>
        </w:tc>
        <w:tc>
          <w:tcPr>
            <w:tcW w:w="786" w:type="dxa"/>
          </w:tcPr>
          <w:p>
            <w:pPr>
              <w:pStyle w:val="TableParagraph"/>
              <w:spacing w:before="20"/>
              <w:ind w:right="136"/>
              <w:rPr>
                <w:sz w:val="16"/>
              </w:rPr>
            </w:pPr>
            <w:r>
              <w:rPr>
                <w:sz w:val="16"/>
              </w:rPr>
              <w:t>134,8</w:t>
            </w:r>
          </w:p>
        </w:tc>
        <w:tc>
          <w:tcPr>
            <w:tcW w:w="786" w:type="dxa"/>
          </w:tcPr>
          <w:p>
            <w:pPr>
              <w:pStyle w:val="TableParagraph"/>
              <w:spacing w:before="20"/>
              <w:ind w:right="135"/>
              <w:rPr>
                <w:sz w:val="16"/>
              </w:rPr>
            </w:pPr>
            <w:r>
              <w:rPr>
                <w:sz w:val="16"/>
              </w:rPr>
              <w:t>135,7</w:t>
            </w:r>
          </w:p>
        </w:tc>
        <w:tc>
          <w:tcPr>
            <w:tcW w:w="787" w:type="dxa"/>
          </w:tcPr>
          <w:p>
            <w:pPr>
              <w:pStyle w:val="TableParagraph"/>
              <w:spacing w:before="20"/>
              <w:ind w:right="137"/>
              <w:rPr>
                <w:sz w:val="16"/>
              </w:rPr>
            </w:pPr>
            <w:r>
              <w:rPr>
                <w:sz w:val="16"/>
              </w:rPr>
              <w:t>134,1</w:t>
            </w:r>
          </w:p>
        </w:tc>
        <w:tc>
          <w:tcPr>
            <w:tcW w:w="790" w:type="dxa"/>
          </w:tcPr>
          <w:p>
            <w:pPr>
              <w:pStyle w:val="TableParagraph"/>
              <w:spacing w:before="20"/>
              <w:ind w:right="139"/>
              <w:rPr>
                <w:sz w:val="16"/>
              </w:rPr>
            </w:pPr>
            <w:r>
              <w:rPr>
                <w:sz w:val="16"/>
              </w:rPr>
              <w:t>132,5</w:t>
            </w:r>
          </w:p>
        </w:tc>
        <w:tc>
          <w:tcPr>
            <w:tcW w:w="681" w:type="dxa"/>
          </w:tcPr>
          <w:p>
            <w:pPr>
              <w:pStyle w:val="TableParagraph"/>
              <w:spacing w:before="20"/>
              <w:ind w:right="28"/>
              <w:rPr>
                <w:sz w:val="16"/>
              </w:rPr>
            </w:pPr>
            <w:r>
              <w:rPr>
                <w:sz w:val="16"/>
              </w:rPr>
              <w:t>130,4</w:t>
            </w:r>
          </w:p>
        </w:tc>
      </w:tr>
      <w:tr>
        <w:trPr>
          <w:trHeight w:val="245" w:hRule="atLeast"/>
        </w:trPr>
        <w:tc>
          <w:tcPr>
            <w:tcW w:w="3765" w:type="dxa"/>
            <w:tcBorders>
              <w:bottom w:val="single" w:sz="4" w:space="0" w:color="000000"/>
            </w:tcBorders>
          </w:tcPr>
          <w:p>
            <w:pPr>
              <w:pStyle w:val="TableParagraph"/>
              <w:spacing w:before="27"/>
              <w:ind w:left="28"/>
              <w:jc w:val="left"/>
              <w:rPr>
                <w:sz w:val="16"/>
              </w:rPr>
            </w:pPr>
            <w:r>
              <w:rPr>
                <w:sz w:val="16"/>
              </w:rPr>
              <w:t>Debito pubblico (netto sostegni) (3)</w:t>
            </w:r>
          </w:p>
        </w:tc>
        <w:tc>
          <w:tcPr>
            <w:tcW w:w="749" w:type="dxa"/>
            <w:tcBorders>
              <w:bottom w:val="single" w:sz="4" w:space="0" w:color="000000"/>
            </w:tcBorders>
          </w:tcPr>
          <w:p>
            <w:pPr>
              <w:pStyle w:val="TableParagraph"/>
              <w:spacing w:before="20"/>
              <w:ind w:right="135"/>
              <w:rPr>
                <w:sz w:val="16"/>
              </w:rPr>
            </w:pPr>
            <w:r>
              <w:rPr>
                <w:sz w:val="16"/>
              </w:rPr>
              <w:t>130,7</w:t>
            </w:r>
          </w:p>
        </w:tc>
        <w:tc>
          <w:tcPr>
            <w:tcW w:w="786" w:type="dxa"/>
            <w:tcBorders>
              <w:bottom w:val="single" w:sz="4" w:space="0" w:color="000000"/>
            </w:tcBorders>
          </w:tcPr>
          <w:p>
            <w:pPr>
              <w:pStyle w:val="TableParagraph"/>
              <w:spacing w:before="20"/>
              <w:ind w:right="136"/>
              <w:rPr>
                <w:sz w:val="16"/>
              </w:rPr>
            </w:pPr>
            <w:r>
              <w:rPr>
                <w:sz w:val="16"/>
              </w:rPr>
              <w:t>131,5</w:t>
            </w:r>
          </w:p>
        </w:tc>
        <w:tc>
          <w:tcPr>
            <w:tcW w:w="786" w:type="dxa"/>
            <w:tcBorders>
              <w:bottom w:val="single" w:sz="4" w:space="0" w:color="000000"/>
            </w:tcBorders>
          </w:tcPr>
          <w:p>
            <w:pPr>
              <w:pStyle w:val="TableParagraph"/>
              <w:spacing w:before="20"/>
              <w:ind w:right="135"/>
              <w:rPr>
                <w:sz w:val="16"/>
              </w:rPr>
            </w:pPr>
            <w:r>
              <w:rPr>
                <w:sz w:val="16"/>
              </w:rPr>
              <w:t>132,5</w:t>
            </w:r>
          </w:p>
        </w:tc>
        <w:tc>
          <w:tcPr>
            <w:tcW w:w="787" w:type="dxa"/>
            <w:tcBorders>
              <w:bottom w:val="single" w:sz="4" w:space="0" w:color="000000"/>
            </w:tcBorders>
          </w:tcPr>
          <w:p>
            <w:pPr>
              <w:pStyle w:val="TableParagraph"/>
              <w:spacing w:before="20"/>
              <w:ind w:right="137"/>
              <w:rPr>
                <w:sz w:val="16"/>
              </w:rPr>
            </w:pPr>
            <w:r>
              <w:rPr>
                <w:sz w:val="16"/>
              </w:rPr>
              <w:t>130,9</w:t>
            </w:r>
          </w:p>
        </w:tc>
        <w:tc>
          <w:tcPr>
            <w:tcW w:w="790" w:type="dxa"/>
            <w:tcBorders>
              <w:bottom w:val="single" w:sz="4" w:space="0" w:color="000000"/>
            </w:tcBorders>
          </w:tcPr>
          <w:p>
            <w:pPr>
              <w:pStyle w:val="TableParagraph"/>
              <w:spacing w:before="20"/>
              <w:ind w:right="139"/>
              <w:rPr>
                <w:sz w:val="16"/>
              </w:rPr>
            </w:pPr>
            <w:r>
              <w:rPr>
                <w:sz w:val="16"/>
              </w:rPr>
              <w:t>129,4</w:t>
            </w:r>
          </w:p>
        </w:tc>
        <w:tc>
          <w:tcPr>
            <w:tcW w:w="681" w:type="dxa"/>
            <w:tcBorders>
              <w:bottom w:val="single" w:sz="4" w:space="0" w:color="000000"/>
            </w:tcBorders>
          </w:tcPr>
          <w:p>
            <w:pPr>
              <w:pStyle w:val="TableParagraph"/>
              <w:spacing w:before="20"/>
              <w:ind w:right="28"/>
              <w:rPr>
                <w:sz w:val="16"/>
              </w:rPr>
            </w:pPr>
            <w:r>
              <w:rPr>
                <w:sz w:val="16"/>
              </w:rPr>
              <w:t>127,4</w:t>
            </w:r>
          </w:p>
        </w:tc>
      </w:tr>
      <w:tr>
        <w:trPr>
          <w:trHeight w:val="249" w:hRule="atLeast"/>
        </w:trPr>
        <w:tc>
          <w:tcPr>
            <w:tcW w:w="3765" w:type="dxa"/>
            <w:tcBorders>
              <w:top w:val="single" w:sz="4" w:space="0" w:color="000000"/>
            </w:tcBorders>
          </w:tcPr>
          <w:p>
            <w:pPr>
              <w:pStyle w:val="TableParagraph"/>
              <w:spacing w:before="47"/>
              <w:ind w:left="28"/>
              <w:jc w:val="left"/>
              <w:rPr>
                <w:sz w:val="16"/>
              </w:rPr>
            </w:pPr>
            <w:r>
              <w:rPr>
                <w:sz w:val="16"/>
              </w:rPr>
              <w:t>MEMO: DEF (aprile 2019) QUADRO PROGRAMMATICO</w:t>
            </w:r>
          </w:p>
        </w:tc>
        <w:tc>
          <w:tcPr>
            <w:tcW w:w="749" w:type="dxa"/>
            <w:tcBorders>
              <w:top w:val="single" w:sz="4" w:space="0" w:color="000000"/>
            </w:tcBorders>
          </w:tcPr>
          <w:p>
            <w:pPr>
              <w:pStyle w:val="TableParagraph"/>
              <w:jc w:val="left"/>
              <w:rPr>
                <w:rFonts w:ascii="Times New Roman"/>
                <w:sz w:val="16"/>
              </w:rPr>
            </w:pPr>
          </w:p>
        </w:tc>
        <w:tc>
          <w:tcPr>
            <w:tcW w:w="786" w:type="dxa"/>
            <w:tcBorders>
              <w:top w:val="single" w:sz="4" w:space="0" w:color="000000"/>
            </w:tcBorders>
          </w:tcPr>
          <w:p>
            <w:pPr>
              <w:pStyle w:val="TableParagraph"/>
              <w:jc w:val="left"/>
              <w:rPr>
                <w:rFonts w:ascii="Times New Roman"/>
                <w:sz w:val="16"/>
              </w:rPr>
            </w:pPr>
          </w:p>
        </w:tc>
        <w:tc>
          <w:tcPr>
            <w:tcW w:w="786" w:type="dxa"/>
            <w:tcBorders>
              <w:top w:val="single" w:sz="4" w:space="0" w:color="000000"/>
            </w:tcBorders>
          </w:tcPr>
          <w:p>
            <w:pPr>
              <w:pStyle w:val="TableParagraph"/>
              <w:jc w:val="left"/>
              <w:rPr>
                <w:rFonts w:ascii="Times New Roman"/>
                <w:sz w:val="16"/>
              </w:rPr>
            </w:pPr>
          </w:p>
        </w:tc>
        <w:tc>
          <w:tcPr>
            <w:tcW w:w="787" w:type="dxa"/>
            <w:tcBorders>
              <w:top w:val="single" w:sz="4" w:space="0" w:color="000000"/>
            </w:tcBorders>
          </w:tcPr>
          <w:p>
            <w:pPr>
              <w:pStyle w:val="TableParagraph"/>
              <w:jc w:val="left"/>
              <w:rPr>
                <w:rFonts w:ascii="Times New Roman"/>
                <w:sz w:val="16"/>
              </w:rPr>
            </w:pPr>
          </w:p>
        </w:tc>
        <w:tc>
          <w:tcPr>
            <w:tcW w:w="790" w:type="dxa"/>
            <w:tcBorders>
              <w:top w:val="single" w:sz="4" w:space="0" w:color="000000"/>
            </w:tcBorders>
          </w:tcPr>
          <w:p>
            <w:pPr>
              <w:pStyle w:val="TableParagraph"/>
              <w:jc w:val="left"/>
              <w:rPr>
                <w:rFonts w:ascii="Times New Roman"/>
                <w:sz w:val="16"/>
              </w:rPr>
            </w:pPr>
          </w:p>
        </w:tc>
        <w:tc>
          <w:tcPr>
            <w:tcW w:w="681" w:type="dxa"/>
            <w:tcBorders>
              <w:top w:val="single" w:sz="4" w:space="0" w:color="000000"/>
            </w:tcBorders>
          </w:tcPr>
          <w:p>
            <w:pPr>
              <w:pStyle w:val="TableParagraph"/>
              <w:jc w:val="left"/>
              <w:rPr>
                <w:rFonts w:ascii="Times New Roman"/>
                <w:sz w:val="16"/>
              </w:rPr>
            </w:pPr>
          </w:p>
        </w:tc>
      </w:tr>
      <w:tr>
        <w:trPr>
          <w:trHeight w:val="235" w:hRule="atLeast"/>
        </w:trPr>
        <w:tc>
          <w:tcPr>
            <w:tcW w:w="3765" w:type="dxa"/>
          </w:tcPr>
          <w:p>
            <w:pPr>
              <w:pStyle w:val="TableParagraph"/>
              <w:spacing w:before="26"/>
              <w:ind w:left="28"/>
              <w:jc w:val="left"/>
              <w:rPr>
                <w:sz w:val="16"/>
              </w:rPr>
            </w:pPr>
            <w:r>
              <w:rPr>
                <w:sz w:val="16"/>
              </w:rPr>
              <w:t>Indebitamento netto</w:t>
            </w:r>
          </w:p>
        </w:tc>
        <w:tc>
          <w:tcPr>
            <w:tcW w:w="749" w:type="dxa"/>
          </w:tcPr>
          <w:p>
            <w:pPr>
              <w:pStyle w:val="TableParagraph"/>
              <w:spacing w:before="21"/>
              <w:ind w:right="135"/>
              <w:rPr>
                <w:sz w:val="16"/>
              </w:rPr>
            </w:pPr>
            <w:r>
              <w:rPr>
                <w:sz w:val="16"/>
              </w:rPr>
              <w:t>-2,4</w:t>
            </w:r>
          </w:p>
        </w:tc>
        <w:tc>
          <w:tcPr>
            <w:tcW w:w="786" w:type="dxa"/>
          </w:tcPr>
          <w:p>
            <w:pPr>
              <w:pStyle w:val="TableParagraph"/>
              <w:spacing w:before="21"/>
              <w:ind w:right="136"/>
              <w:rPr>
                <w:sz w:val="16"/>
              </w:rPr>
            </w:pPr>
            <w:r>
              <w:rPr>
                <w:sz w:val="16"/>
              </w:rPr>
              <w:t>-2,1</w:t>
            </w:r>
          </w:p>
        </w:tc>
        <w:tc>
          <w:tcPr>
            <w:tcW w:w="786" w:type="dxa"/>
          </w:tcPr>
          <w:p>
            <w:pPr>
              <w:pStyle w:val="TableParagraph"/>
              <w:spacing w:before="21"/>
              <w:ind w:right="135"/>
              <w:rPr>
                <w:sz w:val="16"/>
              </w:rPr>
            </w:pPr>
            <w:r>
              <w:rPr>
                <w:sz w:val="16"/>
              </w:rPr>
              <w:t>-2,4</w:t>
            </w:r>
          </w:p>
        </w:tc>
        <w:tc>
          <w:tcPr>
            <w:tcW w:w="787" w:type="dxa"/>
          </w:tcPr>
          <w:p>
            <w:pPr>
              <w:pStyle w:val="TableParagraph"/>
              <w:spacing w:before="21"/>
              <w:ind w:right="137"/>
              <w:rPr>
                <w:sz w:val="16"/>
              </w:rPr>
            </w:pPr>
            <w:r>
              <w:rPr>
                <w:sz w:val="16"/>
              </w:rPr>
              <w:t>-2,1</w:t>
            </w:r>
          </w:p>
        </w:tc>
        <w:tc>
          <w:tcPr>
            <w:tcW w:w="790" w:type="dxa"/>
          </w:tcPr>
          <w:p>
            <w:pPr>
              <w:pStyle w:val="TableParagraph"/>
              <w:spacing w:before="21"/>
              <w:ind w:right="139"/>
              <w:rPr>
                <w:sz w:val="16"/>
              </w:rPr>
            </w:pPr>
            <w:r>
              <w:rPr>
                <w:sz w:val="16"/>
              </w:rPr>
              <w:t>-1,8</w:t>
            </w:r>
          </w:p>
        </w:tc>
        <w:tc>
          <w:tcPr>
            <w:tcW w:w="681" w:type="dxa"/>
          </w:tcPr>
          <w:p>
            <w:pPr>
              <w:pStyle w:val="TableParagraph"/>
              <w:spacing w:line="175" w:lineRule="exact" w:before="40"/>
              <w:ind w:right="28"/>
              <w:rPr>
                <w:sz w:val="16"/>
              </w:rPr>
            </w:pPr>
            <w:r>
              <w:rPr>
                <w:sz w:val="16"/>
              </w:rPr>
              <w:t>-1,5</w:t>
            </w:r>
          </w:p>
        </w:tc>
      </w:tr>
      <w:tr>
        <w:trPr>
          <w:trHeight w:val="225" w:hRule="atLeast"/>
        </w:trPr>
        <w:tc>
          <w:tcPr>
            <w:tcW w:w="3765" w:type="dxa"/>
          </w:tcPr>
          <w:p>
            <w:pPr>
              <w:pStyle w:val="TableParagraph"/>
              <w:spacing w:before="18"/>
              <w:ind w:left="28"/>
              <w:jc w:val="left"/>
              <w:rPr>
                <w:sz w:val="16"/>
              </w:rPr>
            </w:pPr>
            <w:r>
              <w:rPr>
                <w:sz w:val="16"/>
              </w:rPr>
              <w:t>Saldo primario</w:t>
            </w:r>
          </w:p>
        </w:tc>
        <w:tc>
          <w:tcPr>
            <w:tcW w:w="749" w:type="dxa"/>
          </w:tcPr>
          <w:p>
            <w:pPr>
              <w:pStyle w:val="TableParagraph"/>
              <w:spacing w:before="14"/>
              <w:ind w:right="135"/>
              <w:rPr>
                <w:sz w:val="16"/>
              </w:rPr>
            </w:pPr>
            <w:r>
              <w:rPr>
                <w:sz w:val="16"/>
              </w:rPr>
              <w:t>1,4</w:t>
            </w:r>
          </w:p>
        </w:tc>
        <w:tc>
          <w:tcPr>
            <w:tcW w:w="786" w:type="dxa"/>
          </w:tcPr>
          <w:p>
            <w:pPr>
              <w:pStyle w:val="TableParagraph"/>
              <w:spacing w:before="14"/>
              <w:ind w:right="136"/>
              <w:rPr>
                <w:sz w:val="16"/>
              </w:rPr>
            </w:pPr>
            <w:r>
              <w:rPr>
                <w:sz w:val="16"/>
              </w:rPr>
              <w:t>1,6</w:t>
            </w:r>
          </w:p>
        </w:tc>
        <w:tc>
          <w:tcPr>
            <w:tcW w:w="786" w:type="dxa"/>
          </w:tcPr>
          <w:p>
            <w:pPr>
              <w:pStyle w:val="TableParagraph"/>
              <w:spacing w:before="14"/>
              <w:ind w:right="135"/>
              <w:rPr>
                <w:sz w:val="16"/>
              </w:rPr>
            </w:pPr>
            <w:r>
              <w:rPr>
                <w:sz w:val="16"/>
              </w:rPr>
              <w:t>1,2</w:t>
            </w:r>
          </w:p>
        </w:tc>
        <w:tc>
          <w:tcPr>
            <w:tcW w:w="787" w:type="dxa"/>
          </w:tcPr>
          <w:p>
            <w:pPr>
              <w:pStyle w:val="TableParagraph"/>
              <w:spacing w:before="14"/>
              <w:ind w:right="137"/>
              <w:rPr>
                <w:sz w:val="16"/>
              </w:rPr>
            </w:pPr>
            <w:r>
              <w:rPr>
                <w:sz w:val="16"/>
              </w:rPr>
              <w:t>1,5</w:t>
            </w:r>
          </w:p>
        </w:tc>
        <w:tc>
          <w:tcPr>
            <w:tcW w:w="790" w:type="dxa"/>
          </w:tcPr>
          <w:p>
            <w:pPr>
              <w:pStyle w:val="TableParagraph"/>
              <w:spacing w:before="14"/>
              <w:ind w:right="139"/>
              <w:rPr>
                <w:sz w:val="16"/>
              </w:rPr>
            </w:pPr>
            <w:r>
              <w:rPr>
                <w:sz w:val="16"/>
              </w:rPr>
              <w:t>1,9</w:t>
            </w:r>
          </w:p>
        </w:tc>
        <w:tc>
          <w:tcPr>
            <w:tcW w:w="681" w:type="dxa"/>
          </w:tcPr>
          <w:p>
            <w:pPr>
              <w:pStyle w:val="TableParagraph"/>
              <w:spacing w:line="175" w:lineRule="exact" w:before="30"/>
              <w:ind w:right="28"/>
              <w:rPr>
                <w:sz w:val="16"/>
              </w:rPr>
            </w:pPr>
            <w:r>
              <w:rPr>
                <w:sz w:val="16"/>
              </w:rPr>
              <w:t>2,3</w:t>
            </w:r>
          </w:p>
        </w:tc>
      </w:tr>
      <w:tr>
        <w:trPr>
          <w:trHeight w:val="228" w:hRule="atLeast"/>
        </w:trPr>
        <w:tc>
          <w:tcPr>
            <w:tcW w:w="3765" w:type="dxa"/>
          </w:tcPr>
          <w:p>
            <w:pPr>
              <w:pStyle w:val="TableParagraph"/>
              <w:spacing w:before="21"/>
              <w:ind w:left="28"/>
              <w:jc w:val="left"/>
              <w:rPr>
                <w:sz w:val="16"/>
              </w:rPr>
            </w:pPr>
            <w:r>
              <w:rPr>
                <w:sz w:val="16"/>
              </w:rPr>
              <w:t>Interessi</w:t>
            </w:r>
          </w:p>
        </w:tc>
        <w:tc>
          <w:tcPr>
            <w:tcW w:w="749" w:type="dxa"/>
          </w:tcPr>
          <w:p>
            <w:pPr>
              <w:pStyle w:val="TableParagraph"/>
              <w:spacing w:before="14"/>
              <w:ind w:right="135"/>
              <w:rPr>
                <w:sz w:val="16"/>
              </w:rPr>
            </w:pPr>
            <w:r>
              <w:rPr>
                <w:sz w:val="16"/>
              </w:rPr>
              <w:t>-3,8</w:t>
            </w:r>
          </w:p>
        </w:tc>
        <w:tc>
          <w:tcPr>
            <w:tcW w:w="786" w:type="dxa"/>
          </w:tcPr>
          <w:p>
            <w:pPr>
              <w:pStyle w:val="TableParagraph"/>
              <w:spacing w:before="14"/>
              <w:ind w:right="136"/>
              <w:rPr>
                <w:sz w:val="16"/>
              </w:rPr>
            </w:pPr>
            <w:r>
              <w:rPr>
                <w:sz w:val="16"/>
              </w:rPr>
              <w:t>-3,7</w:t>
            </w:r>
          </w:p>
        </w:tc>
        <w:tc>
          <w:tcPr>
            <w:tcW w:w="786" w:type="dxa"/>
          </w:tcPr>
          <w:p>
            <w:pPr>
              <w:pStyle w:val="TableParagraph"/>
              <w:spacing w:before="14"/>
              <w:ind w:right="135"/>
              <w:rPr>
                <w:sz w:val="16"/>
              </w:rPr>
            </w:pPr>
            <w:r>
              <w:rPr>
                <w:sz w:val="16"/>
              </w:rPr>
              <w:t>-3,6</w:t>
            </w:r>
          </w:p>
        </w:tc>
        <w:tc>
          <w:tcPr>
            <w:tcW w:w="787" w:type="dxa"/>
          </w:tcPr>
          <w:p>
            <w:pPr>
              <w:pStyle w:val="TableParagraph"/>
              <w:spacing w:before="14"/>
              <w:ind w:right="137"/>
              <w:rPr>
                <w:sz w:val="16"/>
              </w:rPr>
            </w:pPr>
            <w:r>
              <w:rPr>
                <w:sz w:val="16"/>
              </w:rPr>
              <w:t>-3,6</w:t>
            </w:r>
          </w:p>
        </w:tc>
        <w:tc>
          <w:tcPr>
            <w:tcW w:w="790" w:type="dxa"/>
          </w:tcPr>
          <w:p>
            <w:pPr>
              <w:pStyle w:val="TableParagraph"/>
              <w:spacing w:before="14"/>
              <w:ind w:right="139"/>
              <w:rPr>
                <w:sz w:val="16"/>
              </w:rPr>
            </w:pPr>
            <w:r>
              <w:rPr>
                <w:sz w:val="16"/>
              </w:rPr>
              <w:t>-3,7</w:t>
            </w:r>
          </w:p>
        </w:tc>
        <w:tc>
          <w:tcPr>
            <w:tcW w:w="681" w:type="dxa"/>
          </w:tcPr>
          <w:p>
            <w:pPr>
              <w:pStyle w:val="TableParagraph"/>
              <w:spacing w:line="175" w:lineRule="exact" w:before="33"/>
              <w:ind w:right="28"/>
              <w:rPr>
                <w:sz w:val="16"/>
              </w:rPr>
            </w:pPr>
            <w:r>
              <w:rPr>
                <w:sz w:val="16"/>
              </w:rPr>
              <w:t>-3,8</w:t>
            </w:r>
          </w:p>
        </w:tc>
      </w:tr>
      <w:tr>
        <w:trPr>
          <w:trHeight w:val="225" w:hRule="atLeast"/>
        </w:trPr>
        <w:tc>
          <w:tcPr>
            <w:tcW w:w="3765" w:type="dxa"/>
          </w:tcPr>
          <w:p>
            <w:pPr>
              <w:pStyle w:val="TableParagraph"/>
              <w:spacing w:before="19"/>
              <w:ind w:left="28"/>
              <w:jc w:val="left"/>
              <w:rPr>
                <w:sz w:val="16"/>
              </w:rPr>
            </w:pPr>
            <w:r>
              <w:rPr>
                <w:sz w:val="16"/>
              </w:rPr>
              <w:t>Indebitamento netto strutturale (2)</w:t>
            </w:r>
          </w:p>
        </w:tc>
        <w:tc>
          <w:tcPr>
            <w:tcW w:w="749" w:type="dxa"/>
          </w:tcPr>
          <w:p>
            <w:pPr>
              <w:pStyle w:val="TableParagraph"/>
              <w:spacing w:before="14"/>
              <w:ind w:right="135"/>
              <w:rPr>
                <w:sz w:val="16"/>
              </w:rPr>
            </w:pPr>
            <w:r>
              <w:rPr>
                <w:sz w:val="16"/>
              </w:rPr>
              <w:t>-1,4</w:t>
            </w:r>
          </w:p>
        </w:tc>
        <w:tc>
          <w:tcPr>
            <w:tcW w:w="786" w:type="dxa"/>
          </w:tcPr>
          <w:p>
            <w:pPr>
              <w:pStyle w:val="TableParagraph"/>
              <w:spacing w:before="14"/>
              <w:ind w:right="136"/>
              <w:rPr>
                <w:sz w:val="16"/>
              </w:rPr>
            </w:pPr>
            <w:r>
              <w:rPr>
                <w:sz w:val="16"/>
              </w:rPr>
              <w:t>-1,4</w:t>
            </w:r>
          </w:p>
        </w:tc>
        <w:tc>
          <w:tcPr>
            <w:tcW w:w="786" w:type="dxa"/>
          </w:tcPr>
          <w:p>
            <w:pPr>
              <w:pStyle w:val="TableParagraph"/>
              <w:spacing w:before="14"/>
              <w:ind w:right="135"/>
              <w:rPr>
                <w:sz w:val="16"/>
              </w:rPr>
            </w:pPr>
            <w:r>
              <w:rPr>
                <w:sz w:val="16"/>
              </w:rPr>
              <w:t>-1,5</w:t>
            </w:r>
          </w:p>
        </w:tc>
        <w:tc>
          <w:tcPr>
            <w:tcW w:w="787" w:type="dxa"/>
          </w:tcPr>
          <w:p>
            <w:pPr>
              <w:pStyle w:val="TableParagraph"/>
              <w:spacing w:before="14"/>
              <w:ind w:right="137"/>
              <w:rPr>
                <w:sz w:val="16"/>
              </w:rPr>
            </w:pPr>
            <w:r>
              <w:rPr>
                <w:sz w:val="16"/>
              </w:rPr>
              <w:t>-1,4</w:t>
            </w:r>
          </w:p>
        </w:tc>
        <w:tc>
          <w:tcPr>
            <w:tcW w:w="790" w:type="dxa"/>
          </w:tcPr>
          <w:p>
            <w:pPr>
              <w:pStyle w:val="TableParagraph"/>
              <w:spacing w:before="14"/>
              <w:ind w:right="139"/>
              <w:rPr>
                <w:sz w:val="16"/>
              </w:rPr>
            </w:pPr>
            <w:r>
              <w:rPr>
                <w:sz w:val="16"/>
              </w:rPr>
              <w:t>-1,1</w:t>
            </w:r>
          </w:p>
        </w:tc>
        <w:tc>
          <w:tcPr>
            <w:tcW w:w="681" w:type="dxa"/>
          </w:tcPr>
          <w:p>
            <w:pPr>
              <w:pStyle w:val="TableParagraph"/>
              <w:spacing w:line="175" w:lineRule="exact" w:before="31"/>
              <w:ind w:right="28"/>
              <w:rPr>
                <w:sz w:val="16"/>
              </w:rPr>
            </w:pPr>
            <w:r>
              <w:rPr>
                <w:sz w:val="16"/>
              </w:rPr>
              <w:t>-0,8</w:t>
            </w:r>
          </w:p>
        </w:tc>
      </w:tr>
      <w:tr>
        <w:trPr>
          <w:trHeight w:val="218" w:hRule="atLeast"/>
        </w:trPr>
        <w:tc>
          <w:tcPr>
            <w:tcW w:w="3765" w:type="dxa"/>
          </w:tcPr>
          <w:p>
            <w:pPr>
              <w:pStyle w:val="TableParagraph"/>
              <w:spacing w:line="177" w:lineRule="exact" w:before="21"/>
              <w:ind w:left="28"/>
              <w:jc w:val="left"/>
              <w:rPr>
                <w:sz w:val="16"/>
              </w:rPr>
            </w:pPr>
            <w:r>
              <w:rPr>
                <w:sz w:val="16"/>
              </w:rPr>
              <w:t>Variazione strutturale</w:t>
            </w:r>
          </w:p>
        </w:tc>
        <w:tc>
          <w:tcPr>
            <w:tcW w:w="749" w:type="dxa"/>
          </w:tcPr>
          <w:p>
            <w:pPr>
              <w:pStyle w:val="TableParagraph"/>
              <w:spacing w:before="14"/>
              <w:ind w:right="135"/>
              <w:rPr>
                <w:sz w:val="16"/>
              </w:rPr>
            </w:pPr>
            <w:r>
              <w:rPr>
                <w:sz w:val="16"/>
              </w:rPr>
              <w:t>-0,4</w:t>
            </w:r>
          </w:p>
        </w:tc>
        <w:tc>
          <w:tcPr>
            <w:tcW w:w="786" w:type="dxa"/>
          </w:tcPr>
          <w:p>
            <w:pPr>
              <w:pStyle w:val="TableParagraph"/>
              <w:spacing w:before="14"/>
              <w:ind w:right="136"/>
              <w:rPr>
                <w:sz w:val="16"/>
              </w:rPr>
            </w:pPr>
            <w:r>
              <w:rPr>
                <w:sz w:val="16"/>
              </w:rPr>
              <w:t>0,0</w:t>
            </w:r>
          </w:p>
        </w:tc>
        <w:tc>
          <w:tcPr>
            <w:tcW w:w="786" w:type="dxa"/>
          </w:tcPr>
          <w:p>
            <w:pPr>
              <w:pStyle w:val="TableParagraph"/>
              <w:spacing w:before="14"/>
              <w:ind w:right="135"/>
              <w:rPr>
                <w:sz w:val="16"/>
              </w:rPr>
            </w:pPr>
            <w:r>
              <w:rPr>
                <w:sz w:val="16"/>
              </w:rPr>
              <w:t>-0,1</w:t>
            </w:r>
          </w:p>
        </w:tc>
        <w:tc>
          <w:tcPr>
            <w:tcW w:w="787" w:type="dxa"/>
          </w:tcPr>
          <w:p>
            <w:pPr>
              <w:pStyle w:val="TableParagraph"/>
              <w:spacing w:before="14"/>
              <w:ind w:right="137"/>
              <w:rPr>
                <w:sz w:val="16"/>
              </w:rPr>
            </w:pPr>
            <w:r>
              <w:rPr>
                <w:sz w:val="16"/>
              </w:rPr>
              <w:t>0,2</w:t>
            </w:r>
          </w:p>
        </w:tc>
        <w:tc>
          <w:tcPr>
            <w:tcW w:w="790" w:type="dxa"/>
          </w:tcPr>
          <w:p>
            <w:pPr>
              <w:pStyle w:val="TableParagraph"/>
              <w:spacing w:before="14"/>
              <w:ind w:right="139"/>
              <w:rPr>
                <w:sz w:val="16"/>
              </w:rPr>
            </w:pPr>
            <w:r>
              <w:rPr>
                <w:sz w:val="16"/>
              </w:rPr>
              <w:t>0,3</w:t>
            </w:r>
          </w:p>
        </w:tc>
        <w:tc>
          <w:tcPr>
            <w:tcW w:w="681" w:type="dxa"/>
          </w:tcPr>
          <w:p>
            <w:pPr>
              <w:pStyle w:val="TableParagraph"/>
              <w:spacing w:line="165" w:lineRule="exact" w:before="33"/>
              <w:ind w:right="28"/>
              <w:rPr>
                <w:sz w:val="16"/>
              </w:rPr>
            </w:pPr>
            <w:r>
              <w:rPr>
                <w:sz w:val="16"/>
              </w:rPr>
              <w:t>0,3</w:t>
            </w:r>
          </w:p>
        </w:tc>
      </w:tr>
      <w:tr>
        <w:trPr>
          <w:trHeight w:val="226" w:hRule="atLeast"/>
        </w:trPr>
        <w:tc>
          <w:tcPr>
            <w:tcW w:w="3765" w:type="dxa"/>
          </w:tcPr>
          <w:p>
            <w:pPr>
              <w:pStyle w:val="TableParagraph"/>
              <w:spacing w:before="4"/>
              <w:ind w:left="28"/>
              <w:jc w:val="left"/>
              <w:rPr>
                <w:sz w:val="16"/>
              </w:rPr>
            </w:pPr>
            <w:r>
              <w:rPr>
                <w:sz w:val="16"/>
              </w:rPr>
              <w:t>Debito pubblico (lordo sostegni) (4)</w:t>
            </w:r>
          </w:p>
        </w:tc>
        <w:tc>
          <w:tcPr>
            <w:tcW w:w="749" w:type="dxa"/>
          </w:tcPr>
          <w:p>
            <w:pPr>
              <w:pStyle w:val="TableParagraph"/>
              <w:spacing w:before="23"/>
              <w:ind w:right="135"/>
              <w:rPr>
                <w:sz w:val="16"/>
              </w:rPr>
            </w:pPr>
            <w:r>
              <w:rPr>
                <w:sz w:val="16"/>
              </w:rPr>
              <w:t>131,4</w:t>
            </w:r>
          </w:p>
        </w:tc>
        <w:tc>
          <w:tcPr>
            <w:tcW w:w="786" w:type="dxa"/>
          </w:tcPr>
          <w:p>
            <w:pPr>
              <w:pStyle w:val="TableParagraph"/>
              <w:spacing w:before="23"/>
              <w:ind w:right="136"/>
              <w:rPr>
                <w:sz w:val="16"/>
              </w:rPr>
            </w:pPr>
            <w:r>
              <w:rPr>
                <w:sz w:val="16"/>
              </w:rPr>
              <w:t>132,2</w:t>
            </w:r>
          </w:p>
        </w:tc>
        <w:tc>
          <w:tcPr>
            <w:tcW w:w="786" w:type="dxa"/>
          </w:tcPr>
          <w:p>
            <w:pPr>
              <w:pStyle w:val="TableParagraph"/>
              <w:spacing w:before="23"/>
              <w:ind w:right="135"/>
              <w:rPr>
                <w:sz w:val="16"/>
              </w:rPr>
            </w:pPr>
            <w:r>
              <w:rPr>
                <w:sz w:val="16"/>
              </w:rPr>
              <w:t>132,6</w:t>
            </w:r>
          </w:p>
        </w:tc>
        <w:tc>
          <w:tcPr>
            <w:tcW w:w="787" w:type="dxa"/>
          </w:tcPr>
          <w:p>
            <w:pPr>
              <w:pStyle w:val="TableParagraph"/>
              <w:spacing w:before="23"/>
              <w:ind w:right="137"/>
              <w:rPr>
                <w:sz w:val="16"/>
              </w:rPr>
            </w:pPr>
            <w:r>
              <w:rPr>
                <w:sz w:val="16"/>
              </w:rPr>
              <w:t>131,3</w:t>
            </w:r>
          </w:p>
        </w:tc>
        <w:tc>
          <w:tcPr>
            <w:tcW w:w="790" w:type="dxa"/>
          </w:tcPr>
          <w:p>
            <w:pPr>
              <w:pStyle w:val="TableParagraph"/>
              <w:spacing w:before="23"/>
              <w:ind w:right="139"/>
              <w:rPr>
                <w:sz w:val="16"/>
              </w:rPr>
            </w:pPr>
            <w:r>
              <w:rPr>
                <w:sz w:val="16"/>
              </w:rPr>
              <w:t>130,2</w:t>
            </w:r>
          </w:p>
        </w:tc>
        <w:tc>
          <w:tcPr>
            <w:tcW w:w="681" w:type="dxa"/>
          </w:tcPr>
          <w:p>
            <w:pPr>
              <w:pStyle w:val="TableParagraph"/>
              <w:spacing w:line="166" w:lineRule="exact" w:before="40"/>
              <w:ind w:right="28"/>
              <w:rPr>
                <w:sz w:val="16"/>
              </w:rPr>
            </w:pPr>
            <w:r>
              <w:rPr>
                <w:sz w:val="16"/>
              </w:rPr>
              <w:t>128,9</w:t>
            </w:r>
          </w:p>
        </w:tc>
      </w:tr>
      <w:tr>
        <w:trPr>
          <w:trHeight w:val="248" w:hRule="atLeast"/>
        </w:trPr>
        <w:tc>
          <w:tcPr>
            <w:tcW w:w="3765" w:type="dxa"/>
            <w:tcBorders>
              <w:bottom w:val="single" w:sz="4" w:space="0" w:color="000000"/>
            </w:tcBorders>
          </w:tcPr>
          <w:p>
            <w:pPr>
              <w:pStyle w:val="TableParagraph"/>
              <w:spacing w:before="5"/>
              <w:ind w:left="28"/>
              <w:jc w:val="left"/>
              <w:rPr>
                <w:sz w:val="16"/>
              </w:rPr>
            </w:pPr>
            <w:r>
              <w:rPr>
                <w:sz w:val="16"/>
              </w:rPr>
              <w:t>Debito pubblico (netto sostegni) (4)</w:t>
            </w:r>
          </w:p>
        </w:tc>
        <w:tc>
          <w:tcPr>
            <w:tcW w:w="749" w:type="dxa"/>
            <w:tcBorders>
              <w:bottom w:val="single" w:sz="4" w:space="0" w:color="000000"/>
            </w:tcBorders>
          </w:tcPr>
          <w:p>
            <w:pPr>
              <w:pStyle w:val="TableParagraph"/>
              <w:spacing w:before="22"/>
              <w:ind w:right="135"/>
              <w:rPr>
                <w:sz w:val="16"/>
              </w:rPr>
            </w:pPr>
            <w:r>
              <w:rPr>
                <w:sz w:val="16"/>
              </w:rPr>
              <w:t>128,0</w:t>
            </w:r>
          </w:p>
        </w:tc>
        <w:tc>
          <w:tcPr>
            <w:tcW w:w="786" w:type="dxa"/>
            <w:tcBorders>
              <w:bottom w:val="single" w:sz="4" w:space="0" w:color="000000"/>
            </w:tcBorders>
          </w:tcPr>
          <w:p>
            <w:pPr>
              <w:pStyle w:val="TableParagraph"/>
              <w:spacing w:before="22"/>
              <w:ind w:right="136"/>
              <w:rPr>
                <w:sz w:val="16"/>
              </w:rPr>
            </w:pPr>
            <w:r>
              <w:rPr>
                <w:sz w:val="16"/>
              </w:rPr>
              <w:t>128,8</w:t>
            </w:r>
          </w:p>
        </w:tc>
        <w:tc>
          <w:tcPr>
            <w:tcW w:w="786" w:type="dxa"/>
            <w:tcBorders>
              <w:bottom w:val="single" w:sz="4" w:space="0" w:color="000000"/>
            </w:tcBorders>
          </w:tcPr>
          <w:p>
            <w:pPr>
              <w:pStyle w:val="TableParagraph"/>
              <w:spacing w:before="22"/>
              <w:ind w:right="135"/>
              <w:rPr>
                <w:sz w:val="16"/>
              </w:rPr>
            </w:pPr>
            <w:r>
              <w:rPr>
                <w:sz w:val="16"/>
              </w:rPr>
              <w:t>129,4</w:t>
            </w:r>
          </w:p>
        </w:tc>
        <w:tc>
          <w:tcPr>
            <w:tcW w:w="787" w:type="dxa"/>
            <w:tcBorders>
              <w:bottom w:val="single" w:sz="4" w:space="0" w:color="000000"/>
            </w:tcBorders>
          </w:tcPr>
          <w:p>
            <w:pPr>
              <w:pStyle w:val="TableParagraph"/>
              <w:spacing w:before="22"/>
              <w:ind w:right="137"/>
              <w:rPr>
                <w:sz w:val="16"/>
              </w:rPr>
            </w:pPr>
            <w:r>
              <w:rPr>
                <w:sz w:val="16"/>
              </w:rPr>
              <w:t>128,1</w:t>
            </w:r>
          </w:p>
        </w:tc>
        <w:tc>
          <w:tcPr>
            <w:tcW w:w="790" w:type="dxa"/>
            <w:tcBorders>
              <w:bottom w:val="single" w:sz="4" w:space="0" w:color="000000"/>
            </w:tcBorders>
          </w:tcPr>
          <w:p>
            <w:pPr>
              <w:pStyle w:val="TableParagraph"/>
              <w:spacing w:before="22"/>
              <w:ind w:right="139"/>
              <w:rPr>
                <w:sz w:val="16"/>
              </w:rPr>
            </w:pPr>
            <w:r>
              <w:rPr>
                <w:sz w:val="16"/>
              </w:rPr>
              <w:t>127,2</w:t>
            </w:r>
          </w:p>
        </w:tc>
        <w:tc>
          <w:tcPr>
            <w:tcW w:w="681" w:type="dxa"/>
            <w:tcBorders>
              <w:bottom w:val="single" w:sz="4" w:space="0" w:color="000000"/>
            </w:tcBorders>
          </w:tcPr>
          <w:p>
            <w:pPr>
              <w:pStyle w:val="TableParagraph"/>
              <w:spacing w:before="41"/>
              <w:ind w:right="28"/>
              <w:rPr>
                <w:sz w:val="16"/>
              </w:rPr>
            </w:pPr>
            <w:r>
              <w:rPr>
                <w:sz w:val="16"/>
              </w:rPr>
              <w:t>125,9</w:t>
            </w:r>
          </w:p>
        </w:tc>
      </w:tr>
      <w:tr>
        <w:trPr>
          <w:trHeight w:val="209" w:hRule="atLeast"/>
        </w:trPr>
        <w:tc>
          <w:tcPr>
            <w:tcW w:w="3765" w:type="dxa"/>
            <w:tcBorders>
              <w:top w:val="single" w:sz="4" w:space="0" w:color="000000"/>
            </w:tcBorders>
          </w:tcPr>
          <w:p>
            <w:pPr>
              <w:pStyle w:val="TableParagraph"/>
              <w:spacing w:line="181" w:lineRule="exact" w:before="9"/>
              <w:ind w:left="28"/>
              <w:jc w:val="left"/>
              <w:rPr>
                <w:i/>
                <w:sz w:val="16"/>
              </w:rPr>
            </w:pPr>
            <w:r>
              <w:rPr>
                <w:i/>
                <w:sz w:val="16"/>
              </w:rPr>
              <w:t>PIL nominale tendenziale (val. assoluti x 1.000)</w:t>
            </w:r>
          </w:p>
        </w:tc>
        <w:tc>
          <w:tcPr>
            <w:tcW w:w="749" w:type="dxa"/>
            <w:tcBorders>
              <w:top w:val="single" w:sz="4" w:space="0" w:color="000000"/>
            </w:tcBorders>
          </w:tcPr>
          <w:p>
            <w:pPr>
              <w:pStyle w:val="TableParagraph"/>
              <w:spacing w:before="2"/>
              <w:ind w:right="135"/>
              <w:rPr>
                <w:i/>
                <w:sz w:val="16"/>
              </w:rPr>
            </w:pPr>
            <w:r>
              <w:rPr>
                <w:i/>
                <w:sz w:val="16"/>
              </w:rPr>
              <w:t>1736,6</w:t>
            </w:r>
          </w:p>
        </w:tc>
        <w:tc>
          <w:tcPr>
            <w:tcW w:w="786" w:type="dxa"/>
            <w:tcBorders>
              <w:top w:val="single" w:sz="4" w:space="0" w:color="000000"/>
            </w:tcBorders>
          </w:tcPr>
          <w:p>
            <w:pPr>
              <w:pStyle w:val="TableParagraph"/>
              <w:spacing w:before="2"/>
              <w:ind w:right="136"/>
              <w:rPr>
                <w:i/>
                <w:sz w:val="16"/>
              </w:rPr>
            </w:pPr>
            <w:r>
              <w:rPr>
                <w:i/>
                <w:sz w:val="16"/>
              </w:rPr>
              <w:t>1765,4</w:t>
            </w:r>
          </w:p>
        </w:tc>
        <w:tc>
          <w:tcPr>
            <w:tcW w:w="786" w:type="dxa"/>
            <w:tcBorders>
              <w:top w:val="single" w:sz="4" w:space="0" w:color="000000"/>
            </w:tcBorders>
          </w:tcPr>
          <w:p>
            <w:pPr>
              <w:pStyle w:val="TableParagraph"/>
              <w:spacing w:before="2"/>
              <w:ind w:right="135"/>
              <w:rPr>
                <w:i/>
                <w:sz w:val="16"/>
              </w:rPr>
            </w:pPr>
            <w:r>
              <w:rPr>
                <w:i/>
                <w:sz w:val="16"/>
              </w:rPr>
              <w:t>1783,1</w:t>
            </w:r>
          </w:p>
        </w:tc>
        <w:tc>
          <w:tcPr>
            <w:tcW w:w="787" w:type="dxa"/>
            <w:tcBorders>
              <w:top w:val="single" w:sz="4" w:space="0" w:color="000000"/>
            </w:tcBorders>
          </w:tcPr>
          <w:p>
            <w:pPr>
              <w:pStyle w:val="TableParagraph"/>
              <w:spacing w:before="2"/>
              <w:ind w:right="137"/>
              <w:rPr>
                <w:i/>
                <w:sz w:val="16"/>
              </w:rPr>
            </w:pPr>
            <w:r>
              <w:rPr>
                <w:i/>
                <w:sz w:val="16"/>
              </w:rPr>
              <w:t>1824,5</w:t>
            </w:r>
          </w:p>
        </w:tc>
        <w:tc>
          <w:tcPr>
            <w:tcW w:w="790" w:type="dxa"/>
            <w:tcBorders>
              <w:top w:val="single" w:sz="4" w:space="0" w:color="000000"/>
            </w:tcBorders>
          </w:tcPr>
          <w:p>
            <w:pPr>
              <w:pStyle w:val="TableParagraph"/>
              <w:spacing w:before="2"/>
              <w:ind w:right="139"/>
              <w:rPr>
                <w:i/>
                <w:sz w:val="16"/>
              </w:rPr>
            </w:pPr>
            <w:r>
              <w:rPr>
                <w:i/>
                <w:sz w:val="16"/>
              </w:rPr>
              <w:t>1866,5</w:t>
            </w:r>
          </w:p>
        </w:tc>
        <w:tc>
          <w:tcPr>
            <w:tcW w:w="681" w:type="dxa"/>
            <w:tcBorders>
              <w:top w:val="single" w:sz="4" w:space="0" w:color="000000"/>
            </w:tcBorders>
          </w:tcPr>
          <w:p>
            <w:pPr>
              <w:pStyle w:val="TableParagraph"/>
              <w:spacing w:before="2"/>
              <w:ind w:right="28"/>
              <w:rPr>
                <w:i/>
                <w:sz w:val="16"/>
              </w:rPr>
            </w:pPr>
            <w:r>
              <w:rPr>
                <w:i/>
                <w:sz w:val="16"/>
              </w:rPr>
              <w:t>1913,6</w:t>
            </w:r>
          </w:p>
        </w:tc>
      </w:tr>
      <w:tr>
        <w:trPr>
          <w:trHeight w:val="245" w:hRule="atLeast"/>
        </w:trPr>
        <w:tc>
          <w:tcPr>
            <w:tcW w:w="3765" w:type="dxa"/>
            <w:tcBorders>
              <w:bottom w:val="single" w:sz="4" w:space="0" w:color="000000"/>
            </w:tcBorders>
          </w:tcPr>
          <w:p>
            <w:pPr>
              <w:pStyle w:val="TableParagraph"/>
              <w:spacing w:before="24"/>
              <w:ind w:left="28"/>
              <w:jc w:val="left"/>
              <w:rPr>
                <w:i/>
                <w:sz w:val="16"/>
              </w:rPr>
            </w:pPr>
            <w:r>
              <w:rPr>
                <w:i/>
                <w:sz w:val="16"/>
              </w:rPr>
              <w:t>PIL nominale programmatico (val. assoluti x 1.000)</w:t>
            </w:r>
          </w:p>
        </w:tc>
        <w:tc>
          <w:tcPr>
            <w:tcW w:w="749" w:type="dxa"/>
            <w:tcBorders>
              <w:bottom w:val="single" w:sz="4" w:space="0" w:color="000000"/>
            </w:tcBorders>
          </w:tcPr>
          <w:p>
            <w:pPr>
              <w:pStyle w:val="TableParagraph"/>
              <w:spacing w:before="20"/>
              <w:ind w:right="135"/>
              <w:rPr>
                <w:i/>
                <w:sz w:val="16"/>
              </w:rPr>
            </w:pPr>
            <w:r>
              <w:rPr>
                <w:i/>
                <w:sz w:val="16"/>
              </w:rPr>
              <w:t>1736,6</w:t>
            </w:r>
          </w:p>
        </w:tc>
        <w:tc>
          <w:tcPr>
            <w:tcW w:w="786" w:type="dxa"/>
            <w:tcBorders>
              <w:bottom w:val="single" w:sz="4" w:space="0" w:color="000000"/>
            </w:tcBorders>
          </w:tcPr>
          <w:p>
            <w:pPr>
              <w:pStyle w:val="TableParagraph"/>
              <w:spacing w:before="20"/>
              <w:ind w:right="136"/>
              <w:rPr>
                <w:i/>
                <w:sz w:val="16"/>
              </w:rPr>
            </w:pPr>
            <w:r>
              <w:rPr>
                <w:i/>
                <w:sz w:val="16"/>
              </w:rPr>
              <w:t>1765,4</w:t>
            </w:r>
          </w:p>
        </w:tc>
        <w:tc>
          <w:tcPr>
            <w:tcW w:w="786" w:type="dxa"/>
            <w:tcBorders>
              <w:bottom w:val="single" w:sz="4" w:space="0" w:color="000000"/>
            </w:tcBorders>
          </w:tcPr>
          <w:p>
            <w:pPr>
              <w:pStyle w:val="TableParagraph"/>
              <w:spacing w:before="20"/>
              <w:ind w:right="135"/>
              <w:rPr>
                <w:i/>
                <w:sz w:val="16"/>
              </w:rPr>
            </w:pPr>
            <w:r>
              <w:rPr>
                <w:i/>
                <w:sz w:val="16"/>
              </w:rPr>
              <w:t>1783,1</w:t>
            </w:r>
          </w:p>
        </w:tc>
        <w:tc>
          <w:tcPr>
            <w:tcW w:w="787" w:type="dxa"/>
            <w:tcBorders>
              <w:bottom w:val="single" w:sz="4" w:space="0" w:color="000000"/>
            </w:tcBorders>
          </w:tcPr>
          <w:p>
            <w:pPr>
              <w:pStyle w:val="TableParagraph"/>
              <w:spacing w:before="20"/>
              <w:ind w:right="136"/>
              <w:rPr>
                <w:i/>
                <w:sz w:val="16"/>
              </w:rPr>
            </w:pPr>
            <w:r>
              <w:rPr>
                <w:i/>
                <w:sz w:val="16"/>
              </w:rPr>
              <w:t>1818,0</w:t>
            </w:r>
          </w:p>
        </w:tc>
        <w:tc>
          <w:tcPr>
            <w:tcW w:w="790" w:type="dxa"/>
            <w:tcBorders>
              <w:bottom w:val="single" w:sz="4" w:space="0" w:color="000000"/>
            </w:tcBorders>
          </w:tcPr>
          <w:p>
            <w:pPr>
              <w:pStyle w:val="TableParagraph"/>
              <w:spacing w:before="20"/>
              <w:ind w:right="139"/>
              <w:rPr>
                <w:i/>
                <w:sz w:val="16"/>
              </w:rPr>
            </w:pPr>
            <w:r>
              <w:rPr>
                <w:i/>
                <w:sz w:val="16"/>
              </w:rPr>
              <w:t>1867,9</w:t>
            </w:r>
          </w:p>
        </w:tc>
        <w:tc>
          <w:tcPr>
            <w:tcW w:w="681" w:type="dxa"/>
            <w:tcBorders>
              <w:bottom w:val="single" w:sz="4" w:space="0" w:color="000000"/>
            </w:tcBorders>
          </w:tcPr>
          <w:p>
            <w:pPr>
              <w:pStyle w:val="TableParagraph"/>
              <w:spacing w:before="20"/>
              <w:ind w:right="28"/>
              <w:rPr>
                <w:i/>
                <w:sz w:val="16"/>
              </w:rPr>
            </w:pPr>
            <w:r>
              <w:rPr>
                <w:i/>
                <w:sz w:val="16"/>
              </w:rPr>
              <w:t>1917,3</w:t>
            </w:r>
          </w:p>
        </w:tc>
      </w:tr>
    </w:tbl>
    <w:p>
      <w:pPr>
        <w:pStyle w:val="ListParagraph"/>
        <w:numPr>
          <w:ilvl w:val="1"/>
          <w:numId w:val="4"/>
        </w:numPr>
        <w:tabs>
          <w:tab w:pos="1386" w:val="left" w:leader="none"/>
        </w:tabs>
        <w:spacing w:line="240" w:lineRule="auto" w:before="19" w:after="0"/>
        <w:ind w:left="1385" w:right="0" w:hanging="229"/>
        <w:jc w:val="both"/>
        <w:rPr>
          <w:rFonts w:ascii="Franklin Gothic Book"/>
          <w:sz w:val="16"/>
        </w:rPr>
      </w:pPr>
      <w:r>
        <w:rPr>
          <w:rFonts w:ascii="Franklin Gothic Book"/>
          <w:sz w:val="16"/>
        </w:rPr>
        <w:t>Eventuali imprecisioni derivano da</w:t>
      </w:r>
      <w:r>
        <w:rPr>
          <w:rFonts w:ascii="Franklin Gothic Book"/>
          <w:spacing w:val="-6"/>
          <w:sz w:val="16"/>
        </w:rPr>
        <w:t> </w:t>
      </w:r>
      <w:r>
        <w:rPr>
          <w:rFonts w:ascii="Franklin Gothic Book"/>
          <w:sz w:val="16"/>
        </w:rPr>
        <w:t>arrotondamenti.</w:t>
      </w:r>
    </w:p>
    <w:p>
      <w:pPr>
        <w:pStyle w:val="ListParagraph"/>
        <w:numPr>
          <w:ilvl w:val="1"/>
          <w:numId w:val="4"/>
        </w:numPr>
        <w:tabs>
          <w:tab w:pos="1388" w:val="left" w:leader="none"/>
        </w:tabs>
        <w:spacing w:line="240" w:lineRule="auto" w:before="39" w:after="0"/>
        <w:ind w:left="1387" w:right="0" w:hanging="231"/>
        <w:jc w:val="both"/>
        <w:rPr>
          <w:rFonts w:ascii="Franklin Gothic Book"/>
          <w:sz w:val="16"/>
        </w:rPr>
      </w:pPr>
      <w:r>
        <w:rPr>
          <w:rFonts w:ascii="Franklin Gothic Book"/>
          <w:sz w:val="16"/>
        </w:rPr>
        <w:t>Al netto delle una tantum e della componente</w:t>
      </w:r>
      <w:r>
        <w:rPr>
          <w:rFonts w:ascii="Franklin Gothic Book"/>
          <w:spacing w:val="-3"/>
          <w:sz w:val="16"/>
        </w:rPr>
        <w:t> </w:t>
      </w:r>
      <w:r>
        <w:rPr>
          <w:rFonts w:ascii="Franklin Gothic Book"/>
          <w:sz w:val="16"/>
        </w:rPr>
        <w:t>ciclica.</w:t>
      </w:r>
    </w:p>
    <w:p>
      <w:pPr>
        <w:pStyle w:val="ListParagraph"/>
        <w:numPr>
          <w:ilvl w:val="0"/>
          <w:numId w:val="5"/>
        </w:numPr>
        <w:tabs>
          <w:tab w:pos="1354" w:val="left" w:leader="none"/>
        </w:tabs>
        <w:spacing w:line="240" w:lineRule="auto" w:before="39" w:after="0"/>
        <w:ind w:left="1157" w:right="1318" w:firstLine="0"/>
        <w:jc w:val="both"/>
        <w:rPr>
          <w:rFonts w:ascii="Franklin Gothic Book" w:hAnsi="Franklin Gothic Book"/>
          <w:sz w:val="16"/>
        </w:rPr>
      </w:pPr>
      <w:r>
        <w:rPr>
          <w:rFonts w:ascii="Franklin Gothic Book" w:hAnsi="Franklin Gothic Book"/>
          <w:sz w:val="16"/>
        </w:rPr>
        <w:t>Al lordo ovvero al netto delle quote di pertinenza dell’Italia dei prestiti a Stati membri dell'UEM, bilaterali o attraverso l'EFSF,</w:t>
      </w:r>
      <w:r>
        <w:rPr>
          <w:rFonts w:ascii="Franklin Gothic Book" w:hAnsi="Franklin Gothic Book"/>
          <w:spacing w:val="-4"/>
          <w:sz w:val="16"/>
        </w:rPr>
        <w:t> </w:t>
      </w:r>
      <w:r>
        <w:rPr>
          <w:rFonts w:ascii="Franklin Gothic Book" w:hAnsi="Franklin Gothic Book"/>
          <w:sz w:val="16"/>
        </w:rPr>
        <w:t>e</w:t>
      </w:r>
      <w:r>
        <w:rPr>
          <w:rFonts w:ascii="Franklin Gothic Book" w:hAnsi="Franklin Gothic Book"/>
          <w:spacing w:val="-3"/>
          <w:sz w:val="16"/>
        </w:rPr>
        <w:t> </w:t>
      </w:r>
      <w:r>
        <w:rPr>
          <w:rFonts w:ascii="Franklin Gothic Book" w:hAnsi="Franklin Gothic Book"/>
          <w:sz w:val="16"/>
        </w:rPr>
        <w:t>del</w:t>
      </w:r>
      <w:r>
        <w:rPr>
          <w:rFonts w:ascii="Franklin Gothic Book" w:hAnsi="Franklin Gothic Book"/>
          <w:spacing w:val="-4"/>
          <w:sz w:val="16"/>
        </w:rPr>
        <w:t> </w:t>
      </w:r>
      <w:r>
        <w:rPr>
          <w:rFonts w:ascii="Franklin Gothic Book" w:hAnsi="Franklin Gothic Book"/>
          <w:sz w:val="16"/>
        </w:rPr>
        <w:t>contributo</w:t>
      </w:r>
      <w:r>
        <w:rPr>
          <w:rFonts w:ascii="Franklin Gothic Book" w:hAnsi="Franklin Gothic Book"/>
          <w:spacing w:val="-3"/>
          <w:sz w:val="16"/>
        </w:rPr>
        <w:t> </w:t>
      </w:r>
      <w:r>
        <w:rPr>
          <w:rFonts w:ascii="Franklin Gothic Book" w:hAnsi="Franklin Gothic Book"/>
          <w:sz w:val="16"/>
        </w:rPr>
        <w:t>al</w:t>
      </w:r>
      <w:r>
        <w:rPr>
          <w:rFonts w:ascii="Franklin Gothic Book" w:hAnsi="Franklin Gothic Book"/>
          <w:spacing w:val="-4"/>
          <w:sz w:val="16"/>
        </w:rPr>
        <w:t> </w:t>
      </w:r>
      <w:r>
        <w:rPr>
          <w:rFonts w:ascii="Franklin Gothic Book" w:hAnsi="Franklin Gothic Book"/>
          <w:sz w:val="16"/>
        </w:rPr>
        <w:t>capitale</w:t>
      </w:r>
      <w:r>
        <w:rPr>
          <w:rFonts w:ascii="Franklin Gothic Book" w:hAnsi="Franklin Gothic Book"/>
          <w:spacing w:val="-3"/>
          <w:sz w:val="16"/>
        </w:rPr>
        <w:t> </w:t>
      </w:r>
      <w:r>
        <w:rPr>
          <w:rFonts w:ascii="Franklin Gothic Book" w:hAnsi="Franklin Gothic Book"/>
          <w:sz w:val="16"/>
        </w:rPr>
        <w:t>dell'ESM.</w:t>
      </w:r>
      <w:r>
        <w:rPr>
          <w:rFonts w:ascii="Franklin Gothic Book" w:hAnsi="Franklin Gothic Book"/>
          <w:spacing w:val="-3"/>
          <w:sz w:val="16"/>
        </w:rPr>
        <w:t> </w:t>
      </w:r>
      <w:r>
        <w:rPr>
          <w:rFonts w:ascii="Franklin Gothic Book" w:hAnsi="Franklin Gothic Book"/>
          <w:sz w:val="16"/>
        </w:rPr>
        <w:t>A</w:t>
      </w:r>
      <w:r>
        <w:rPr>
          <w:rFonts w:ascii="Franklin Gothic Book" w:hAnsi="Franklin Gothic Book"/>
          <w:spacing w:val="-4"/>
          <w:sz w:val="16"/>
        </w:rPr>
        <w:t> </w:t>
      </w:r>
      <w:r>
        <w:rPr>
          <w:rFonts w:ascii="Franklin Gothic Book" w:hAnsi="Franklin Gothic Book"/>
          <w:sz w:val="16"/>
        </w:rPr>
        <w:t>tutto</w:t>
      </w:r>
      <w:r>
        <w:rPr>
          <w:rFonts w:ascii="Franklin Gothic Book" w:hAnsi="Franklin Gothic Book"/>
          <w:spacing w:val="-3"/>
          <w:sz w:val="16"/>
        </w:rPr>
        <w:t> </w:t>
      </w:r>
      <w:r>
        <w:rPr>
          <w:rFonts w:ascii="Franklin Gothic Book" w:hAnsi="Franklin Gothic Book"/>
          <w:sz w:val="16"/>
        </w:rPr>
        <w:t>il</w:t>
      </w:r>
      <w:r>
        <w:rPr>
          <w:rFonts w:ascii="Franklin Gothic Book" w:hAnsi="Franklin Gothic Book"/>
          <w:spacing w:val="-4"/>
          <w:sz w:val="16"/>
        </w:rPr>
        <w:t> </w:t>
      </w:r>
      <w:r>
        <w:rPr>
          <w:rFonts w:ascii="Franklin Gothic Book" w:hAnsi="Franklin Gothic Book"/>
          <w:sz w:val="16"/>
        </w:rPr>
        <w:t>2018</w:t>
      </w:r>
      <w:r>
        <w:rPr>
          <w:rFonts w:ascii="Franklin Gothic Book" w:hAnsi="Franklin Gothic Book"/>
          <w:spacing w:val="-4"/>
          <w:sz w:val="16"/>
        </w:rPr>
        <w:t> </w:t>
      </w:r>
      <w:r>
        <w:rPr>
          <w:rFonts w:ascii="Franklin Gothic Book" w:hAnsi="Franklin Gothic Book"/>
          <w:sz w:val="16"/>
        </w:rPr>
        <w:t>l'ammontare</w:t>
      </w:r>
      <w:r>
        <w:rPr>
          <w:rFonts w:ascii="Franklin Gothic Book" w:hAnsi="Franklin Gothic Book"/>
          <w:spacing w:val="-5"/>
          <w:sz w:val="16"/>
        </w:rPr>
        <w:t> </w:t>
      </w:r>
      <w:r>
        <w:rPr>
          <w:rFonts w:ascii="Franklin Gothic Book" w:hAnsi="Franklin Gothic Book"/>
          <w:sz w:val="16"/>
        </w:rPr>
        <w:t>di</w:t>
      </w:r>
      <w:r>
        <w:rPr>
          <w:rFonts w:ascii="Franklin Gothic Book" w:hAnsi="Franklin Gothic Book"/>
          <w:spacing w:val="-4"/>
          <w:sz w:val="16"/>
        </w:rPr>
        <w:t> </w:t>
      </w:r>
      <w:r>
        <w:rPr>
          <w:rFonts w:ascii="Franklin Gothic Book" w:hAnsi="Franklin Gothic Book"/>
          <w:sz w:val="16"/>
        </w:rPr>
        <w:t>tali</w:t>
      </w:r>
      <w:r>
        <w:rPr>
          <w:rFonts w:ascii="Franklin Gothic Book" w:hAnsi="Franklin Gothic Book"/>
          <w:spacing w:val="-4"/>
          <w:sz w:val="16"/>
        </w:rPr>
        <w:t> </w:t>
      </w:r>
      <w:r>
        <w:rPr>
          <w:rFonts w:ascii="Franklin Gothic Book" w:hAnsi="Franklin Gothic Book"/>
          <w:sz w:val="16"/>
        </w:rPr>
        <w:t>quote</w:t>
      </w:r>
      <w:r>
        <w:rPr>
          <w:rFonts w:ascii="Franklin Gothic Book" w:hAnsi="Franklin Gothic Book"/>
          <w:spacing w:val="-3"/>
          <w:sz w:val="16"/>
        </w:rPr>
        <w:t> </w:t>
      </w:r>
      <w:r>
        <w:rPr>
          <w:rFonts w:ascii="Franklin Gothic Book" w:hAnsi="Franklin Gothic Book"/>
          <w:sz w:val="16"/>
        </w:rPr>
        <w:t>è</w:t>
      </w:r>
      <w:r>
        <w:rPr>
          <w:rFonts w:ascii="Franklin Gothic Book" w:hAnsi="Franklin Gothic Book"/>
          <w:spacing w:val="-4"/>
          <w:sz w:val="16"/>
        </w:rPr>
        <w:t> </w:t>
      </w:r>
      <w:r>
        <w:rPr>
          <w:rFonts w:ascii="Franklin Gothic Book" w:hAnsi="Franklin Gothic Book"/>
          <w:sz w:val="16"/>
        </w:rPr>
        <w:t>stato</w:t>
      </w:r>
      <w:r>
        <w:rPr>
          <w:rFonts w:ascii="Franklin Gothic Book" w:hAnsi="Franklin Gothic Book"/>
          <w:spacing w:val="-3"/>
          <w:sz w:val="16"/>
        </w:rPr>
        <w:t> </w:t>
      </w:r>
      <w:r>
        <w:rPr>
          <w:rFonts w:ascii="Franklin Gothic Book" w:hAnsi="Franklin Gothic Book"/>
          <w:sz w:val="16"/>
        </w:rPr>
        <w:t>pari</w:t>
      </w:r>
      <w:r>
        <w:rPr>
          <w:rFonts w:ascii="Franklin Gothic Book" w:hAnsi="Franklin Gothic Book"/>
          <w:spacing w:val="-4"/>
          <w:sz w:val="16"/>
        </w:rPr>
        <w:t> </w:t>
      </w:r>
      <w:r>
        <w:rPr>
          <w:rFonts w:ascii="Franklin Gothic Book" w:hAnsi="Franklin Gothic Book"/>
          <w:sz w:val="16"/>
        </w:rPr>
        <w:t>a</w:t>
      </w:r>
      <w:r>
        <w:rPr>
          <w:rFonts w:ascii="Franklin Gothic Book" w:hAnsi="Franklin Gothic Book"/>
          <w:spacing w:val="-4"/>
          <w:sz w:val="16"/>
        </w:rPr>
        <w:t> </w:t>
      </w:r>
      <w:r>
        <w:rPr>
          <w:rFonts w:ascii="Franklin Gothic Book" w:hAnsi="Franklin Gothic Book"/>
          <w:sz w:val="16"/>
        </w:rPr>
        <w:t>circa</w:t>
      </w:r>
      <w:r>
        <w:rPr>
          <w:rFonts w:ascii="Franklin Gothic Book" w:hAnsi="Franklin Gothic Book"/>
          <w:spacing w:val="-4"/>
          <w:sz w:val="16"/>
        </w:rPr>
        <w:t> </w:t>
      </w:r>
      <w:r>
        <w:rPr>
          <w:rFonts w:ascii="Franklin Gothic Book" w:hAnsi="Franklin Gothic Book"/>
          <w:sz w:val="16"/>
        </w:rPr>
        <w:t>58,2</w:t>
      </w:r>
      <w:r>
        <w:rPr>
          <w:rFonts w:ascii="Franklin Gothic Book" w:hAnsi="Franklin Gothic Book"/>
          <w:spacing w:val="-4"/>
          <w:sz w:val="16"/>
        </w:rPr>
        <w:t> </w:t>
      </w:r>
      <w:r>
        <w:rPr>
          <w:rFonts w:ascii="Franklin Gothic Book" w:hAnsi="Franklin Gothic Book"/>
          <w:sz w:val="16"/>
        </w:rPr>
        <w:t>miliardi, di</w:t>
      </w:r>
      <w:r>
        <w:rPr>
          <w:rFonts w:ascii="Franklin Gothic Book" w:hAnsi="Franklin Gothic Book"/>
          <w:spacing w:val="-4"/>
          <w:sz w:val="16"/>
        </w:rPr>
        <w:t> </w:t>
      </w:r>
      <w:r>
        <w:rPr>
          <w:rFonts w:ascii="Franklin Gothic Book" w:hAnsi="Franklin Gothic Book"/>
          <w:sz w:val="16"/>
        </w:rPr>
        <w:t>cui 43,9 miliardi per prestiti bilaterali e attraverso l'EFSF e 14,3 miliardi per il programma ESM (cfr. Banca d’Italia, ‘Bollettino statistico Finanza pubblica, fabbisogno e debito’ del 16 settembre 2019). Le stime dello scenario programmatico considerano</w:t>
      </w:r>
      <w:r>
        <w:rPr>
          <w:rFonts w:ascii="Franklin Gothic Book" w:hAnsi="Franklin Gothic Book"/>
          <w:spacing w:val="-6"/>
          <w:sz w:val="16"/>
        </w:rPr>
        <w:t> </w:t>
      </w:r>
      <w:r>
        <w:rPr>
          <w:rFonts w:ascii="Franklin Gothic Book" w:hAnsi="Franklin Gothic Book"/>
          <w:sz w:val="16"/>
        </w:rPr>
        <w:t>proventi</w:t>
      </w:r>
      <w:r>
        <w:rPr>
          <w:rFonts w:ascii="Franklin Gothic Book" w:hAnsi="Franklin Gothic Book"/>
          <w:spacing w:val="-6"/>
          <w:sz w:val="16"/>
        </w:rPr>
        <w:t> </w:t>
      </w:r>
      <w:r>
        <w:rPr>
          <w:rFonts w:ascii="Franklin Gothic Book" w:hAnsi="Franklin Gothic Book"/>
          <w:sz w:val="16"/>
        </w:rPr>
        <w:t>da</w:t>
      </w:r>
      <w:r>
        <w:rPr>
          <w:rFonts w:ascii="Franklin Gothic Book" w:hAnsi="Franklin Gothic Book"/>
          <w:spacing w:val="-10"/>
          <w:sz w:val="16"/>
        </w:rPr>
        <w:t> </w:t>
      </w:r>
      <w:r>
        <w:rPr>
          <w:rFonts w:ascii="Franklin Gothic Book" w:hAnsi="Franklin Gothic Book"/>
          <w:sz w:val="16"/>
        </w:rPr>
        <w:t>privatizzazioni</w:t>
      </w:r>
      <w:r>
        <w:rPr>
          <w:rFonts w:ascii="Franklin Gothic Book" w:hAnsi="Franklin Gothic Book"/>
          <w:spacing w:val="-7"/>
          <w:sz w:val="16"/>
        </w:rPr>
        <w:t> </w:t>
      </w:r>
      <w:r>
        <w:rPr>
          <w:rFonts w:ascii="Franklin Gothic Book" w:hAnsi="Franklin Gothic Book"/>
          <w:sz w:val="16"/>
        </w:rPr>
        <w:t>pari</w:t>
      </w:r>
      <w:r>
        <w:rPr>
          <w:rFonts w:ascii="Franklin Gothic Book" w:hAnsi="Franklin Gothic Book"/>
          <w:spacing w:val="-8"/>
          <w:sz w:val="16"/>
        </w:rPr>
        <w:t> </w:t>
      </w:r>
      <w:r>
        <w:rPr>
          <w:rFonts w:ascii="Franklin Gothic Book" w:hAnsi="Franklin Gothic Book"/>
          <w:sz w:val="16"/>
        </w:rPr>
        <w:t>a</w:t>
      </w:r>
      <w:r>
        <w:rPr>
          <w:rFonts w:ascii="Franklin Gothic Book" w:hAnsi="Franklin Gothic Book"/>
          <w:spacing w:val="-5"/>
          <w:sz w:val="16"/>
        </w:rPr>
        <w:t> </w:t>
      </w:r>
      <w:r>
        <w:rPr>
          <w:rFonts w:ascii="Franklin Gothic Book" w:hAnsi="Franklin Gothic Book"/>
          <w:sz w:val="16"/>
        </w:rPr>
        <w:t>0,2</w:t>
      </w:r>
      <w:r>
        <w:rPr>
          <w:rFonts w:ascii="Franklin Gothic Book" w:hAnsi="Franklin Gothic Book"/>
          <w:spacing w:val="-9"/>
          <w:sz w:val="16"/>
        </w:rPr>
        <w:t> </w:t>
      </w:r>
      <w:r>
        <w:rPr>
          <w:rFonts w:ascii="Franklin Gothic Book" w:hAnsi="Franklin Gothic Book"/>
          <w:sz w:val="16"/>
        </w:rPr>
        <w:t>punti</w:t>
      </w:r>
      <w:r>
        <w:rPr>
          <w:rFonts w:ascii="Franklin Gothic Book" w:hAnsi="Franklin Gothic Book"/>
          <w:spacing w:val="-9"/>
          <w:sz w:val="16"/>
        </w:rPr>
        <w:t> </w:t>
      </w:r>
      <w:r>
        <w:rPr>
          <w:rFonts w:ascii="Franklin Gothic Book" w:hAnsi="Franklin Gothic Book"/>
          <w:sz w:val="16"/>
        </w:rPr>
        <w:t>percentuali</w:t>
      </w:r>
      <w:r>
        <w:rPr>
          <w:rFonts w:ascii="Franklin Gothic Book" w:hAnsi="Franklin Gothic Book"/>
          <w:spacing w:val="-6"/>
          <w:sz w:val="16"/>
        </w:rPr>
        <w:t> </w:t>
      </w:r>
      <w:r>
        <w:rPr>
          <w:rFonts w:ascii="Franklin Gothic Book" w:hAnsi="Franklin Gothic Book"/>
          <w:sz w:val="16"/>
        </w:rPr>
        <w:t>di</w:t>
      </w:r>
      <w:r>
        <w:rPr>
          <w:rFonts w:ascii="Franklin Gothic Book" w:hAnsi="Franklin Gothic Book"/>
          <w:spacing w:val="-8"/>
          <w:sz w:val="16"/>
        </w:rPr>
        <w:t> </w:t>
      </w:r>
      <w:r>
        <w:rPr>
          <w:rFonts w:ascii="Franklin Gothic Book" w:hAnsi="Franklin Gothic Book"/>
          <w:sz w:val="16"/>
        </w:rPr>
        <w:t>PIL</w:t>
      </w:r>
      <w:r>
        <w:rPr>
          <w:rFonts w:ascii="Franklin Gothic Book" w:hAnsi="Franklin Gothic Book"/>
          <w:spacing w:val="-5"/>
          <w:sz w:val="16"/>
        </w:rPr>
        <w:t> </w:t>
      </w:r>
      <w:r>
        <w:rPr>
          <w:rFonts w:ascii="Franklin Gothic Book" w:hAnsi="Franklin Gothic Book"/>
          <w:sz w:val="16"/>
        </w:rPr>
        <w:t>all’anno</w:t>
      </w:r>
      <w:r>
        <w:rPr>
          <w:rFonts w:ascii="Franklin Gothic Book" w:hAnsi="Franklin Gothic Book"/>
          <w:spacing w:val="-6"/>
          <w:sz w:val="16"/>
        </w:rPr>
        <w:t> </w:t>
      </w:r>
      <w:r>
        <w:rPr>
          <w:rFonts w:ascii="Franklin Gothic Book" w:hAnsi="Franklin Gothic Book"/>
          <w:sz w:val="16"/>
        </w:rPr>
        <w:t>nel</w:t>
      </w:r>
      <w:r>
        <w:rPr>
          <w:rFonts w:ascii="Franklin Gothic Book" w:hAnsi="Franklin Gothic Book"/>
          <w:spacing w:val="-6"/>
          <w:sz w:val="16"/>
        </w:rPr>
        <w:t> </w:t>
      </w:r>
      <w:r>
        <w:rPr>
          <w:rFonts w:ascii="Franklin Gothic Book" w:hAnsi="Franklin Gothic Book"/>
          <w:sz w:val="16"/>
        </w:rPr>
        <w:t>periodo</w:t>
      </w:r>
      <w:r>
        <w:rPr>
          <w:rFonts w:ascii="Franklin Gothic Book" w:hAnsi="Franklin Gothic Book"/>
          <w:spacing w:val="-6"/>
          <w:sz w:val="16"/>
        </w:rPr>
        <w:t> </w:t>
      </w:r>
      <w:r>
        <w:rPr>
          <w:rFonts w:ascii="Franklin Gothic Book" w:hAnsi="Franklin Gothic Book"/>
          <w:sz w:val="16"/>
        </w:rPr>
        <w:t>2020-2022.</w:t>
      </w:r>
      <w:r>
        <w:rPr>
          <w:rFonts w:ascii="Franklin Gothic Book" w:hAnsi="Franklin Gothic Book"/>
          <w:spacing w:val="-7"/>
          <w:sz w:val="16"/>
        </w:rPr>
        <w:t> </w:t>
      </w:r>
      <w:r>
        <w:rPr>
          <w:rFonts w:ascii="Franklin Gothic Book" w:hAnsi="Franklin Gothic Book"/>
          <w:sz w:val="16"/>
        </w:rPr>
        <w:t>Inoltre,</w:t>
      </w:r>
      <w:r>
        <w:rPr>
          <w:rFonts w:ascii="Franklin Gothic Book" w:hAnsi="Franklin Gothic Book"/>
          <w:spacing w:val="-8"/>
          <w:sz w:val="16"/>
        </w:rPr>
        <w:t> </w:t>
      </w:r>
      <w:r>
        <w:rPr>
          <w:rFonts w:ascii="Franklin Gothic Book" w:hAnsi="Franklin Gothic Book"/>
          <w:sz w:val="16"/>
        </w:rPr>
        <w:t>si</w:t>
      </w:r>
      <w:r>
        <w:rPr>
          <w:rFonts w:ascii="Franklin Gothic Book" w:hAnsi="Franklin Gothic Book"/>
          <w:spacing w:val="-6"/>
          <w:sz w:val="16"/>
        </w:rPr>
        <w:t> </w:t>
      </w:r>
      <w:r>
        <w:rPr>
          <w:rFonts w:ascii="Franklin Gothic Book" w:hAnsi="Franklin Gothic Book"/>
          <w:sz w:val="16"/>
        </w:rPr>
        <w:t>ipotizza una</w:t>
      </w:r>
      <w:r>
        <w:rPr>
          <w:rFonts w:ascii="Franklin Gothic Book" w:hAnsi="Franklin Gothic Book"/>
          <w:spacing w:val="-5"/>
          <w:sz w:val="16"/>
        </w:rPr>
        <w:t> </w:t>
      </w:r>
      <w:r>
        <w:rPr>
          <w:rFonts w:ascii="Franklin Gothic Book" w:hAnsi="Franklin Gothic Book"/>
          <w:sz w:val="16"/>
        </w:rPr>
        <w:t>riduzione</w:t>
      </w:r>
      <w:r>
        <w:rPr>
          <w:rFonts w:ascii="Franklin Gothic Book" w:hAnsi="Franklin Gothic Book"/>
          <w:spacing w:val="-3"/>
          <w:sz w:val="16"/>
        </w:rPr>
        <w:t> </w:t>
      </w:r>
      <w:r>
        <w:rPr>
          <w:rFonts w:ascii="Franklin Gothic Book" w:hAnsi="Franklin Gothic Book"/>
          <w:sz w:val="16"/>
        </w:rPr>
        <w:t>delle</w:t>
      </w:r>
      <w:r>
        <w:rPr>
          <w:rFonts w:ascii="Franklin Gothic Book" w:hAnsi="Franklin Gothic Book"/>
          <w:spacing w:val="-4"/>
          <w:sz w:val="16"/>
        </w:rPr>
        <w:t> </w:t>
      </w:r>
      <w:r>
        <w:rPr>
          <w:rFonts w:ascii="Franklin Gothic Book" w:hAnsi="Franklin Gothic Book"/>
          <w:sz w:val="16"/>
        </w:rPr>
        <w:t>giacenze</w:t>
      </w:r>
      <w:r>
        <w:rPr>
          <w:rFonts w:ascii="Franklin Gothic Book" w:hAnsi="Franklin Gothic Book"/>
          <w:spacing w:val="-5"/>
          <w:sz w:val="16"/>
        </w:rPr>
        <w:t> </w:t>
      </w:r>
      <w:r>
        <w:rPr>
          <w:rFonts w:ascii="Franklin Gothic Book" w:hAnsi="Franklin Gothic Book"/>
          <w:sz w:val="16"/>
        </w:rPr>
        <w:t>di</w:t>
      </w:r>
      <w:r>
        <w:rPr>
          <w:rFonts w:ascii="Franklin Gothic Book" w:hAnsi="Franklin Gothic Book"/>
          <w:spacing w:val="-4"/>
          <w:sz w:val="16"/>
        </w:rPr>
        <w:t> </w:t>
      </w:r>
      <w:r>
        <w:rPr>
          <w:rFonts w:ascii="Franklin Gothic Book" w:hAnsi="Franklin Gothic Book"/>
          <w:sz w:val="16"/>
        </w:rPr>
        <w:t>liquidità</w:t>
      </w:r>
      <w:r>
        <w:rPr>
          <w:rFonts w:ascii="Franklin Gothic Book" w:hAnsi="Franklin Gothic Book"/>
          <w:spacing w:val="-5"/>
          <w:sz w:val="16"/>
        </w:rPr>
        <w:t> </w:t>
      </w:r>
      <w:r>
        <w:rPr>
          <w:rFonts w:ascii="Franklin Gothic Book" w:hAnsi="Franklin Gothic Book"/>
          <w:sz w:val="16"/>
        </w:rPr>
        <w:t>del</w:t>
      </w:r>
      <w:r>
        <w:rPr>
          <w:rFonts w:ascii="Franklin Gothic Book" w:hAnsi="Franklin Gothic Book"/>
          <w:spacing w:val="-4"/>
          <w:sz w:val="16"/>
        </w:rPr>
        <w:t> </w:t>
      </w:r>
      <w:r>
        <w:rPr>
          <w:rFonts w:ascii="Franklin Gothic Book" w:hAnsi="Franklin Gothic Book"/>
          <w:sz w:val="16"/>
        </w:rPr>
        <w:t>MEF</w:t>
      </w:r>
      <w:r>
        <w:rPr>
          <w:rFonts w:ascii="Franklin Gothic Book" w:hAnsi="Franklin Gothic Book"/>
          <w:spacing w:val="-6"/>
          <w:sz w:val="16"/>
        </w:rPr>
        <w:t> </w:t>
      </w:r>
      <w:r>
        <w:rPr>
          <w:rFonts w:ascii="Franklin Gothic Book" w:hAnsi="Franklin Gothic Book"/>
          <w:sz w:val="16"/>
        </w:rPr>
        <w:t>dello</w:t>
      </w:r>
      <w:r>
        <w:rPr>
          <w:rFonts w:ascii="Franklin Gothic Book" w:hAnsi="Franklin Gothic Book"/>
          <w:spacing w:val="-4"/>
          <w:sz w:val="16"/>
        </w:rPr>
        <w:t> </w:t>
      </w:r>
      <w:r>
        <w:rPr>
          <w:rFonts w:ascii="Franklin Gothic Book" w:hAnsi="Franklin Gothic Book"/>
          <w:sz w:val="16"/>
        </w:rPr>
        <w:t>0,1</w:t>
      </w:r>
      <w:r>
        <w:rPr>
          <w:rFonts w:ascii="Franklin Gothic Book" w:hAnsi="Franklin Gothic Book"/>
          <w:spacing w:val="-6"/>
          <w:sz w:val="16"/>
        </w:rPr>
        <w:t> </w:t>
      </w:r>
      <w:r>
        <w:rPr>
          <w:rFonts w:ascii="Franklin Gothic Book" w:hAnsi="Franklin Gothic Book"/>
          <w:sz w:val="16"/>
        </w:rPr>
        <w:t>per</w:t>
      </w:r>
      <w:r>
        <w:rPr>
          <w:rFonts w:ascii="Franklin Gothic Book" w:hAnsi="Franklin Gothic Book"/>
          <w:spacing w:val="-3"/>
          <w:sz w:val="16"/>
        </w:rPr>
        <w:t> </w:t>
      </w:r>
      <w:r>
        <w:rPr>
          <w:rFonts w:ascii="Franklin Gothic Book" w:hAnsi="Franklin Gothic Book"/>
          <w:sz w:val="16"/>
        </w:rPr>
        <w:t>cento</w:t>
      </w:r>
      <w:r>
        <w:rPr>
          <w:rFonts w:ascii="Franklin Gothic Book" w:hAnsi="Franklin Gothic Book"/>
          <w:spacing w:val="-6"/>
          <w:sz w:val="16"/>
        </w:rPr>
        <w:t> </w:t>
      </w:r>
      <w:r>
        <w:rPr>
          <w:rFonts w:ascii="Franklin Gothic Book" w:hAnsi="Franklin Gothic Book"/>
          <w:sz w:val="16"/>
        </w:rPr>
        <w:t>del</w:t>
      </w:r>
      <w:r>
        <w:rPr>
          <w:rFonts w:ascii="Franklin Gothic Book" w:hAnsi="Franklin Gothic Book"/>
          <w:spacing w:val="-6"/>
          <w:sz w:val="16"/>
        </w:rPr>
        <w:t> </w:t>
      </w:r>
      <w:r>
        <w:rPr>
          <w:rFonts w:ascii="Franklin Gothic Book" w:hAnsi="Franklin Gothic Book"/>
          <w:sz w:val="16"/>
        </w:rPr>
        <w:t>PIL</w:t>
      </w:r>
      <w:r>
        <w:rPr>
          <w:rFonts w:ascii="Franklin Gothic Book" w:hAnsi="Franklin Gothic Book"/>
          <w:spacing w:val="-4"/>
          <w:sz w:val="16"/>
        </w:rPr>
        <w:t> </w:t>
      </w:r>
      <w:r>
        <w:rPr>
          <w:rFonts w:ascii="Franklin Gothic Book" w:hAnsi="Franklin Gothic Book"/>
          <w:sz w:val="16"/>
        </w:rPr>
        <w:t>per</w:t>
      </w:r>
      <w:r>
        <w:rPr>
          <w:rFonts w:ascii="Franklin Gothic Book" w:hAnsi="Franklin Gothic Book"/>
          <w:spacing w:val="-3"/>
          <w:sz w:val="16"/>
        </w:rPr>
        <w:t> </w:t>
      </w:r>
      <w:r>
        <w:rPr>
          <w:rFonts w:ascii="Franklin Gothic Book" w:hAnsi="Franklin Gothic Book"/>
          <w:sz w:val="16"/>
        </w:rPr>
        <w:t>ciascun</w:t>
      </w:r>
      <w:r>
        <w:rPr>
          <w:rFonts w:ascii="Franklin Gothic Book" w:hAnsi="Franklin Gothic Book"/>
          <w:spacing w:val="-4"/>
          <w:sz w:val="16"/>
        </w:rPr>
        <w:t> </w:t>
      </w:r>
      <w:r>
        <w:rPr>
          <w:rFonts w:ascii="Franklin Gothic Book" w:hAnsi="Franklin Gothic Book"/>
          <w:sz w:val="16"/>
        </w:rPr>
        <w:t>anno</w:t>
      </w:r>
      <w:r>
        <w:rPr>
          <w:rFonts w:ascii="Franklin Gothic Book" w:hAnsi="Franklin Gothic Book"/>
          <w:spacing w:val="-6"/>
          <w:sz w:val="16"/>
        </w:rPr>
        <w:t> </w:t>
      </w:r>
      <w:r>
        <w:rPr>
          <w:rFonts w:ascii="Franklin Gothic Book" w:hAnsi="Franklin Gothic Book"/>
          <w:sz w:val="16"/>
        </w:rPr>
        <w:t>dal</w:t>
      </w:r>
      <w:r>
        <w:rPr>
          <w:rFonts w:ascii="Franklin Gothic Book" w:hAnsi="Franklin Gothic Book"/>
          <w:spacing w:val="-4"/>
          <w:sz w:val="16"/>
        </w:rPr>
        <w:t> </w:t>
      </w:r>
      <w:r>
        <w:rPr>
          <w:rFonts w:ascii="Franklin Gothic Book" w:hAnsi="Franklin Gothic Book"/>
          <w:sz w:val="16"/>
        </w:rPr>
        <w:t>2019</w:t>
      </w:r>
      <w:r>
        <w:rPr>
          <w:rFonts w:ascii="Franklin Gothic Book" w:hAnsi="Franklin Gothic Book"/>
          <w:spacing w:val="-4"/>
          <w:sz w:val="16"/>
        </w:rPr>
        <w:t> </w:t>
      </w:r>
      <w:r>
        <w:rPr>
          <w:rFonts w:ascii="Franklin Gothic Book" w:hAnsi="Franklin Gothic Book"/>
          <w:sz w:val="16"/>
        </w:rPr>
        <w:t>al</w:t>
      </w:r>
      <w:r>
        <w:rPr>
          <w:rFonts w:ascii="Franklin Gothic Book" w:hAnsi="Franklin Gothic Book"/>
          <w:spacing w:val="-5"/>
          <w:sz w:val="16"/>
        </w:rPr>
        <w:t> </w:t>
      </w:r>
      <w:r>
        <w:rPr>
          <w:rFonts w:ascii="Franklin Gothic Book" w:hAnsi="Franklin Gothic Book"/>
          <w:sz w:val="16"/>
        </w:rPr>
        <w:t>2021.</w:t>
      </w:r>
      <w:r>
        <w:rPr>
          <w:rFonts w:ascii="Franklin Gothic Book" w:hAnsi="Franklin Gothic Book"/>
          <w:spacing w:val="-3"/>
          <w:sz w:val="16"/>
        </w:rPr>
        <w:t> </w:t>
      </w:r>
      <w:r>
        <w:rPr>
          <w:rFonts w:ascii="Franklin Gothic Book" w:hAnsi="Franklin Gothic Book"/>
          <w:sz w:val="16"/>
        </w:rPr>
        <w:t>Lo</w:t>
      </w:r>
      <w:r>
        <w:rPr>
          <w:rFonts w:ascii="Franklin Gothic Book" w:hAnsi="Franklin Gothic Book"/>
          <w:spacing w:val="-5"/>
          <w:sz w:val="16"/>
        </w:rPr>
        <w:t> </w:t>
      </w:r>
      <w:r>
        <w:rPr>
          <w:rFonts w:ascii="Franklin Gothic Book" w:hAnsi="Franklin Gothic Book"/>
          <w:sz w:val="16"/>
        </w:rPr>
        <w:t>scenario dei</w:t>
      </w:r>
      <w:r>
        <w:rPr>
          <w:rFonts w:ascii="Franklin Gothic Book" w:hAnsi="Franklin Gothic Book"/>
          <w:spacing w:val="-4"/>
          <w:sz w:val="16"/>
        </w:rPr>
        <w:t> </w:t>
      </w:r>
      <w:r>
        <w:rPr>
          <w:rFonts w:ascii="Franklin Gothic Book" w:hAnsi="Franklin Gothic Book"/>
          <w:sz w:val="16"/>
        </w:rPr>
        <w:t>tassi</w:t>
      </w:r>
      <w:r>
        <w:rPr>
          <w:rFonts w:ascii="Franklin Gothic Book" w:hAnsi="Franklin Gothic Book"/>
          <w:spacing w:val="-4"/>
          <w:sz w:val="16"/>
        </w:rPr>
        <w:t> </w:t>
      </w:r>
      <w:r>
        <w:rPr>
          <w:rFonts w:ascii="Franklin Gothic Book" w:hAnsi="Franklin Gothic Book"/>
          <w:sz w:val="16"/>
        </w:rPr>
        <w:t>di</w:t>
      </w:r>
      <w:r>
        <w:rPr>
          <w:rFonts w:ascii="Franklin Gothic Book" w:hAnsi="Franklin Gothic Book"/>
          <w:spacing w:val="-3"/>
          <w:sz w:val="16"/>
        </w:rPr>
        <w:t> </w:t>
      </w:r>
      <w:r>
        <w:rPr>
          <w:rFonts w:ascii="Franklin Gothic Book" w:hAnsi="Franklin Gothic Book"/>
          <w:sz w:val="16"/>
        </w:rPr>
        <w:t>interesse</w:t>
      </w:r>
      <w:r>
        <w:rPr>
          <w:rFonts w:ascii="Franklin Gothic Book" w:hAnsi="Franklin Gothic Book"/>
          <w:spacing w:val="-3"/>
          <w:sz w:val="16"/>
        </w:rPr>
        <w:t> </w:t>
      </w:r>
      <w:r>
        <w:rPr>
          <w:rFonts w:ascii="Franklin Gothic Book" w:hAnsi="Franklin Gothic Book"/>
          <w:sz w:val="16"/>
        </w:rPr>
        <w:t>utilizzato</w:t>
      </w:r>
      <w:r>
        <w:rPr>
          <w:rFonts w:ascii="Franklin Gothic Book" w:hAnsi="Franklin Gothic Book"/>
          <w:spacing w:val="-3"/>
          <w:sz w:val="16"/>
        </w:rPr>
        <w:t> </w:t>
      </w:r>
      <w:r>
        <w:rPr>
          <w:rFonts w:ascii="Franklin Gothic Book" w:hAnsi="Franklin Gothic Book"/>
          <w:sz w:val="16"/>
        </w:rPr>
        <w:t>per</w:t>
      </w:r>
      <w:r>
        <w:rPr>
          <w:rFonts w:ascii="Franklin Gothic Book" w:hAnsi="Franklin Gothic Book"/>
          <w:spacing w:val="-2"/>
          <w:sz w:val="16"/>
        </w:rPr>
        <w:t> </w:t>
      </w:r>
      <w:r>
        <w:rPr>
          <w:rFonts w:ascii="Franklin Gothic Book" w:hAnsi="Franklin Gothic Book"/>
          <w:sz w:val="16"/>
        </w:rPr>
        <w:t>le</w:t>
      </w:r>
      <w:r>
        <w:rPr>
          <w:rFonts w:ascii="Franklin Gothic Book" w:hAnsi="Franklin Gothic Book"/>
          <w:spacing w:val="-5"/>
          <w:sz w:val="16"/>
        </w:rPr>
        <w:t> </w:t>
      </w:r>
      <w:r>
        <w:rPr>
          <w:rFonts w:ascii="Franklin Gothic Book" w:hAnsi="Franklin Gothic Book"/>
          <w:sz w:val="16"/>
        </w:rPr>
        <w:t>stime</w:t>
      </w:r>
      <w:r>
        <w:rPr>
          <w:rFonts w:ascii="Franklin Gothic Book" w:hAnsi="Franklin Gothic Book"/>
          <w:spacing w:val="-3"/>
          <w:sz w:val="16"/>
        </w:rPr>
        <w:t> </w:t>
      </w:r>
      <w:r>
        <w:rPr>
          <w:rFonts w:ascii="Franklin Gothic Book" w:hAnsi="Franklin Gothic Book"/>
          <w:sz w:val="16"/>
        </w:rPr>
        <w:t>si</w:t>
      </w:r>
      <w:r>
        <w:rPr>
          <w:rFonts w:ascii="Franklin Gothic Book" w:hAnsi="Franklin Gothic Book"/>
          <w:spacing w:val="-3"/>
          <w:sz w:val="16"/>
        </w:rPr>
        <w:t> </w:t>
      </w:r>
      <w:r>
        <w:rPr>
          <w:rFonts w:ascii="Franklin Gothic Book" w:hAnsi="Franklin Gothic Book"/>
          <w:sz w:val="16"/>
        </w:rPr>
        <w:t>basa</w:t>
      </w:r>
      <w:r>
        <w:rPr>
          <w:rFonts w:ascii="Franklin Gothic Book" w:hAnsi="Franklin Gothic Book"/>
          <w:spacing w:val="-4"/>
          <w:sz w:val="16"/>
        </w:rPr>
        <w:t> </w:t>
      </w:r>
      <w:r>
        <w:rPr>
          <w:rFonts w:ascii="Franklin Gothic Book" w:hAnsi="Franklin Gothic Book"/>
          <w:sz w:val="16"/>
        </w:rPr>
        <w:t>sulle</w:t>
      </w:r>
      <w:r>
        <w:rPr>
          <w:rFonts w:ascii="Franklin Gothic Book" w:hAnsi="Franklin Gothic Book"/>
          <w:spacing w:val="-2"/>
          <w:sz w:val="16"/>
        </w:rPr>
        <w:t> </w:t>
      </w:r>
      <w:r>
        <w:rPr>
          <w:rFonts w:ascii="Franklin Gothic Book" w:hAnsi="Franklin Gothic Book"/>
          <w:sz w:val="16"/>
        </w:rPr>
        <w:t>previsioni</w:t>
      </w:r>
      <w:r>
        <w:rPr>
          <w:rFonts w:ascii="Franklin Gothic Book" w:hAnsi="Franklin Gothic Book"/>
          <w:spacing w:val="-4"/>
          <w:sz w:val="16"/>
        </w:rPr>
        <w:t> </w:t>
      </w:r>
      <w:r>
        <w:rPr>
          <w:rFonts w:ascii="Franklin Gothic Book" w:hAnsi="Franklin Gothic Book"/>
          <w:sz w:val="16"/>
        </w:rPr>
        <w:t>implicite</w:t>
      </w:r>
      <w:r>
        <w:rPr>
          <w:rFonts w:ascii="Franklin Gothic Book" w:hAnsi="Franklin Gothic Book"/>
          <w:spacing w:val="-3"/>
          <w:sz w:val="16"/>
        </w:rPr>
        <w:t> </w:t>
      </w:r>
      <w:r>
        <w:rPr>
          <w:rFonts w:ascii="Franklin Gothic Book" w:hAnsi="Franklin Gothic Book"/>
          <w:sz w:val="16"/>
        </w:rPr>
        <w:t>derivanti</w:t>
      </w:r>
      <w:r>
        <w:rPr>
          <w:rFonts w:ascii="Franklin Gothic Book" w:hAnsi="Franklin Gothic Book"/>
          <w:spacing w:val="-3"/>
          <w:sz w:val="16"/>
        </w:rPr>
        <w:t> </w:t>
      </w:r>
      <w:r>
        <w:rPr>
          <w:rFonts w:ascii="Franklin Gothic Book" w:hAnsi="Franklin Gothic Book"/>
          <w:sz w:val="16"/>
        </w:rPr>
        <w:t>dai</w:t>
      </w:r>
      <w:r>
        <w:rPr>
          <w:rFonts w:ascii="Franklin Gothic Book" w:hAnsi="Franklin Gothic Book"/>
          <w:spacing w:val="-3"/>
          <w:sz w:val="16"/>
        </w:rPr>
        <w:t> </w:t>
      </w:r>
      <w:r>
        <w:rPr>
          <w:rFonts w:ascii="Franklin Gothic Book" w:hAnsi="Franklin Gothic Book"/>
          <w:sz w:val="16"/>
        </w:rPr>
        <w:t>rendimenti</w:t>
      </w:r>
      <w:r>
        <w:rPr>
          <w:rFonts w:ascii="Franklin Gothic Book" w:hAnsi="Franklin Gothic Book"/>
          <w:spacing w:val="-3"/>
          <w:sz w:val="16"/>
        </w:rPr>
        <w:t> </w:t>
      </w:r>
      <w:r>
        <w:rPr>
          <w:rFonts w:ascii="Franklin Gothic Book" w:hAnsi="Franklin Gothic Book"/>
          <w:sz w:val="16"/>
        </w:rPr>
        <w:t>sui</w:t>
      </w:r>
      <w:r>
        <w:rPr>
          <w:rFonts w:ascii="Franklin Gothic Book" w:hAnsi="Franklin Gothic Book"/>
          <w:spacing w:val="-3"/>
          <w:sz w:val="16"/>
        </w:rPr>
        <w:t> </w:t>
      </w:r>
      <w:r>
        <w:rPr>
          <w:rFonts w:ascii="Franklin Gothic Book" w:hAnsi="Franklin Gothic Book"/>
          <w:sz w:val="16"/>
        </w:rPr>
        <w:t>titoli</w:t>
      </w:r>
      <w:r>
        <w:rPr>
          <w:rFonts w:ascii="Franklin Gothic Book" w:hAnsi="Franklin Gothic Book"/>
          <w:spacing w:val="-6"/>
          <w:sz w:val="16"/>
        </w:rPr>
        <w:t> </w:t>
      </w:r>
      <w:r>
        <w:rPr>
          <w:rFonts w:ascii="Franklin Gothic Book" w:hAnsi="Franklin Gothic Book"/>
          <w:sz w:val="16"/>
        </w:rPr>
        <w:t>di</w:t>
      </w:r>
      <w:r>
        <w:rPr>
          <w:rFonts w:ascii="Franklin Gothic Book" w:hAnsi="Franklin Gothic Book"/>
          <w:spacing w:val="-3"/>
          <w:sz w:val="16"/>
        </w:rPr>
        <w:t> </w:t>
      </w:r>
      <w:r>
        <w:rPr>
          <w:rFonts w:ascii="Franklin Gothic Book" w:hAnsi="Franklin Gothic Book"/>
          <w:sz w:val="16"/>
        </w:rPr>
        <w:t>Stato</w:t>
      </w:r>
      <w:r>
        <w:rPr>
          <w:rFonts w:ascii="Franklin Gothic Book" w:hAnsi="Franklin Gothic Book"/>
          <w:spacing w:val="-3"/>
          <w:sz w:val="16"/>
        </w:rPr>
        <w:t> </w:t>
      </w:r>
      <w:r>
        <w:rPr>
          <w:rFonts w:ascii="Franklin Gothic Book" w:hAnsi="Franklin Gothic Book"/>
          <w:sz w:val="16"/>
        </w:rPr>
        <w:t>italiani del periodo di compilazione del presente</w:t>
      </w:r>
      <w:r>
        <w:rPr>
          <w:rFonts w:ascii="Franklin Gothic Book" w:hAnsi="Franklin Gothic Book"/>
          <w:spacing w:val="-4"/>
          <w:sz w:val="16"/>
        </w:rPr>
        <w:t> </w:t>
      </w:r>
      <w:r>
        <w:rPr>
          <w:rFonts w:ascii="Franklin Gothic Book" w:hAnsi="Franklin Gothic Book"/>
          <w:sz w:val="16"/>
        </w:rPr>
        <w:t>documento.</w:t>
      </w:r>
    </w:p>
    <w:p>
      <w:pPr>
        <w:pStyle w:val="ListParagraph"/>
        <w:numPr>
          <w:ilvl w:val="0"/>
          <w:numId w:val="5"/>
        </w:numPr>
        <w:tabs>
          <w:tab w:pos="1354" w:val="left" w:leader="none"/>
        </w:tabs>
        <w:spacing w:line="240" w:lineRule="auto" w:before="42" w:after="0"/>
        <w:ind w:left="1157" w:right="1321" w:firstLine="0"/>
        <w:jc w:val="both"/>
        <w:rPr>
          <w:rFonts w:ascii="Franklin Gothic Book" w:hAnsi="Franklin Gothic Book"/>
          <w:sz w:val="16"/>
        </w:rPr>
      </w:pPr>
      <w:r>
        <w:rPr/>
        <w:pict>
          <v:line style="position:absolute;mso-position-horizontal-relative:page;mso-position-vertical-relative:paragraph;z-index:-251631616;mso-wrap-distance-left:0;mso-wrap-distance-right:0" from="113.419998pt,41.02203pt" to="530.609998pt,41.02203pt" stroked="true" strokeweight="1.44pt" strokecolor="#086d44">
            <v:stroke dashstyle="solid"/>
            <w10:wrap type="topAndBottom"/>
          </v:line>
        </w:pict>
      </w:r>
      <w:r>
        <w:rPr>
          <w:rFonts w:ascii="Franklin Gothic Book" w:hAnsi="Franklin Gothic Book"/>
          <w:sz w:val="16"/>
        </w:rPr>
        <w:t>Al lordo ovvero al netto delle quote di pertinenza dell’Italia dei prestiti a Stati membri dell'UEM, bilaterali o attraverso l'EFSF, e del contributo al capitale dell'ESM. Le stime considerano proventi da privatizzazioni e altri proventi finanziari pari all'1,0</w:t>
      </w:r>
      <w:r>
        <w:rPr>
          <w:rFonts w:ascii="Franklin Gothic Book" w:hAnsi="Franklin Gothic Book"/>
          <w:spacing w:val="-3"/>
          <w:sz w:val="16"/>
        </w:rPr>
        <w:t> </w:t>
      </w:r>
      <w:r>
        <w:rPr>
          <w:rFonts w:ascii="Franklin Gothic Book" w:hAnsi="Franklin Gothic Book"/>
          <w:sz w:val="16"/>
        </w:rPr>
        <w:t>per</w:t>
      </w:r>
      <w:r>
        <w:rPr>
          <w:rFonts w:ascii="Franklin Gothic Book" w:hAnsi="Franklin Gothic Book"/>
          <w:spacing w:val="-1"/>
          <w:sz w:val="16"/>
        </w:rPr>
        <w:t> </w:t>
      </w:r>
      <w:r>
        <w:rPr>
          <w:rFonts w:ascii="Franklin Gothic Book" w:hAnsi="Franklin Gothic Book"/>
          <w:sz w:val="16"/>
        </w:rPr>
        <w:t>cento</w:t>
      </w:r>
      <w:r>
        <w:rPr>
          <w:rFonts w:ascii="Franklin Gothic Book" w:hAnsi="Franklin Gothic Book"/>
          <w:spacing w:val="-3"/>
          <w:sz w:val="16"/>
        </w:rPr>
        <w:t> </w:t>
      </w:r>
      <w:r>
        <w:rPr>
          <w:rFonts w:ascii="Franklin Gothic Book" w:hAnsi="Franklin Gothic Book"/>
          <w:sz w:val="16"/>
        </w:rPr>
        <w:t>del</w:t>
      </w:r>
      <w:r>
        <w:rPr>
          <w:rFonts w:ascii="Franklin Gothic Book" w:hAnsi="Franklin Gothic Book"/>
          <w:spacing w:val="-3"/>
          <w:sz w:val="16"/>
        </w:rPr>
        <w:t> </w:t>
      </w:r>
      <w:r>
        <w:rPr>
          <w:rFonts w:ascii="Franklin Gothic Book" w:hAnsi="Franklin Gothic Book"/>
          <w:sz w:val="16"/>
        </w:rPr>
        <w:t>PIL</w:t>
      </w:r>
      <w:r>
        <w:rPr>
          <w:rFonts w:ascii="Franklin Gothic Book" w:hAnsi="Franklin Gothic Book"/>
          <w:spacing w:val="-3"/>
          <w:sz w:val="16"/>
        </w:rPr>
        <w:t> </w:t>
      </w:r>
      <w:r>
        <w:rPr>
          <w:rFonts w:ascii="Franklin Gothic Book" w:hAnsi="Franklin Gothic Book"/>
          <w:sz w:val="16"/>
        </w:rPr>
        <w:t>nel</w:t>
      </w:r>
      <w:r>
        <w:rPr>
          <w:rFonts w:ascii="Franklin Gothic Book" w:hAnsi="Franklin Gothic Book"/>
          <w:spacing w:val="-2"/>
          <w:sz w:val="16"/>
        </w:rPr>
        <w:t> </w:t>
      </w:r>
      <w:r>
        <w:rPr>
          <w:rFonts w:ascii="Franklin Gothic Book" w:hAnsi="Franklin Gothic Book"/>
          <w:sz w:val="16"/>
        </w:rPr>
        <w:t>2019</w:t>
      </w:r>
      <w:r>
        <w:rPr>
          <w:rFonts w:ascii="Franklin Gothic Book" w:hAnsi="Franklin Gothic Book"/>
          <w:spacing w:val="-4"/>
          <w:sz w:val="16"/>
        </w:rPr>
        <w:t> </w:t>
      </w:r>
      <w:r>
        <w:rPr>
          <w:rFonts w:ascii="Franklin Gothic Book" w:hAnsi="Franklin Gothic Book"/>
          <w:sz w:val="16"/>
        </w:rPr>
        <w:t>e</w:t>
      </w:r>
      <w:r>
        <w:rPr>
          <w:rFonts w:ascii="Franklin Gothic Book" w:hAnsi="Franklin Gothic Book"/>
          <w:spacing w:val="-5"/>
          <w:sz w:val="16"/>
        </w:rPr>
        <w:t> </w:t>
      </w:r>
      <w:r>
        <w:rPr>
          <w:rFonts w:ascii="Franklin Gothic Book" w:hAnsi="Franklin Gothic Book"/>
          <w:sz w:val="16"/>
        </w:rPr>
        <w:t>allo 0,3</w:t>
      </w:r>
      <w:r>
        <w:rPr>
          <w:rFonts w:ascii="Franklin Gothic Book" w:hAnsi="Franklin Gothic Book"/>
          <w:spacing w:val="-2"/>
          <w:sz w:val="16"/>
        </w:rPr>
        <w:t> </w:t>
      </w:r>
      <w:r>
        <w:rPr>
          <w:rFonts w:ascii="Franklin Gothic Book" w:hAnsi="Franklin Gothic Book"/>
          <w:sz w:val="16"/>
        </w:rPr>
        <w:t>per</w:t>
      </w:r>
      <w:r>
        <w:rPr>
          <w:rFonts w:ascii="Franklin Gothic Book" w:hAnsi="Franklin Gothic Book"/>
          <w:spacing w:val="-2"/>
          <w:sz w:val="16"/>
        </w:rPr>
        <w:t> </w:t>
      </w:r>
      <w:r>
        <w:rPr>
          <w:rFonts w:ascii="Franklin Gothic Book" w:hAnsi="Franklin Gothic Book"/>
          <w:sz w:val="16"/>
        </w:rPr>
        <w:t>cento</w:t>
      </w:r>
      <w:r>
        <w:rPr>
          <w:rFonts w:ascii="Franklin Gothic Book" w:hAnsi="Franklin Gothic Book"/>
          <w:spacing w:val="-3"/>
          <w:sz w:val="16"/>
        </w:rPr>
        <w:t> </w:t>
      </w:r>
      <w:r>
        <w:rPr>
          <w:rFonts w:ascii="Franklin Gothic Book" w:hAnsi="Franklin Gothic Book"/>
          <w:sz w:val="16"/>
        </w:rPr>
        <w:t>nel</w:t>
      </w:r>
      <w:r>
        <w:rPr>
          <w:rFonts w:ascii="Franklin Gothic Book" w:hAnsi="Franklin Gothic Book"/>
          <w:spacing w:val="-3"/>
          <w:sz w:val="16"/>
        </w:rPr>
        <w:t> </w:t>
      </w:r>
      <w:r>
        <w:rPr>
          <w:rFonts w:ascii="Franklin Gothic Book" w:hAnsi="Franklin Gothic Book"/>
          <w:sz w:val="16"/>
        </w:rPr>
        <w:t>2020</w:t>
      </w:r>
      <w:r>
        <w:rPr>
          <w:rFonts w:ascii="Franklin Gothic Book" w:hAnsi="Franklin Gothic Book"/>
          <w:spacing w:val="-2"/>
          <w:sz w:val="16"/>
        </w:rPr>
        <w:t> </w:t>
      </w:r>
      <w:r>
        <w:rPr>
          <w:rFonts w:ascii="Franklin Gothic Book" w:hAnsi="Franklin Gothic Book"/>
          <w:sz w:val="16"/>
        </w:rPr>
        <w:t>e</w:t>
      </w:r>
      <w:r>
        <w:rPr>
          <w:rFonts w:ascii="Franklin Gothic Book" w:hAnsi="Franklin Gothic Book"/>
          <w:spacing w:val="-3"/>
          <w:sz w:val="16"/>
        </w:rPr>
        <w:t> </w:t>
      </w:r>
      <w:r>
        <w:rPr>
          <w:rFonts w:ascii="Franklin Gothic Book" w:hAnsi="Franklin Gothic Book"/>
          <w:sz w:val="16"/>
        </w:rPr>
        <w:t>una</w:t>
      </w:r>
      <w:r>
        <w:rPr>
          <w:rFonts w:ascii="Franklin Gothic Book" w:hAnsi="Franklin Gothic Book"/>
          <w:spacing w:val="-2"/>
          <w:sz w:val="16"/>
        </w:rPr>
        <w:t> </w:t>
      </w:r>
      <w:r>
        <w:rPr>
          <w:rFonts w:ascii="Franklin Gothic Book" w:hAnsi="Franklin Gothic Book"/>
          <w:sz w:val="16"/>
        </w:rPr>
        <w:t>riduzione</w:t>
      </w:r>
      <w:r>
        <w:rPr>
          <w:rFonts w:ascii="Franklin Gothic Book" w:hAnsi="Franklin Gothic Book"/>
          <w:spacing w:val="2"/>
          <w:sz w:val="16"/>
        </w:rPr>
        <w:t> </w:t>
      </w:r>
      <w:r>
        <w:rPr>
          <w:rFonts w:ascii="Franklin Gothic Book" w:hAnsi="Franklin Gothic Book"/>
          <w:sz w:val="16"/>
        </w:rPr>
        <w:t>delle</w:t>
      </w:r>
      <w:r>
        <w:rPr>
          <w:rFonts w:ascii="Franklin Gothic Book" w:hAnsi="Franklin Gothic Book"/>
          <w:spacing w:val="-3"/>
          <w:sz w:val="16"/>
        </w:rPr>
        <w:t> </w:t>
      </w:r>
      <w:r>
        <w:rPr>
          <w:rFonts w:ascii="Franklin Gothic Book" w:hAnsi="Franklin Gothic Book"/>
          <w:sz w:val="16"/>
        </w:rPr>
        <w:t>giacenze di</w:t>
      </w:r>
      <w:r>
        <w:rPr>
          <w:rFonts w:ascii="Franklin Gothic Book" w:hAnsi="Franklin Gothic Book"/>
          <w:spacing w:val="-4"/>
          <w:sz w:val="16"/>
        </w:rPr>
        <w:t> </w:t>
      </w:r>
      <w:r>
        <w:rPr>
          <w:rFonts w:ascii="Franklin Gothic Book" w:hAnsi="Franklin Gothic Book"/>
          <w:sz w:val="16"/>
        </w:rPr>
        <w:t>liquidità</w:t>
      </w:r>
      <w:r>
        <w:rPr>
          <w:rFonts w:ascii="Franklin Gothic Book" w:hAnsi="Franklin Gothic Book"/>
          <w:spacing w:val="-2"/>
          <w:sz w:val="16"/>
        </w:rPr>
        <w:t> </w:t>
      </w:r>
      <w:r>
        <w:rPr>
          <w:rFonts w:ascii="Franklin Gothic Book" w:hAnsi="Franklin Gothic Book"/>
          <w:sz w:val="16"/>
        </w:rPr>
        <w:t>del</w:t>
      </w:r>
      <w:r>
        <w:rPr>
          <w:rFonts w:ascii="Franklin Gothic Book" w:hAnsi="Franklin Gothic Book"/>
          <w:spacing w:val="-2"/>
          <w:sz w:val="16"/>
        </w:rPr>
        <w:t> </w:t>
      </w:r>
      <w:r>
        <w:rPr>
          <w:rFonts w:ascii="Franklin Gothic Book" w:hAnsi="Franklin Gothic Book"/>
          <w:sz w:val="16"/>
        </w:rPr>
        <w:t>MEF</w:t>
      </w:r>
      <w:r>
        <w:rPr>
          <w:rFonts w:ascii="Franklin Gothic Book" w:hAnsi="Franklin Gothic Book"/>
          <w:spacing w:val="-3"/>
          <w:sz w:val="16"/>
        </w:rPr>
        <w:t> </w:t>
      </w:r>
      <w:r>
        <w:rPr>
          <w:rFonts w:ascii="Franklin Gothic Book" w:hAnsi="Franklin Gothic Book"/>
          <w:sz w:val="16"/>
        </w:rPr>
        <w:t>dello</w:t>
      </w:r>
      <w:r>
        <w:rPr>
          <w:rFonts w:ascii="Franklin Gothic Book" w:hAnsi="Franklin Gothic Book"/>
          <w:spacing w:val="-3"/>
          <w:sz w:val="16"/>
        </w:rPr>
        <w:t> </w:t>
      </w:r>
      <w:r>
        <w:rPr>
          <w:rFonts w:ascii="Franklin Gothic Book" w:hAnsi="Franklin Gothic Book"/>
          <w:sz w:val="16"/>
        </w:rPr>
        <w:t>0,1 per cento del PIL per ciascun anno dal 2019 al</w:t>
      </w:r>
      <w:r>
        <w:rPr>
          <w:rFonts w:ascii="Franklin Gothic Book" w:hAnsi="Franklin Gothic Book"/>
          <w:spacing w:val="-10"/>
          <w:sz w:val="16"/>
        </w:rPr>
        <w:t> </w:t>
      </w:r>
      <w:r>
        <w:rPr>
          <w:rFonts w:ascii="Franklin Gothic Book" w:hAnsi="Franklin Gothic Book"/>
          <w:sz w:val="16"/>
        </w:rPr>
        <w:t>2021.</w:t>
      </w:r>
    </w:p>
    <w:p>
      <w:pPr>
        <w:pStyle w:val="BodyText"/>
        <w:spacing w:before="1"/>
        <w:rPr>
          <w:rFonts w:ascii="Franklin Gothic Book"/>
          <w:sz w:val="11"/>
        </w:rPr>
      </w:pPr>
    </w:p>
    <w:p>
      <w:pPr>
        <w:pStyle w:val="BodyText"/>
        <w:spacing w:line="252" w:lineRule="auto" w:before="101"/>
        <w:ind w:left="1128" w:right="1413" w:firstLine="453"/>
        <w:jc w:val="both"/>
      </w:pPr>
      <w:r>
        <w:rPr/>
        <w:t>In ottemperanza alle norme della legge di contabilità e finanza pubblica sui contenuti obbligatori della Nota di Aggiornamento del DEF, il saldo netto da finanziare del bilancio dello Stato di competenza potrà aumentare fino a 79,5 miliardi</w:t>
      </w:r>
      <w:r>
        <w:rPr>
          <w:spacing w:val="56"/>
        </w:rPr>
        <w:t> </w:t>
      </w:r>
      <w:r>
        <w:rPr/>
        <w:t>di</w:t>
      </w:r>
      <w:r>
        <w:rPr>
          <w:spacing w:val="57"/>
        </w:rPr>
        <w:t> </w:t>
      </w:r>
      <w:r>
        <w:rPr/>
        <w:t>euro</w:t>
      </w:r>
      <w:r>
        <w:rPr>
          <w:spacing w:val="56"/>
        </w:rPr>
        <w:t> </w:t>
      </w:r>
      <w:r>
        <w:rPr/>
        <w:t>nel</w:t>
      </w:r>
      <w:r>
        <w:rPr>
          <w:spacing w:val="55"/>
        </w:rPr>
        <w:t> </w:t>
      </w:r>
      <w:r>
        <w:rPr/>
        <w:t>2020,</w:t>
      </w:r>
      <w:r>
        <w:rPr>
          <w:spacing w:val="57"/>
        </w:rPr>
        <w:t> </w:t>
      </w:r>
      <w:r>
        <w:rPr/>
        <w:t>56,5</w:t>
      </w:r>
      <w:r>
        <w:rPr>
          <w:spacing w:val="55"/>
        </w:rPr>
        <w:t> </w:t>
      </w:r>
      <w:r>
        <w:rPr/>
        <w:t>miliardi</w:t>
      </w:r>
      <w:r>
        <w:rPr>
          <w:spacing w:val="57"/>
        </w:rPr>
        <w:t> </w:t>
      </w:r>
      <w:r>
        <w:rPr/>
        <w:t>nel</w:t>
      </w:r>
      <w:r>
        <w:rPr>
          <w:spacing w:val="54"/>
        </w:rPr>
        <w:t> </w:t>
      </w:r>
      <w:r>
        <w:rPr/>
        <w:t>2021</w:t>
      </w:r>
      <w:r>
        <w:rPr>
          <w:spacing w:val="57"/>
        </w:rPr>
        <w:t> </w:t>
      </w:r>
      <w:r>
        <w:rPr/>
        <w:t>e</w:t>
      </w:r>
      <w:r>
        <w:rPr>
          <w:spacing w:val="58"/>
        </w:rPr>
        <w:t> </w:t>
      </w:r>
      <w:r>
        <w:rPr/>
        <w:t>37,5</w:t>
      </w:r>
      <w:r>
        <w:rPr>
          <w:spacing w:val="58"/>
        </w:rPr>
        <w:t> </w:t>
      </w:r>
      <w:r>
        <w:rPr/>
        <w:t>miliardi</w:t>
      </w:r>
      <w:r>
        <w:rPr>
          <w:spacing w:val="54"/>
        </w:rPr>
        <w:t> </w:t>
      </w:r>
      <w:r>
        <w:rPr/>
        <w:t>nel</w:t>
      </w:r>
      <w:r>
        <w:rPr>
          <w:spacing w:val="58"/>
        </w:rPr>
        <w:t> </w:t>
      </w:r>
      <w:r>
        <w:rPr/>
        <w:t>2022.</w:t>
      </w:r>
      <w:r>
        <w:rPr>
          <w:spacing w:val="56"/>
        </w:rPr>
        <w:t> </w:t>
      </w:r>
      <w:r>
        <w:rPr/>
        <w:t>Il</w:t>
      </w:r>
    </w:p>
    <w:p>
      <w:pPr>
        <w:spacing w:after="0" w:line="252" w:lineRule="auto"/>
        <w:jc w:val="both"/>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278" w:right="2393"/>
      </w:pPr>
      <w:r>
        <w:rPr/>
        <w:t>corrispondente saldo netto da finanziare di cassa potrà aumentare fino a 129 miliardi di euro nel 2020, 109,5 miliardi nel 2021 e 87,5 miliardi nel 2022.</w:t>
      </w:r>
    </w:p>
    <w:p>
      <w:pPr>
        <w:pStyle w:val="BodyText"/>
        <w:spacing w:before="1"/>
        <w:rPr>
          <w:sz w:val="23"/>
        </w:rPr>
      </w:pPr>
    </w:p>
    <w:p>
      <w:pPr>
        <w:pStyle w:val="BodyText"/>
        <w:spacing w:line="252" w:lineRule="auto"/>
        <w:ind w:left="278" w:right="2393" w:firstLine="453"/>
      </w:pPr>
      <w:r>
        <w:rPr/>
        <w:t>A completamento della manovra di bilancio 2020-2022, il Governo dichiara quali collegati alla decisione di bilancio:</w:t>
      </w:r>
    </w:p>
    <w:p>
      <w:pPr>
        <w:pStyle w:val="BodyText"/>
        <w:spacing w:before="8"/>
        <w:rPr>
          <w:sz w:val="20"/>
        </w:rPr>
      </w:pPr>
    </w:p>
    <w:p>
      <w:pPr>
        <w:pStyle w:val="ListParagraph"/>
        <w:numPr>
          <w:ilvl w:val="0"/>
          <w:numId w:val="6"/>
        </w:numPr>
        <w:tabs>
          <w:tab w:pos="1346" w:val="left" w:leader="none"/>
          <w:tab w:pos="1347" w:val="left" w:leader="none"/>
        </w:tabs>
        <w:spacing w:line="240" w:lineRule="auto" w:before="1" w:after="0"/>
        <w:ind w:left="1346" w:right="0" w:hanging="361"/>
        <w:jc w:val="left"/>
        <w:rPr>
          <w:sz w:val="22"/>
        </w:rPr>
      </w:pPr>
      <w:r>
        <w:rPr>
          <w:sz w:val="22"/>
        </w:rPr>
        <w:t>DDL </w:t>
      </w:r>
      <w:r>
        <w:rPr>
          <w:i/>
          <w:sz w:val="22"/>
        </w:rPr>
        <w:t>Green New Deal </w:t>
      </w:r>
      <w:r>
        <w:rPr>
          <w:sz w:val="22"/>
        </w:rPr>
        <w:t>e transizione ecologica del</w:t>
      </w:r>
      <w:r>
        <w:rPr>
          <w:spacing w:val="-7"/>
          <w:sz w:val="22"/>
        </w:rPr>
        <w:t> </w:t>
      </w:r>
      <w:r>
        <w:rPr>
          <w:sz w:val="22"/>
        </w:rPr>
        <w:t>Paese;</w:t>
      </w:r>
    </w:p>
    <w:p>
      <w:pPr>
        <w:pStyle w:val="ListParagraph"/>
        <w:numPr>
          <w:ilvl w:val="0"/>
          <w:numId w:val="6"/>
        </w:numPr>
        <w:tabs>
          <w:tab w:pos="1346" w:val="left" w:leader="none"/>
          <w:tab w:pos="1347" w:val="left" w:leader="none"/>
        </w:tabs>
        <w:spacing w:line="252" w:lineRule="auto" w:before="13" w:after="0"/>
        <w:ind w:left="1346" w:right="2258" w:hanging="360"/>
        <w:jc w:val="left"/>
        <w:rPr>
          <w:sz w:val="22"/>
        </w:rPr>
      </w:pPr>
      <w:r>
        <w:rPr>
          <w:sz w:val="22"/>
        </w:rPr>
        <w:t>DDL in materia di spettacolo, industrie culturali e creative, turismo e modifiche al codice dei beni</w:t>
      </w:r>
      <w:r>
        <w:rPr>
          <w:spacing w:val="-9"/>
          <w:sz w:val="22"/>
        </w:rPr>
        <w:t> </w:t>
      </w:r>
      <w:r>
        <w:rPr>
          <w:sz w:val="22"/>
        </w:rPr>
        <w:t>culturali;</w:t>
      </w:r>
    </w:p>
    <w:p>
      <w:pPr>
        <w:pStyle w:val="ListParagraph"/>
        <w:numPr>
          <w:ilvl w:val="0"/>
          <w:numId w:val="6"/>
        </w:numPr>
        <w:tabs>
          <w:tab w:pos="1346" w:val="left" w:leader="none"/>
          <w:tab w:pos="1347" w:val="left" w:leader="none"/>
        </w:tabs>
        <w:spacing w:line="252" w:lineRule="auto" w:before="0" w:after="0"/>
        <w:ind w:left="1346" w:right="2267" w:hanging="360"/>
        <w:jc w:val="left"/>
        <w:rPr>
          <w:sz w:val="22"/>
        </w:rPr>
      </w:pPr>
      <w:r>
        <w:rPr>
          <w:sz w:val="22"/>
        </w:rPr>
        <w:t>DDL recante disposizioni in materia di formazione iniziale e abilitazione del personale</w:t>
      </w:r>
      <w:r>
        <w:rPr>
          <w:spacing w:val="-2"/>
          <w:sz w:val="22"/>
        </w:rPr>
        <w:t> </w:t>
      </w:r>
      <w:r>
        <w:rPr>
          <w:sz w:val="22"/>
        </w:rPr>
        <w:t>docente;</w:t>
      </w:r>
    </w:p>
    <w:p>
      <w:pPr>
        <w:pStyle w:val="ListParagraph"/>
        <w:numPr>
          <w:ilvl w:val="0"/>
          <w:numId w:val="6"/>
        </w:numPr>
        <w:tabs>
          <w:tab w:pos="1346" w:val="left" w:leader="none"/>
          <w:tab w:pos="1347" w:val="left" w:leader="none"/>
        </w:tabs>
        <w:spacing w:line="252" w:lineRule="auto" w:before="0" w:after="0"/>
        <w:ind w:left="1346" w:right="2263" w:hanging="360"/>
        <w:jc w:val="left"/>
        <w:rPr>
          <w:sz w:val="22"/>
        </w:rPr>
      </w:pPr>
      <w:r>
        <w:rPr>
          <w:sz w:val="22"/>
        </w:rPr>
        <w:t>DDL</w:t>
      </w:r>
      <w:r>
        <w:rPr>
          <w:spacing w:val="-4"/>
          <w:sz w:val="22"/>
        </w:rPr>
        <w:t> </w:t>
      </w:r>
      <w:r>
        <w:rPr>
          <w:sz w:val="22"/>
        </w:rPr>
        <w:t>recante</w:t>
      </w:r>
      <w:r>
        <w:rPr>
          <w:spacing w:val="-5"/>
          <w:sz w:val="22"/>
        </w:rPr>
        <w:t> </w:t>
      </w:r>
      <w:r>
        <w:rPr>
          <w:sz w:val="22"/>
        </w:rPr>
        <w:t>riordino</w:t>
      </w:r>
      <w:r>
        <w:rPr>
          <w:spacing w:val="-5"/>
          <w:sz w:val="22"/>
        </w:rPr>
        <w:t> </w:t>
      </w:r>
      <w:r>
        <w:rPr>
          <w:sz w:val="22"/>
        </w:rPr>
        <w:t>del</w:t>
      </w:r>
      <w:r>
        <w:rPr>
          <w:spacing w:val="-7"/>
          <w:sz w:val="22"/>
        </w:rPr>
        <w:t> </w:t>
      </w:r>
      <w:r>
        <w:rPr>
          <w:sz w:val="22"/>
        </w:rPr>
        <w:t>modello</w:t>
      </w:r>
      <w:r>
        <w:rPr>
          <w:spacing w:val="-6"/>
          <w:sz w:val="22"/>
        </w:rPr>
        <w:t> </w:t>
      </w:r>
      <w:r>
        <w:rPr>
          <w:sz w:val="22"/>
        </w:rPr>
        <w:t>di</w:t>
      </w:r>
      <w:r>
        <w:rPr>
          <w:spacing w:val="-5"/>
          <w:sz w:val="22"/>
        </w:rPr>
        <w:t> </w:t>
      </w:r>
      <w:r>
        <w:rPr>
          <w:sz w:val="22"/>
        </w:rPr>
        <w:t>valutazione</w:t>
      </w:r>
      <w:r>
        <w:rPr>
          <w:spacing w:val="-6"/>
          <w:sz w:val="22"/>
        </w:rPr>
        <w:t> </w:t>
      </w:r>
      <w:r>
        <w:rPr>
          <w:sz w:val="22"/>
        </w:rPr>
        <w:t>del</w:t>
      </w:r>
      <w:r>
        <w:rPr>
          <w:spacing w:val="-4"/>
          <w:sz w:val="22"/>
        </w:rPr>
        <w:t> </w:t>
      </w:r>
      <w:r>
        <w:rPr>
          <w:sz w:val="22"/>
        </w:rPr>
        <w:t>sistema</w:t>
      </w:r>
      <w:r>
        <w:rPr>
          <w:spacing w:val="-6"/>
          <w:sz w:val="22"/>
        </w:rPr>
        <w:t> </w:t>
      </w:r>
      <w:r>
        <w:rPr>
          <w:sz w:val="22"/>
        </w:rPr>
        <w:t>nazionale</w:t>
      </w:r>
      <w:r>
        <w:rPr>
          <w:spacing w:val="-5"/>
          <w:sz w:val="22"/>
        </w:rPr>
        <w:t> </w:t>
      </w:r>
      <w:r>
        <w:rPr>
          <w:sz w:val="22"/>
        </w:rPr>
        <w:t>di istruzione e delle</w:t>
      </w:r>
      <w:r>
        <w:rPr>
          <w:spacing w:val="-3"/>
          <w:sz w:val="22"/>
        </w:rPr>
        <w:t> </w:t>
      </w:r>
      <w:r>
        <w:rPr>
          <w:sz w:val="22"/>
        </w:rPr>
        <w:t>università;</w:t>
      </w:r>
    </w:p>
    <w:p>
      <w:pPr>
        <w:pStyle w:val="ListParagraph"/>
        <w:numPr>
          <w:ilvl w:val="0"/>
          <w:numId w:val="6"/>
        </w:numPr>
        <w:tabs>
          <w:tab w:pos="1346" w:val="left" w:leader="none"/>
          <w:tab w:pos="1347" w:val="left" w:leader="none"/>
        </w:tabs>
        <w:spacing w:line="240" w:lineRule="auto" w:before="0" w:after="0"/>
        <w:ind w:left="1346" w:right="0" w:hanging="361"/>
        <w:jc w:val="left"/>
        <w:rPr>
          <w:sz w:val="22"/>
        </w:rPr>
      </w:pPr>
      <w:r>
        <w:rPr>
          <w:sz w:val="22"/>
        </w:rPr>
        <w:t>DDL</w:t>
      </w:r>
      <w:r>
        <w:rPr>
          <w:spacing w:val="19"/>
          <w:sz w:val="22"/>
        </w:rPr>
        <w:t> </w:t>
      </w:r>
      <w:r>
        <w:rPr>
          <w:sz w:val="22"/>
        </w:rPr>
        <w:t>recante</w:t>
      </w:r>
      <w:r>
        <w:rPr>
          <w:spacing w:val="19"/>
          <w:sz w:val="22"/>
        </w:rPr>
        <w:t> </w:t>
      </w:r>
      <w:r>
        <w:rPr>
          <w:sz w:val="22"/>
        </w:rPr>
        <w:t>istituzione</w:t>
      </w:r>
      <w:r>
        <w:rPr>
          <w:spacing w:val="18"/>
          <w:sz w:val="22"/>
        </w:rPr>
        <w:t> </w:t>
      </w:r>
      <w:r>
        <w:rPr>
          <w:sz w:val="22"/>
        </w:rPr>
        <w:t>dell’Agenzia</w:t>
      </w:r>
      <w:r>
        <w:rPr>
          <w:spacing w:val="18"/>
          <w:sz w:val="22"/>
        </w:rPr>
        <w:t> </w:t>
      </w:r>
      <w:r>
        <w:rPr>
          <w:sz w:val="22"/>
        </w:rPr>
        <w:t>nazionale</w:t>
      </w:r>
      <w:r>
        <w:rPr>
          <w:spacing w:val="19"/>
          <w:sz w:val="22"/>
        </w:rPr>
        <w:t> </w:t>
      </w:r>
      <w:r>
        <w:rPr>
          <w:sz w:val="22"/>
        </w:rPr>
        <w:t>per</w:t>
      </w:r>
      <w:r>
        <w:rPr>
          <w:spacing w:val="20"/>
          <w:sz w:val="22"/>
        </w:rPr>
        <w:t> </w:t>
      </w:r>
      <w:r>
        <w:rPr>
          <w:sz w:val="22"/>
        </w:rPr>
        <w:t>la</w:t>
      </w:r>
      <w:r>
        <w:rPr>
          <w:spacing w:val="17"/>
          <w:sz w:val="22"/>
        </w:rPr>
        <w:t> </w:t>
      </w:r>
      <w:r>
        <w:rPr>
          <w:sz w:val="22"/>
        </w:rPr>
        <w:t>ricerca</w:t>
      </w:r>
      <w:r>
        <w:rPr>
          <w:spacing w:val="19"/>
          <w:sz w:val="22"/>
        </w:rPr>
        <w:t> </w:t>
      </w:r>
      <w:r>
        <w:rPr>
          <w:sz w:val="22"/>
        </w:rPr>
        <w:t>e</w:t>
      </w:r>
      <w:r>
        <w:rPr>
          <w:spacing w:val="19"/>
          <w:sz w:val="22"/>
        </w:rPr>
        <w:t> </w:t>
      </w:r>
      <w:r>
        <w:rPr>
          <w:sz w:val="22"/>
        </w:rPr>
        <w:t>il</w:t>
      </w:r>
    </w:p>
    <w:p>
      <w:pPr>
        <w:pStyle w:val="BodyText"/>
        <w:spacing w:before="10"/>
        <w:ind w:left="1346"/>
      </w:pPr>
      <w:r>
        <w:rPr/>
        <w:t>trasferimento tecnologico;</w:t>
      </w:r>
    </w:p>
    <w:p>
      <w:pPr>
        <w:pStyle w:val="ListParagraph"/>
        <w:numPr>
          <w:ilvl w:val="0"/>
          <w:numId w:val="6"/>
        </w:numPr>
        <w:tabs>
          <w:tab w:pos="1347" w:val="left" w:leader="none"/>
        </w:tabs>
        <w:spacing w:line="252" w:lineRule="auto" w:before="13" w:after="0"/>
        <w:ind w:left="1346" w:right="2267" w:hanging="360"/>
        <w:jc w:val="both"/>
        <w:rPr>
          <w:sz w:val="22"/>
        </w:rPr>
      </w:pPr>
      <w:r>
        <w:rPr>
          <w:sz w:val="22"/>
        </w:rPr>
        <w:t>DDL recante misure per il sostegno e la valorizzazione della famiglia (Family</w:t>
      </w:r>
      <w:r>
        <w:rPr>
          <w:spacing w:val="-2"/>
          <w:sz w:val="22"/>
        </w:rPr>
        <w:t> </w:t>
      </w:r>
      <w:r>
        <w:rPr>
          <w:sz w:val="22"/>
        </w:rPr>
        <w:t>Act);</w:t>
      </w:r>
    </w:p>
    <w:p>
      <w:pPr>
        <w:pStyle w:val="ListParagraph"/>
        <w:numPr>
          <w:ilvl w:val="0"/>
          <w:numId w:val="6"/>
        </w:numPr>
        <w:tabs>
          <w:tab w:pos="1347" w:val="left" w:leader="none"/>
        </w:tabs>
        <w:spacing w:line="252" w:lineRule="auto" w:before="0" w:after="0"/>
        <w:ind w:left="1346" w:right="2262" w:hanging="360"/>
        <w:jc w:val="both"/>
        <w:rPr>
          <w:sz w:val="22"/>
        </w:rPr>
      </w:pPr>
      <w:r>
        <w:rPr>
          <w:sz w:val="22"/>
        </w:rPr>
        <w:t>DDL recante interventi per favorire l'autonomia differenziata ai sensi dell'articolo 116 comma 3 della Costituzione attraverso l'eliminazione delle diseguaglianze economiche e sociali nonché l’implementazione delle forme di raccordo tra Amministrazioni centrali e regioni, anche al fine della riduzione del contenzioso</w:t>
      </w:r>
      <w:r>
        <w:rPr>
          <w:spacing w:val="-7"/>
          <w:sz w:val="22"/>
        </w:rPr>
        <w:t> </w:t>
      </w:r>
      <w:r>
        <w:rPr>
          <w:sz w:val="22"/>
        </w:rPr>
        <w:t>costituzionale;</w:t>
      </w:r>
    </w:p>
    <w:p>
      <w:pPr>
        <w:pStyle w:val="ListParagraph"/>
        <w:numPr>
          <w:ilvl w:val="0"/>
          <w:numId w:val="6"/>
        </w:numPr>
        <w:tabs>
          <w:tab w:pos="1347" w:val="left" w:leader="none"/>
        </w:tabs>
        <w:spacing w:line="270" w:lineRule="exact" w:before="0" w:after="0"/>
        <w:ind w:left="1346" w:right="0" w:hanging="361"/>
        <w:jc w:val="both"/>
        <w:rPr>
          <w:sz w:val="22"/>
        </w:rPr>
      </w:pPr>
      <w:r>
        <w:rPr>
          <w:sz w:val="22"/>
        </w:rPr>
        <w:t>DDL recante semplificazioni e riordino in materia</w:t>
      </w:r>
      <w:r>
        <w:rPr>
          <w:spacing w:val="-6"/>
          <w:sz w:val="22"/>
        </w:rPr>
        <w:t> </w:t>
      </w:r>
      <w:r>
        <w:rPr>
          <w:sz w:val="22"/>
        </w:rPr>
        <w:t>fiscale;</w:t>
      </w:r>
    </w:p>
    <w:p>
      <w:pPr>
        <w:pStyle w:val="ListParagraph"/>
        <w:numPr>
          <w:ilvl w:val="0"/>
          <w:numId w:val="6"/>
        </w:numPr>
        <w:tabs>
          <w:tab w:pos="1347" w:val="left" w:leader="none"/>
        </w:tabs>
        <w:spacing w:line="240" w:lineRule="auto" w:before="11" w:after="0"/>
        <w:ind w:left="1346" w:right="0" w:hanging="361"/>
        <w:jc w:val="both"/>
        <w:rPr>
          <w:sz w:val="22"/>
        </w:rPr>
      </w:pPr>
      <w:r>
        <w:rPr>
          <w:sz w:val="22"/>
        </w:rPr>
        <w:t>DDL recante riordino del settore dei</w:t>
      </w:r>
      <w:r>
        <w:rPr>
          <w:spacing w:val="-3"/>
          <w:sz w:val="22"/>
        </w:rPr>
        <w:t> </w:t>
      </w:r>
      <w:r>
        <w:rPr>
          <w:sz w:val="22"/>
        </w:rPr>
        <w:t>giochi;</w:t>
      </w:r>
    </w:p>
    <w:p>
      <w:pPr>
        <w:pStyle w:val="ListParagraph"/>
        <w:numPr>
          <w:ilvl w:val="0"/>
          <w:numId w:val="6"/>
        </w:numPr>
        <w:tabs>
          <w:tab w:pos="1346" w:val="left" w:leader="none"/>
          <w:tab w:pos="1347" w:val="left" w:leader="none"/>
        </w:tabs>
        <w:spacing w:line="252" w:lineRule="auto" w:before="13" w:after="0"/>
        <w:ind w:left="1346" w:right="2267" w:hanging="360"/>
        <w:jc w:val="left"/>
        <w:rPr>
          <w:sz w:val="22"/>
        </w:rPr>
      </w:pPr>
      <w:r>
        <w:rPr>
          <w:sz w:val="22"/>
        </w:rPr>
        <w:t>DDL</w:t>
      </w:r>
      <w:r>
        <w:rPr>
          <w:spacing w:val="-11"/>
          <w:sz w:val="22"/>
        </w:rPr>
        <w:t> </w:t>
      </w:r>
      <w:r>
        <w:rPr>
          <w:sz w:val="22"/>
        </w:rPr>
        <w:t>recante</w:t>
      </w:r>
      <w:r>
        <w:rPr>
          <w:spacing w:val="-12"/>
          <w:sz w:val="22"/>
        </w:rPr>
        <w:t> </w:t>
      </w:r>
      <w:r>
        <w:rPr>
          <w:sz w:val="22"/>
        </w:rPr>
        <w:t>delega</w:t>
      </w:r>
      <w:r>
        <w:rPr>
          <w:spacing w:val="-12"/>
          <w:sz w:val="22"/>
        </w:rPr>
        <w:t> </w:t>
      </w:r>
      <w:r>
        <w:rPr>
          <w:sz w:val="22"/>
        </w:rPr>
        <w:t>al</w:t>
      </w:r>
      <w:r>
        <w:rPr>
          <w:spacing w:val="-15"/>
          <w:sz w:val="22"/>
        </w:rPr>
        <w:t> </w:t>
      </w:r>
      <w:r>
        <w:rPr>
          <w:sz w:val="22"/>
        </w:rPr>
        <w:t>Governo</w:t>
      </w:r>
      <w:r>
        <w:rPr>
          <w:spacing w:val="-13"/>
          <w:sz w:val="22"/>
        </w:rPr>
        <w:t> </w:t>
      </w:r>
      <w:r>
        <w:rPr>
          <w:sz w:val="22"/>
        </w:rPr>
        <w:t>per</w:t>
      </w:r>
      <w:r>
        <w:rPr>
          <w:spacing w:val="-13"/>
          <w:sz w:val="22"/>
        </w:rPr>
        <w:t> </w:t>
      </w:r>
      <w:r>
        <w:rPr>
          <w:sz w:val="22"/>
        </w:rPr>
        <w:t>il</w:t>
      </w:r>
      <w:r>
        <w:rPr>
          <w:spacing w:val="-12"/>
          <w:sz w:val="22"/>
        </w:rPr>
        <w:t> </w:t>
      </w:r>
      <w:r>
        <w:rPr>
          <w:sz w:val="22"/>
        </w:rPr>
        <w:t>testo</w:t>
      </w:r>
      <w:r>
        <w:rPr>
          <w:spacing w:val="-13"/>
          <w:sz w:val="22"/>
        </w:rPr>
        <w:t> </w:t>
      </w:r>
      <w:r>
        <w:rPr>
          <w:sz w:val="22"/>
        </w:rPr>
        <w:t>unico</w:t>
      </w:r>
      <w:r>
        <w:rPr>
          <w:spacing w:val="-16"/>
          <w:sz w:val="22"/>
        </w:rPr>
        <w:t> </w:t>
      </w:r>
      <w:r>
        <w:rPr>
          <w:sz w:val="22"/>
        </w:rPr>
        <w:t>in</w:t>
      </w:r>
      <w:r>
        <w:rPr>
          <w:spacing w:val="-12"/>
          <w:sz w:val="22"/>
        </w:rPr>
        <w:t> </w:t>
      </w:r>
      <w:r>
        <w:rPr>
          <w:sz w:val="22"/>
        </w:rPr>
        <w:t>materia</w:t>
      </w:r>
      <w:r>
        <w:rPr>
          <w:spacing w:val="-12"/>
          <w:sz w:val="22"/>
        </w:rPr>
        <w:t> </w:t>
      </w:r>
      <w:r>
        <w:rPr>
          <w:sz w:val="22"/>
        </w:rPr>
        <w:t>di</w:t>
      </w:r>
      <w:r>
        <w:rPr>
          <w:spacing w:val="-15"/>
          <w:sz w:val="22"/>
        </w:rPr>
        <w:t> </w:t>
      </w:r>
      <w:r>
        <w:rPr>
          <w:sz w:val="22"/>
        </w:rPr>
        <w:t>contabilità e</w:t>
      </w:r>
      <w:r>
        <w:rPr>
          <w:spacing w:val="-1"/>
          <w:sz w:val="22"/>
        </w:rPr>
        <w:t> </w:t>
      </w:r>
      <w:r>
        <w:rPr>
          <w:sz w:val="22"/>
        </w:rPr>
        <w:t>tesoreria;</w:t>
      </w:r>
    </w:p>
    <w:p>
      <w:pPr>
        <w:pStyle w:val="ListParagraph"/>
        <w:numPr>
          <w:ilvl w:val="0"/>
          <w:numId w:val="6"/>
        </w:numPr>
        <w:tabs>
          <w:tab w:pos="1346" w:val="left" w:leader="none"/>
          <w:tab w:pos="1347" w:val="left" w:leader="none"/>
        </w:tabs>
        <w:spacing w:line="240" w:lineRule="auto" w:before="0" w:after="0"/>
        <w:ind w:left="1346" w:right="0" w:hanging="361"/>
        <w:jc w:val="left"/>
        <w:rPr>
          <w:sz w:val="22"/>
        </w:rPr>
      </w:pPr>
      <w:r>
        <w:rPr>
          <w:sz w:val="22"/>
        </w:rPr>
        <w:t>DDL in materia di economia dell’innovazione e attrazione</w:t>
      </w:r>
      <w:r>
        <w:rPr>
          <w:spacing w:val="-11"/>
          <w:sz w:val="22"/>
        </w:rPr>
        <w:t> </w:t>
      </w:r>
      <w:r>
        <w:rPr>
          <w:sz w:val="22"/>
        </w:rPr>
        <w:t>investimenti;</w:t>
      </w:r>
    </w:p>
    <w:p>
      <w:pPr>
        <w:pStyle w:val="ListParagraph"/>
        <w:numPr>
          <w:ilvl w:val="0"/>
          <w:numId w:val="6"/>
        </w:numPr>
        <w:tabs>
          <w:tab w:pos="1346" w:val="left" w:leader="none"/>
          <w:tab w:pos="1347" w:val="left" w:leader="none"/>
        </w:tabs>
        <w:spacing w:line="240" w:lineRule="auto" w:before="14" w:after="0"/>
        <w:ind w:left="1346" w:right="0" w:hanging="361"/>
        <w:jc w:val="left"/>
        <w:rPr>
          <w:sz w:val="22"/>
        </w:rPr>
      </w:pPr>
      <w:r>
        <w:rPr>
          <w:sz w:val="22"/>
        </w:rPr>
        <w:t>DDL in materia di Banca degli Investimenti</w:t>
      </w:r>
      <w:r>
        <w:rPr>
          <w:spacing w:val="-4"/>
          <w:sz w:val="22"/>
        </w:rPr>
        <w:t> </w:t>
      </w:r>
      <w:r>
        <w:rPr>
          <w:sz w:val="22"/>
        </w:rPr>
        <w:t>pubblica;</w:t>
      </w:r>
    </w:p>
    <w:p>
      <w:pPr>
        <w:pStyle w:val="ListParagraph"/>
        <w:numPr>
          <w:ilvl w:val="0"/>
          <w:numId w:val="6"/>
        </w:numPr>
        <w:tabs>
          <w:tab w:pos="1346" w:val="left" w:leader="none"/>
          <w:tab w:pos="1347" w:val="left" w:leader="none"/>
        </w:tabs>
        <w:spacing w:line="240" w:lineRule="auto" w:before="13" w:after="0"/>
        <w:ind w:left="1346" w:right="0" w:hanging="361"/>
        <w:jc w:val="left"/>
        <w:rPr>
          <w:sz w:val="22"/>
        </w:rPr>
      </w:pPr>
      <w:r>
        <w:rPr>
          <w:sz w:val="22"/>
        </w:rPr>
        <w:t>DDL recante riduzione del cuneo</w:t>
      </w:r>
      <w:r>
        <w:rPr>
          <w:spacing w:val="-5"/>
          <w:sz w:val="22"/>
        </w:rPr>
        <w:t> </w:t>
      </w:r>
      <w:r>
        <w:rPr>
          <w:sz w:val="22"/>
        </w:rPr>
        <w:t>fiscale;</w:t>
      </w:r>
    </w:p>
    <w:p>
      <w:pPr>
        <w:pStyle w:val="ListParagraph"/>
        <w:numPr>
          <w:ilvl w:val="0"/>
          <w:numId w:val="6"/>
        </w:numPr>
        <w:tabs>
          <w:tab w:pos="1346" w:val="left" w:leader="none"/>
          <w:tab w:pos="1347" w:val="left" w:leader="none"/>
        </w:tabs>
        <w:spacing w:line="252" w:lineRule="auto" w:before="11" w:after="0"/>
        <w:ind w:left="1346" w:right="2263" w:hanging="360"/>
        <w:jc w:val="left"/>
        <w:rPr>
          <w:sz w:val="22"/>
        </w:rPr>
      </w:pPr>
      <w:r>
        <w:rPr>
          <w:sz w:val="22"/>
        </w:rPr>
        <w:t>DDL</w:t>
      </w:r>
      <w:r>
        <w:rPr>
          <w:spacing w:val="-17"/>
          <w:sz w:val="22"/>
        </w:rPr>
        <w:t> </w:t>
      </w:r>
      <w:r>
        <w:rPr>
          <w:sz w:val="22"/>
        </w:rPr>
        <w:t>in</w:t>
      </w:r>
      <w:r>
        <w:rPr>
          <w:spacing w:val="-19"/>
          <w:sz w:val="22"/>
        </w:rPr>
        <w:t> </w:t>
      </w:r>
      <w:r>
        <w:rPr>
          <w:sz w:val="22"/>
        </w:rPr>
        <w:t>materia</w:t>
      </w:r>
      <w:r>
        <w:rPr>
          <w:spacing w:val="-19"/>
          <w:sz w:val="22"/>
        </w:rPr>
        <w:t> </w:t>
      </w:r>
      <w:r>
        <w:rPr>
          <w:sz w:val="22"/>
        </w:rPr>
        <w:t>di</w:t>
      </w:r>
      <w:r>
        <w:rPr>
          <w:spacing w:val="-19"/>
          <w:sz w:val="22"/>
        </w:rPr>
        <w:t> </w:t>
      </w:r>
      <w:r>
        <w:rPr>
          <w:sz w:val="22"/>
        </w:rPr>
        <w:t>semplificazioni</w:t>
      </w:r>
      <w:r>
        <w:rPr>
          <w:spacing w:val="-19"/>
          <w:sz w:val="22"/>
        </w:rPr>
        <w:t> </w:t>
      </w:r>
      <w:r>
        <w:rPr>
          <w:sz w:val="22"/>
        </w:rPr>
        <w:t>normative</w:t>
      </w:r>
      <w:r>
        <w:rPr>
          <w:spacing w:val="-17"/>
          <w:sz w:val="22"/>
        </w:rPr>
        <w:t> </w:t>
      </w:r>
      <w:r>
        <w:rPr>
          <w:sz w:val="22"/>
        </w:rPr>
        <w:t>e</w:t>
      </w:r>
      <w:r>
        <w:rPr>
          <w:spacing w:val="-18"/>
          <w:sz w:val="22"/>
        </w:rPr>
        <w:t> </w:t>
      </w:r>
      <w:r>
        <w:rPr>
          <w:sz w:val="22"/>
        </w:rPr>
        <w:t>amministrative</w:t>
      </w:r>
      <w:r>
        <w:rPr>
          <w:spacing w:val="-19"/>
          <w:sz w:val="22"/>
        </w:rPr>
        <w:t> </w:t>
      </w:r>
      <w:r>
        <w:rPr>
          <w:sz w:val="22"/>
        </w:rPr>
        <w:t>e</w:t>
      </w:r>
      <w:r>
        <w:rPr>
          <w:spacing w:val="-18"/>
          <w:sz w:val="22"/>
        </w:rPr>
        <w:t> </w:t>
      </w:r>
      <w:r>
        <w:rPr>
          <w:sz w:val="22"/>
        </w:rPr>
        <w:t>redazione testi</w:t>
      </w:r>
      <w:r>
        <w:rPr>
          <w:spacing w:val="-1"/>
          <w:sz w:val="22"/>
        </w:rPr>
        <w:t> </w:t>
      </w:r>
      <w:r>
        <w:rPr>
          <w:sz w:val="22"/>
        </w:rPr>
        <w:t>unici;</w:t>
      </w:r>
    </w:p>
    <w:p>
      <w:pPr>
        <w:pStyle w:val="ListParagraph"/>
        <w:numPr>
          <w:ilvl w:val="0"/>
          <w:numId w:val="6"/>
        </w:numPr>
        <w:tabs>
          <w:tab w:pos="1346" w:val="left" w:leader="none"/>
          <w:tab w:pos="1347" w:val="left" w:leader="none"/>
        </w:tabs>
        <w:spacing w:line="252" w:lineRule="auto" w:before="0" w:after="0"/>
        <w:ind w:left="1346" w:right="2267" w:hanging="360"/>
        <w:jc w:val="left"/>
        <w:rPr>
          <w:sz w:val="22"/>
        </w:rPr>
      </w:pPr>
      <w:r>
        <w:rPr>
          <w:sz w:val="22"/>
        </w:rPr>
        <w:t>DDL in materia di revisione della disciplina del ticket e delle esenzioni per le prestazioni specialistiche e di diagnostica</w:t>
      </w:r>
      <w:r>
        <w:rPr>
          <w:spacing w:val="-13"/>
          <w:sz w:val="22"/>
        </w:rPr>
        <w:t> </w:t>
      </w:r>
      <w:r>
        <w:rPr>
          <w:sz w:val="22"/>
        </w:rPr>
        <w:t>ambulatoriale;</w:t>
      </w:r>
    </w:p>
    <w:p>
      <w:pPr>
        <w:pStyle w:val="ListParagraph"/>
        <w:numPr>
          <w:ilvl w:val="0"/>
          <w:numId w:val="6"/>
        </w:numPr>
        <w:tabs>
          <w:tab w:pos="1346" w:val="left" w:leader="none"/>
          <w:tab w:pos="1347" w:val="left" w:leader="none"/>
        </w:tabs>
        <w:spacing w:line="240" w:lineRule="auto" w:before="0" w:after="0"/>
        <w:ind w:left="1346" w:right="0" w:hanging="361"/>
        <w:jc w:val="left"/>
        <w:rPr>
          <w:sz w:val="22"/>
        </w:rPr>
      </w:pPr>
      <w:r>
        <w:rPr>
          <w:sz w:val="22"/>
        </w:rPr>
        <w:t>DDL in materia di</w:t>
      </w:r>
      <w:r>
        <w:rPr>
          <w:spacing w:val="-3"/>
          <w:sz w:val="22"/>
        </w:rPr>
        <w:t> </w:t>
      </w:r>
      <w:r>
        <w:rPr>
          <w:sz w:val="22"/>
        </w:rPr>
        <w:t>disabilità;</w:t>
      </w:r>
    </w:p>
    <w:p>
      <w:pPr>
        <w:pStyle w:val="ListParagraph"/>
        <w:numPr>
          <w:ilvl w:val="0"/>
          <w:numId w:val="6"/>
        </w:numPr>
        <w:tabs>
          <w:tab w:pos="1347" w:val="left" w:leader="none"/>
        </w:tabs>
        <w:spacing w:line="249" w:lineRule="auto" w:before="13" w:after="0"/>
        <w:ind w:left="1346" w:right="2264" w:hanging="360"/>
        <w:jc w:val="both"/>
        <w:rPr>
          <w:sz w:val="22"/>
        </w:rPr>
      </w:pPr>
      <w:r>
        <w:rPr>
          <w:sz w:val="22"/>
        </w:rPr>
        <w:t>DDL recante misure volte a razionalizzare le misure di trasparenza e anticorruzione;</w:t>
      </w:r>
    </w:p>
    <w:p>
      <w:pPr>
        <w:pStyle w:val="ListParagraph"/>
        <w:numPr>
          <w:ilvl w:val="0"/>
          <w:numId w:val="6"/>
        </w:numPr>
        <w:tabs>
          <w:tab w:pos="1347" w:val="left" w:leader="none"/>
        </w:tabs>
        <w:spacing w:line="252" w:lineRule="auto" w:before="3" w:after="0"/>
        <w:ind w:left="1346" w:right="2268" w:hanging="360"/>
        <w:jc w:val="both"/>
        <w:rPr>
          <w:sz w:val="22"/>
        </w:rPr>
      </w:pPr>
      <w:r>
        <w:rPr>
          <w:sz w:val="22"/>
        </w:rPr>
        <w:t>DDL recante interventi mirati finalizzati a coordinare le responsabilità disciplinari dei dipendenti</w:t>
      </w:r>
      <w:r>
        <w:rPr>
          <w:spacing w:val="-1"/>
          <w:sz w:val="22"/>
        </w:rPr>
        <w:t> </w:t>
      </w:r>
      <w:r>
        <w:rPr>
          <w:sz w:val="22"/>
        </w:rPr>
        <w:t>pubblici;</w:t>
      </w:r>
    </w:p>
    <w:p>
      <w:pPr>
        <w:pStyle w:val="ListParagraph"/>
        <w:numPr>
          <w:ilvl w:val="0"/>
          <w:numId w:val="6"/>
        </w:numPr>
        <w:tabs>
          <w:tab w:pos="1347" w:val="left" w:leader="none"/>
        </w:tabs>
        <w:spacing w:line="252" w:lineRule="auto" w:before="1" w:after="0"/>
        <w:ind w:left="1346" w:right="2264" w:hanging="360"/>
        <w:jc w:val="both"/>
        <w:rPr>
          <w:sz w:val="22"/>
        </w:rPr>
      </w:pPr>
      <w:r>
        <w:rPr>
          <w:sz w:val="22"/>
        </w:rPr>
        <w:t>DDL recante disposizioni di semplificazione e puntualizzazione, procedimentale e processuale, in materia di accesso ordinario e generalizzato;</w:t>
      </w:r>
    </w:p>
    <w:p>
      <w:pPr>
        <w:pStyle w:val="ListParagraph"/>
        <w:numPr>
          <w:ilvl w:val="0"/>
          <w:numId w:val="6"/>
        </w:numPr>
        <w:tabs>
          <w:tab w:pos="1347" w:val="left" w:leader="none"/>
        </w:tabs>
        <w:spacing w:line="252" w:lineRule="auto" w:before="0" w:after="0"/>
        <w:ind w:left="1346" w:right="2265" w:hanging="360"/>
        <w:jc w:val="both"/>
        <w:rPr>
          <w:sz w:val="22"/>
        </w:rPr>
      </w:pPr>
      <w:r>
        <w:rPr>
          <w:sz w:val="22"/>
        </w:rPr>
        <w:t>DDL recante disposizioni volte alla razionalizzazione delle procedure selettive della</w:t>
      </w:r>
      <w:r>
        <w:rPr>
          <w:spacing w:val="-2"/>
          <w:sz w:val="22"/>
        </w:rPr>
        <w:t> </w:t>
      </w:r>
      <w:r>
        <w:rPr>
          <w:sz w:val="22"/>
        </w:rPr>
        <w:t>PA;</w:t>
      </w:r>
    </w:p>
    <w:p>
      <w:pPr>
        <w:pStyle w:val="ListParagraph"/>
        <w:numPr>
          <w:ilvl w:val="0"/>
          <w:numId w:val="6"/>
        </w:numPr>
        <w:tabs>
          <w:tab w:pos="1347" w:val="left" w:leader="none"/>
        </w:tabs>
        <w:spacing w:line="240" w:lineRule="auto" w:before="0" w:after="0"/>
        <w:ind w:left="1346" w:right="0" w:hanging="361"/>
        <w:jc w:val="both"/>
        <w:rPr>
          <w:sz w:val="22"/>
        </w:rPr>
      </w:pPr>
      <w:r>
        <w:rPr>
          <w:sz w:val="22"/>
        </w:rPr>
        <w:t>DDL recante delega al Governo per la revisione del codice</w:t>
      </w:r>
      <w:r>
        <w:rPr>
          <w:spacing w:val="-11"/>
          <w:sz w:val="22"/>
        </w:rPr>
        <w:t> </w:t>
      </w:r>
      <w:r>
        <w:rPr>
          <w:sz w:val="22"/>
        </w:rPr>
        <w:t>civile;</w:t>
      </w:r>
    </w:p>
    <w:p>
      <w:pPr>
        <w:pStyle w:val="ListParagraph"/>
        <w:numPr>
          <w:ilvl w:val="0"/>
          <w:numId w:val="6"/>
        </w:numPr>
        <w:tabs>
          <w:tab w:pos="1347" w:val="left" w:leader="none"/>
        </w:tabs>
        <w:spacing w:line="240" w:lineRule="auto" w:before="12" w:after="0"/>
        <w:ind w:left="1346" w:right="0" w:hanging="361"/>
        <w:jc w:val="both"/>
        <w:rPr>
          <w:sz w:val="22"/>
        </w:rPr>
      </w:pPr>
      <w:r>
        <w:rPr>
          <w:sz w:val="22"/>
        </w:rPr>
        <w:t>DDL in materia di sostegno</w:t>
      </w:r>
      <w:r>
        <w:rPr>
          <w:spacing w:val="-4"/>
          <w:sz w:val="22"/>
        </w:rPr>
        <w:t> </w:t>
      </w:r>
      <w:r>
        <w:rPr>
          <w:sz w:val="22"/>
        </w:rPr>
        <w:t>all’agricoltura.</w:t>
      </w:r>
    </w:p>
    <w:p>
      <w:pPr>
        <w:spacing w:after="0" w:line="240" w:lineRule="auto"/>
        <w:jc w:val="both"/>
        <w:rPr>
          <w:sz w:val="22"/>
        </w:rPr>
        <w:sectPr>
          <w:pgSz w:w="11910" w:h="16840"/>
          <w:pgMar w:header="838" w:footer="866" w:top="1100" w:bottom="1060" w:left="1140" w:right="0"/>
        </w:sectPr>
      </w:pPr>
    </w:p>
    <w:p>
      <w:pPr>
        <w:pStyle w:val="BodyText"/>
        <w:spacing w:before="4"/>
        <w:rPr>
          <w:rFonts w:ascii="Times New Roman"/>
          <w:sz w:val="17"/>
        </w:rPr>
      </w:pPr>
    </w:p>
    <w:p>
      <w:pPr>
        <w:spacing w:after="0"/>
        <w:rPr>
          <w:rFonts w:ascii="Times New Roman"/>
          <w:sz w:val="17"/>
        </w:rPr>
        <w:sectPr>
          <w:pgSz w:w="11910" w:h="16840"/>
          <w:pgMar w:header="838" w:footer="866" w:top="1100" w:bottom="1060" w:left="1140" w:right="0"/>
        </w:sectPr>
      </w:pPr>
    </w:p>
    <w:p>
      <w:pPr>
        <w:pStyle w:val="BodyText"/>
        <w:spacing w:line="20" w:lineRule="exact"/>
        <w:ind w:left="245"/>
        <w:rPr>
          <w:rFonts w:ascii="Times New Roman"/>
          <w:sz w:val="2"/>
        </w:rPr>
      </w:pPr>
      <w:r>
        <w:rPr>
          <w:rFonts w:ascii="Times New Roman"/>
          <w:sz w:val="2"/>
        </w:rPr>
        <w:pict>
          <v:group style="width:413.95pt;height:.5pt;mso-position-horizontal-relative:char;mso-position-vertical-relative:line" coordorigin="0,0" coordsize="8279,10">
            <v:line style="position:absolute" from="0,5" to="8279,5" stroked="true" strokeweight=".48pt" strokecolor="#000000">
              <v:stroke dashstyle="solid"/>
            </v:line>
          </v:group>
        </w:pict>
      </w:r>
      <w:r>
        <w:rPr>
          <w:rFonts w:ascii="Times New Roman"/>
          <w:sz w:val="2"/>
        </w:rPr>
      </w:r>
    </w:p>
    <w:p>
      <w:pPr>
        <w:pStyle w:val="BodyText"/>
        <w:rPr>
          <w:rFonts w:ascii="Times New Roman"/>
          <w:sz w:val="20"/>
        </w:rPr>
      </w:pPr>
    </w:p>
    <w:p>
      <w:pPr>
        <w:pStyle w:val="BodyText"/>
        <w:rPr>
          <w:rFonts w:ascii="Times New Roman"/>
          <w:sz w:val="20"/>
        </w:rPr>
      </w:pPr>
    </w:p>
    <w:p>
      <w:pPr>
        <w:pStyle w:val="BodyText"/>
        <w:spacing w:before="2"/>
        <w:rPr>
          <w:rFonts w:ascii="Times New Roman"/>
          <w:sz w:val="24"/>
        </w:rPr>
      </w:pPr>
    </w:p>
    <w:p>
      <w:pPr>
        <w:pStyle w:val="Heading1"/>
        <w:numPr>
          <w:ilvl w:val="0"/>
          <w:numId w:val="2"/>
        </w:numPr>
        <w:tabs>
          <w:tab w:pos="654" w:val="left" w:leader="none"/>
        </w:tabs>
        <w:spacing w:line="240" w:lineRule="auto" w:before="99" w:after="0"/>
        <w:ind w:left="653" w:right="0" w:hanging="376"/>
        <w:jc w:val="left"/>
      </w:pPr>
      <w:bookmarkStart w:name="CAPITOLO II" w:id="7"/>
      <w:bookmarkEnd w:id="7"/>
      <w:r>
        <w:rPr>
          <w:b w:val="0"/>
        </w:rPr>
      </w:r>
      <w:bookmarkStart w:name="CAPITOLO II" w:id="8"/>
      <w:bookmarkEnd w:id="8"/>
      <w:r>
        <w:rPr>
          <w:color w:val="086D44"/>
        </w:rPr>
        <w:t>QUA</w:t>
      </w:r>
      <w:r>
        <w:rPr>
          <w:color w:val="086D44"/>
        </w:rPr>
        <w:t>DRO MACROECONOMICO</w:t>
      </w:r>
    </w:p>
    <w:p>
      <w:pPr>
        <w:pStyle w:val="BodyText"/>
        <w:rPr>
          <w:rFonts w:ascii="Franklin Gothic Heavy"/>
          <w:b/>
          <w:sz w:val="36"/>
        </w:rPr>
      </w:pPr>
    </w:p>
    <w:p>
      <w:pPr>
        <w:pStyle w:val="BodyText"/>
        <w:rPr>
          <w:rFonts w:ascii="Franklin Gothic Heavy"/>
          <w:b/>
          <w:sz w:val="36"/>
        </w:rPr>
      </w:pPr>
    </w:p>
    <w:p>
      <w:pPr>
        <w:pStyle w:val="BodyText"/>
        <w:rPr>
          <w:rFonts w:ascii="Franklin Gothic Heavy"/>
          <w:b/>
          <w:sz w:val="36"/>
        </w:rPr>
      </w:pPr>
    </w:p>
    <w:p>
      <w:pPr>
        <w:pStyle w:val="BodyText"/>
        <w:spacing w:before="8"/>
        <w:rPr>
          <w:rFonts w:ascii="Franklin Gothic Heavy"/>
          <w:b/>
          <w:sz w:val="35"/>
        </w:rPr>
      </w:pPr>
    </w:p>
    <w:p>
      <w:pPr>
        <w:pStyle w:val="Heading2"/>
        <w:numPr>
          <w:ilvl w:val="1"/>
          <w:numId w:val="2"/>
        </w:numPr>
        <w:tabs>
          <w:tab w:pos="735" w:val="left" w:leader="none"/>
        </w:tabs>
        <w:spacing w:line="240" w:lineRule="auto" w:before="0" w:after="0"/>
        <w:ind w:left="734" w:right="0" w:hanging="457"/>
        <w:jc w:val="left"/>
      </w:pPr>
      <w:r>
        <w:rPr>
          <w:color w:val="086D44"/>
        </w:rPr>
        <w:t>LO SCENARIO MACROECONOMICO</w:t>
      </w:r>
      <w:r>
        <w:rPr>
          <w:color w:val="086D44"/>
          <w:spacing w:val="-3"/>
        </w:rPr>
        <w:t> </w:t>
      </w:r>
      <w:r>
        <w:rPr>
          <w:color w:val="086D44"/>
        </w:rPr>
        <w:t>INTERNAZIONALE</w:t>
      </w:r>
    </w:p>
    <w:p>
      <w:pPr>
        <w:pStyle w:val="BodyText"/>
        <w:spacing w:before="6"/>
        <w:rPr>
          <w:rFonts w:ascii="Franklin Gothic Heavy"/>
          <w:b/>
        </w:rPr>
      </w:pPr>
    </w:p>
    <w:p>
      <w:pPr>
        <w:pStyle w:val="BodyText"/>
        <w:spacing w:line="252" w:lineRule="auto"/>
        <w:ind w:left="278" w:right="2262" w:firstLine="283"/>
        <w:jc w:val="both"/>
      </w:pPr>
      <w:r>
        <w:rPr/>
        <w:t>Nella prima metà del 2019 è proseguito il rallentamento del ciclo economico mondiale già in corso dall’inizio dell’anno scorso. Le tensioni commerciali tra Stati Uniti</w:t>
      </w:r>
      <w:r>
        <w:rPr>
          <w:spacing w:val="-15"/>
        </w:rPr>
        <w:t> </w:t>
      </w:r>
      <w:r>
        <w:rPr/>
        <w:t>e</w:t>
      </w:r>
      <w:r>
        <w:rPr>
          <w:spacing w:val="-14"/>
        </w:rPr>
        <w:t> </w:t>
      </w:r>
      <w:r>
        <w:rPr/>
        <w:t>Cina,</w:t>
      </w:r>
      <w:r>
        <w:rPr>
          <w:spacing w:val="-13"/>
        </w:rPr>
        <w:t> </w:t>
      </w:r>
      <w:r>
        <w:rPr/>
        <w:t>l’acuirsi</w:t>
      </w:r>
      <w:r>
        <w:rPr>
          <w:spacing w:val="-15"/>
        </w:rPr>
        <w:t> </w:t>
      </w:r>
      <w:r>
        <w:rPr/>
        <w:t>del</w:t>
      </w:r>
      <w:r>
        <w:rPr>
          <w:spacing w:val="-16"/>
        </w:rPr>
        <w:t> </w:t>
      </w:r>
      <w:r>
        <w:rPr/>
        <w:t>rischio</w:t>
      </w:r>
      <w:r>
        <w:rPr>
          <w:spacing w:val="-14"/>
        </w:rPr>
        <w:t> </w:t>
      </w:r>
      <w:r>
        <w:rPr/>
        <w:t>di</w:t>
      </w:r>
      <w:r>
        <w:rPr>
          <w:spacing w:val="-16"/>
        </w:rPr>
        <w:t> </w:t>
      </w:r>
      <w:r>
        <w:rPr/>
        <w:t>uscita</w:t>
      </w:r>
      <w:r>
        <w:rPr>
          <w:spacing w:val="-14"/>
        </w:rPr>
        <w:t> </w:t>
      </w:r>
      <w:r>
        <w:rPr/>
        <w:t>senza</w:t>
      </w:r>
      <w:r>
        <w:rPr>
          <w:spacing w:val="-14"/>
        </w:rPr>
        <w:t> </w:t>
      </w:r>
      <w:r>
        <w:rPr/>
        <w:t>accordo</w:t>
      </w:r>
      <w:r>
        <w:rPr>
          <w:spacing w:val="-17"/>
        </w:rPr>
        <w:t> </w:t>
      </w:r>
      <w:r>
        <w:rPr/>
        <w:t>del</w:t>
      </w:r>
      <w:r>
        <w:rPr>
          <w:spacing w:val="-15"/>
        </w:rPr>
        <w:t> </w:t>
      </w:r>
      <w:r>
        <w:rPr/>
        <w:t>Regno</w:t>
      </w:r>
      <w:r>
        <w:rPr>
          <w:spacing w:val="-18"/>
        </w:rPr>
        <w:t> </w:t>
      </w:r>
      <w:r>
        <w:rPr/>
        <w:t>Unito</w:t>
      </w:r>
      <w:r>
        <w:rPr>
          <w:spacing w:val="-14"/>
        </w:rPr>
        <w:t> </w:t>
      </w:r>
      <w:r>
        <w:rPr/>
        <w:t>dall’Unione Europea, le tensioni politiche in alcuni paesi emergenti - in primis Argentina e Venezuela - la crisi del mercato dell’auto e le relative ripercussioni sulle economie a forte vocazione industriale, ostacolano l’utilizzo della capacità produttiva da parte</w:t>
      </w:r>
      <w:r>
        <w:rPr>
          <w:spacing w:val="-15"/>
        </w:rPr>
        <w:t> </w:t>
      </w:r>
      <w:r>
        <w:rPr/>
        <w:t>delle</w:t>
      </w:r>
      <w:r>
        <w:rPr>
          <w:spacing w:val="-13"/>
        </w:rPr>
        <w:t> </w:t>
      </w:r>
      <w:r>
        <w:rPr/>
        <w:t>imprese</w:t>
      </w:r>
      <w:r>
        <w:rPr>
          <w:spacing w:val="-14"/>
        </w:rPr>
        <w:t> </w:t>
      </w:r>
      <w:r>
        <w:rPr/>
        <w:t>e</w:t>
      </w:r>
      <w:r>
        <w:rPr>
          <w:spacing w:val="-13"/>
        </w:rPr>
        <w:t> </w:t>
      </w:r>
      <w:r>
        <w:rPr/>
        <w:t>le</w:t>
      </w:r>
      <w:r>
        <w:rPr>
          <w:spacing w:val="-14"/>
        </w:rPr>
        <w:t> </w:t>
      </w:r>
      <w:r>
        <w:rPr/>
        <w:t>inducono</w:t>
      </w:r>
      <w:r>
        <w:rPr>
          <w:spacing w:val="-14"/>
        </w:rPr>
        <w:t> </w:t>
      </w:r>
      <w:r>
        <w:rPr/>
        <w:t>a</w:t>
      </w:r>
      <w:r>
        <w:rPr>
          <w:spacing w:val="-13"/>
        </w:rPr>
        <w:t> </w:t>
      </w:r>
      <w:r>
        <w:rPr/>
        <w:t>rivedere</w:t>
      </w:r>
      <w:r>
        <w:rPr>
          <w:spacing w:val="-14"/>
        </w:rPr>
        <w:t> </w:t>
      </w:r>
      <w:r>
        <w:rPr/>
        <w:t>i</w:t>
      </w:r>
      <w:r>
        <w:rPr>
          <w:spacing w:val="-13"/>
        </w:rPr>
        <w:t> </w:t>
      </w:r>
      <w:r>
        <w:rPr/>
        <w:t>programmi</w:t>
      </w:r>
      <w:r>
        <w:rPr>
          <w:spacing w:val="-14"/>
        </w:rPr>
        <w:t> </w:t>
      </w:r>
      <w:r>
        <w:rPr/>
        <w:t>di</w:t>
      </w:r>
      <w:r>
        <w:rPr>
          <w:spacing w:val="-14"/>
        </w:rPr>
        <w:t> </w:t>
      </w:r>
      <w:r>
        <w:rPr/>
        <w:t>investimento</w:t>
      </w:r>
      <w:r>
        <w:rPr>
          <w:spacing w:val="-11"/>
        </w:rPr>
        <w:t> </w:t>
      </w:r>
      <w:r>
        <w:rPr/>
        <w:t>e</w:t>
      </w:r>
      <w:r>
        <w:rPr>
          <w:spacing w:val="-14"/>
        </w:rPr>
        <w:t> </w:t>
      </w:r>
      <w:r>
        <w:rPr/>
        <w:t>a</w:t>
      </w:r>
      <w:r>
        <w:rPr>
          <w:spacing w:val="-13"/>
        </w:rPr>
        <w:t> </w:t>
      </w:r>
      <w:r>
        <w:rPr/>
        <w:t>ridurre le scorte. In base alle più recenti previsioni dell’OCSE</w:t>
      </w:r>
      <w:r>
        <w:rPr>
          <w:vertAlign w:val="superscript"/>
        </w:rPr>
        <w:t>1</w:t>
      </w:r>
      <w:r>
        <w:rPr>
          <w:vertAlign w:val="baseline"/>
        </w:rPr>
        <w:t>, il PIL mondiale dovrebbe crescere</w:t>
      </w:r>
      <w:r>
        <w:rPr>
          <w:spacing w:val="-4"/>
          <w:vertAlign w:val="baseline"/>
        </w:rPr>
        <w:t> </w:t>
      </w:r>
      <w:r>
        <w:rPr>
          <w:vertAlign w:val="baseline"/>
        </w:rPr>
        <w:t>in</w:t>
      </w:r>
      <w:r>
        <w:rPr>
          <w:spacing w:val="-2"/>
          <w:vertAlign w:val="baseline"/>
        </w:rPr>
        <w:t> </w:t>
      </w:r>
      <w:r>
        <w:rPr>
          <w:vertAlign w:val="baseline"/>
        </w:rPr>
        <w:t>termini</w:t>
      </w:r>
      <w:r>
        <w:rPr>
          <w:spacing w:val="-5"/>
          <w:vertAlign w:val="baseline"/>
        </w:rPr>
        <w:t> </w:t>
      </w:r>
      <w:r>
        <w:rPr>
          <w:vertAlign w:val="baseline"/>
        </w:rPr>
        <w:t>reali</w:t>
      </w:r>
      <w:r>
        <w:rPr>
          <w:spacing w:val="-4"/>
          <w:vertAlign w:val="baseline"/>
        </w:rPr>
        <w:t> </w:t>
      </w:r>
      <w:r>
        <w:rPr>
          <w:vertAlign w:val="baseline"/>
        </w:rPr>
        <w:t>del</w:t>
      </w:r>
      <w:r>
        <w:rPr>
          <w:spacing w:val="-2"/>
          <w:vertAlign w:val="baseline"/>
        </w:rPr>
        <w:t> </w:t>
      </w:r>
      <w:r>
        <w:rPr>
          <w:vertAlign w:val="baseline"/>
        </w:rPr>
        <w:t>2,9</w:t>
      </w:r>
      <w:r>
        <w:rPr>
          <w:spacing w:val="-3"/>
          <w:vertAlign w:val="baseline"/>
        </w:rPr>
        <w:t> </w:t>
      </w:r>
      <w:r>
        <w:rPr>
          <w:vertAlign w:val="baseline"/>
        </w:rPr>
        <w:t>per</w:t>
      </w:r>
      <w:r>
        <w:rPr>
          <w:spacing w:val="-4"/>
          <w:vertAlign w:val="baseline"/>
        </w:rPr>
        <w:t> </w:t>
      </w:r>
      <w:r>
        <w:rPr>
          <w:vertAlign w:val="baseline"/>
        </w:rPr>
        <w:t>cento</w:t>
      </w:r>
      <w:r>
        <w:rPr>
          <w:spacing w:val="-4"/>
          <w:vertAlign w:val="baseline"/>
        </w:rPr>
        <w:t> </w:t>
      </w:r>
      <w:r>
        <w:rPr>
          <w:vertAlign w:val="baseline"/>
        </w:rPr>
        <w:t>nel</w:t>
      </w:r>
      <w:r>
        <w:rPr>
          <w:spacing w:val="-2"/>
          <w:vertAlign w:val="baseline"/>
        </w:rPr>
        <w:t> </w:t>
      </w:r>
      <w:r>
        <w:rPr>
          <w:vertAlign w:val="baseline"/>
        </w:rPr>
        <w:t>2019</w:t>
      </w:r>
      <w:r>
        <w:rPr>
          <w:spacing w:val="-2"/>
          <w:vertAlign w:val="baseline"/>
        </w:rPr>
        <w:t> </w:t>
      </w:r>
      <w:r>
        <w:rPr>
          <w:vertAlign w:val="baseline"/>
        </w:rPr>
        <w:t>e</w:t>
      </w:r>
      <w:r>
        <w:rPr>
          <w:spacing w:val="-2"/>
          <w:vertAlign w:val="baseline"/>
        </w:rPr>
        <w:t> </w:t>
      </w:r>
      <w:r>
        <w:rPr>
          <w:vertAlign w:val="baseline"/>
        </w:rPr>
        <w:t>del</w:t>
      </w:r>
      <w:r>
        <w:rPr>
          <w:spacing w:val="-4"/>
          <w:vertAlign w:val="baseline"/>
        </w:rPr>
        <w:t> </w:t>
      </w:r>
      <w:r>
        <w:rPr>
          <w:vertAlign w:val="baseline"/>
        </w:rPr>
        <w:t>3,0</w:t>
      </w:r>
      <w:r>
        <w:rPr>
          <w:spacing w:val="-5"/>
          <w:vertAlign w:val="baseline"/>
        </w:rPr>
        <w:t> </w:t>
      </w:r>
      <w:r>
        <w:rPr>
          <w:vertAlign w:val="baseline"/>
        </w:rPr>
        <w:t>per</w:t>
      </w:r>
      <w:r>
        <w:rPr>
          <w:spacing w:val="-5"/>
          <w:vertAlign w:val="baseline"/>
        </w:rPr>
        <w:t> </w:t>
      </w:r>
      <w:r>
        <w:rPr>
          <w:vertAlign w:val="baseline"/>
        </w:rPr>
        <w:t>cento</w:t>
      </w:r>
      <w:r>
        <w:rPr>
          <w:spacing w:val="-3"/>
          <w:vertAlign w:val="baseline"/>
        </w:rPr>
        <w:t> </w:t>
      </w:r>
      <w:r>
        <w:rPr>
          <w:vertAlign w:val="baseline"/>
        </w:rPr>
        <w:t>nel</w:t>
      </w:r>
      <w:r>
        <w:rPr>
          <w:spacing w:val="-2"/>
          <w:vertAlign w:val="baseline"/>
        </w:rPr>
        <w:t> </w:t>
      </w:r>
      <w:r>
        <w:rPr>
          <w:vertAlign w:val="baseline"/>
        </w:rPr>
        <w:t>2020,</w:t>
      </w:r>
      <w:r>
        <w:rPr>
          <w:spacing w:val="-3"/>
          <w:vertAlign w:val="baseline"/>
        </w:rPr>
        <w:t> </w:t>
      </w:r>
      <w:r>
        <w:rPr>
          <w:vertAlign w:val="baseline"/>
        </w:rPr>
        <w:t>in deciso rallentamento rispetto al 3,6 per cento registrato lo scorso</w:t>
      </w:r>
      <w:r>
        <w:rPr>
          <w:spacing w:val="-14"/>
          <w:vertAlign w:val="baseline"/>
        </w:rPr>
        <w:t> </w:t>
      </w:r>
      <w:r>
        <w:rPr>
          <w:vertAlign w:val="baseline"/>
        </w:rPr>
        <w:t>anno.</w:t>
      </w:r>
    </w:p>
    <w:p>
      <w:pPr>
        <w:pStyle w:val="BodyText"/>
        <w:spacing w:line="252" w:lineRule="auto"/>
        <w:ind w:left="278" w:right="2261" w:firstLine="283"/>
        <w:jc w:val="both"/>
      </w:pPr>
      <w:r>
        <w:rPr/>
        <w:t>Il rallentamento interessa pressoché tutte le economie avanzate, specialmente quelle maggiormente esposte alla flessione degli investimenti e del commercio mondiale. Le tensioni commerciali, amplificate dalle interconnessioni all’interno delle catene globali di valore (GVC), determinano una contrazione della domanda mondiale non soltanto nel breve ma anche nel medio termine, riducendo la produttività</w:t>
      </w:r>
      <w:r>
        <w:rPr>
          <w:spacing w:val="-8"/>
        </w:rPr>
        <w:t> </w:t>
      </w:r>
      <w:r>
        <w:rPr/>
        <w:t>e</w:t>
      </w:r>
      <w:r>
        <w:rPr>
          <w:spacing w:val="-8"/>
        </w:rPr>
        <w:t> </w:t>
      </w:r>
      <w:r>
        <w:rPr/>
        <w:t>gli</w:t>
      </w:r>
      <w:r>
        <w:rPr>
          <w:spacing w:val="-8"/>
        </w:rPr>
        <w:t> </w:t>
      </w:r>
      <w:r>
        <w:rPr/>
        <w:t>incentivi</w:t>
      </w:r>
      <w:r>
        <w:rPr>
          <w:spacing w:val="-7"/>
        </w:rPr>
        <w:t> </w:t>
      </w:r>
      <w:r>
        <w:rPr/>
        <w:t>ad</w:t>
      </w:r>
      <w:r>
        <w:rPr>
          <w:spacing w:val="-8"/>
        </w:rPr>
        <w:t> </w:t>
      </w:r>
      <w:r>
        <w:rPr/>
        <w:t>investire.</w:t>
      </w:r>
      <w:r>
        <w:rPr>
          <w:spacing w:val="-10"/>
        </w:rPr>
        <w:t> </w:t>
      </w:r>
      <w:r>
        <w:rPr/>
        <w:t>A</w:t>
      </w:r>
      <w:r>
        <w:rPr>
          <w:spacing w:val="-9"/>
        </w:rPr>
        <w:t> </w:t>
      </w:r>
      <w:r>
        <w:rPr/>
        <w:t>conferma</w:t>
      </w:r>
      <w:r>
        <w:rPr>
          <w:spacing w:val="-8"/>
        </w:rPr>
        <w:t> </w:t>
      </w:r>
      <w:r>
        <w:rPr/>
        <w:t>di</w:t>
      </w:r>
      <w:r>
        <w:rPr>
          <w:spacing w:val="-8"/>
        </w:rPr>
        <w:t> </w:t>
      </w:r>
      <w:r>
        <w:rPr/>
        <w:t>tale</w:t>
      </w:r>
      <w:r>
        <w:rPr>
          <w:spacing w:val="-8"/>
        </w:rPr>
        <w:t> </w:t>
      </w:r>
      <w:r>
        <w:rPr/>
        <w:t>analisi,</w:t>
      </w:r>
      <w:r>
        <w:rPr>
          <w:spacing w:val="-6"/>
        </w:rPr>
        <w:t> </w:t>
      </w:r>
      <w:r>
        <w:rPr/>
        <w:t>i</w:t>
      </w:r>
      <w:r>
        <w:rPr>
          <w:spacing w:val="-10"/>
        </w:rPr>
        <w:t> </w:t>
      </w:r>
      <w:r>
        <w:rPr/>
        <w:t>dati</w:t>
      </w:r>
      <w:r>
        <w:rPr>
          <w:spacing w:val="-10"/>
        </w:rPr>
        <w:t> </w:t>
      </w:r>
      <w:r>
        <w:rPr/>
        <w:t>mensili</w:t>
      </w:r>
      <w:r>
        <w:rPr>
          <w:spacing w:val="-7"/>
        </w:rPr>
        <w:t> </w:t>
      </w:r>
      <w:r>
        <w:rPr/>
        <w:t>del commercio del </w:t>
      </w:r>
      <w:r>
        <w:rPr>
          <w:i/>
        </w:rPr>
        <w:t>Central Planning Bureau </w:t>
      </w:r>
      <w:r>
        <w:rPr/>
        <w:t>olandese per i primi sei mesi del 2019 mostrano</w:t>
      </w:r>
      <w:r>
        <w:rPr>
          <w:spacing w:val="-10"/>
        </w:rPr>
        <w:t> </w:t>
      </w:r>
      <w:r>
        <w:rPr/>
        <w:t>una</w:t>
      </w:r>
      <w:r>
        <w:rPr>
          <w:spacing w:val="-9"/>
        </w:rPr>
        <w:t> </w:t>
      </w:r>
      <w:r>
        <w:rPr/>
        <w:t>dinamica</w:t>
      </w:r>
      <w:r>
        <w:rPr>
          <w:spacing w:val="-7"/>
        </w:rPr>
        <w:t> </w:t>
      </w:r>
      <w:r>
        <w:rPr/>
        <w:t>degli</w:t>
      </w:r>
      <w:r>
        <w:rPr>
          <w:spacing w:val="-10"/>
        </w:rPr>
        <w:t> </w:t>
      </w:r>
      <w:r>
        <w:rPr/>
        <w:t>scambi</w:t>
      </w:r>
      <w:r>
        <w:rPr>
          <w:spacing w:val="-9"/>
        </w:rPr>
        <w:t> </w:t>
      </w:r>
      <w:r>
        <w:rPr/>
        <w:t>più</w:t>
      </w:r>
      <w:r>
        <w:rPr>
          <w:spacing w:val="-10"/>
        </w:rPr>
        <w:t> </w:t>
      </w:r>
      <w:r>
        <w:rPr/>
        <w:t>debole</w:t>
      </w:r>
      <w:r>
        <w:rPr>
          <w:spacing w:val="-10"/>
        </w:rPr>
        <w:t> </w:t>
      </w:r>
      <w:r>
        <w:rPr/>
        <w:t>di</w:t>
      </w:r>
      <w:r>
        <w:rPr>
          <w:spacing w:val="-9"/>
        </w:rPr>
        <w:t> </w:t>
      </w:r>
      <w:r>
        <w:rPr/>
        <w:t>quella</w:t>
      </w:r>
      <w:r>
        <w:rPr>
          <w:spacing w:val="-10"/>
        </w:rPr>
        <w:t> </w:t>
      </w:r>
      <w:r>
        <w:rPr/>
        <w:t>dello</w:t>
      </w:r>
      <w:r>
        <w:rPr>
          <w:spacing w:val="-10"/>
        </w:rPr>
        <w:t> </w:t>
      </w:r>
      <w:r>
        <w:rPr/>
        <w:t>scorso</w:t>
      </w:r>
      <w:r>
        <w:rPr>
          <w:spacing w:val="-10"/>
        </w:rPr>
        <w:t> </w:t>
      </w:r>
      <w:r>
        <w:rPr/>
        <w:t>anno,</w:t>
      </w:r>
      <w:r>
        <w:rPr>
          <w:spacing w:val="-7"/>
        </w:rPr>
        <w:t> </w:t>
      </w:r>
      <w:r>
        <w:rPr/>
        <w:t>con</w:t>
      </w:r>
      <w:r>
        <w:rPr>
          <w:spacing w:val="-10"/>
        </w:rPr>
        <w:t> </w:t>
      </w:r>
      <w:r>
        <w:rPr/>
        <w:t>una variazione tendenziale negativa in termini reali (-1,4 per</w:t>
      </w:r>
      <w:r>
        <w:rPr>
          <w:spacing w:val="-10"/>
        </w:rPr>
        <w:t> </w:t>
      </w:r>
      <w:r>
        <w:rPr/>
        <w:t>cento)</w:t>
      </w:r>
      <w:r>
        <w:rPr>
          <w:vertAlign w:val="superscript"/>
        </w:rPr>
        <w:t>2</w:t>
      </w:r>
      <w:r>
        <w:rPr>
          <w:vertAlign w:val="baseline"/>
        </w:rPr>
        <w:t>.</w:t>
      </w:r>
    </w:p>
    <w:p>
      <w:pPr>
        <w:pStyle w:val="BodyText"/>
        <w:spacing w:line="252" w:lineRule="auto"/>
        <w:ind w:left="278" w:right="2261" w:firstLine="283"/>
        <w:jc w:val="both"/>
      </w:pPr>
      <w:r>
        <w:rPr/>
        <w:t>L’indebolimento del ciclo economico era considerato fino a pochi mesi fa un fenomeno temporaneo e destinato a raggiungere il suo massimo entro la fine dell’anno in corso. Tuttavia, man mano che ulteriori informazioni congiunturali si rendono disponibili, si osserva la tendenza dei principali previsori internazionali a posticipare l’avvio di una graduale ripresa, rivedendo al ribasso la dinamica per i prossimi mesi. Si inizia quindi a riscontrare una graduale convergenza delle previsioni ufficiali con le aspettative dei mercati, che già da alcuni mesi stanno scontando nelle proiezioni sui tassi di interesse, sulle valute e sul prezzo del petrolio, una fase più prolungata di debolezza del ciclo economico.</w:t>
      </w:r>
    </w:p>
    <w:p>
      <w:pPr>
        <w:pStyle w:val="BodyText"/>
        <w:spacing w:line="252" w:lineRule="auto"/>
        <w:ind w:left="278" w:right="2262" w:firstLine="283"/>
        <w:jc w:val="both"/>
      </w:pPr>
      <w:r>
        <w:rPr/>
        <w:t>Anche le indagini congiunturali tracciano un trend di constante indebolimento dell’attività economica: dalle rilevazioni più recenti del </w:t>
      </w:r>
      <w:r>
        <w:rPr>
          <w:i/>
        </w:rPr>
        <w:t>Global composite </w:t>
      </w:r>
      <w:r>
        <w:rPr>
          <w:i/>
        </w:rPr>
        <w:t>Purchasing Managers’ Index </w:t>
      </w:r>
      <w:r>
        <w:rPr/>
        <w:t>(PMI) emerge una performance debole dell’indicatore composito, che ad agosto segna un marginale peggioramento a 51,3 (-0,3 punti rispetto</w:t>
      </w:r>
      <w:r>
        <w:rPr>
          <w:spacing w:val="-13"/>
        </w:rPr>
        <w:t> </w:t>
      </w:r>
      <w:r>
        <w:rPr/>
        <w:t>a</w:t>
      </w:r>
      <w:r>
        <w:rPr>
          <w:spacing w:val="-12"/>
        </w:rPr>
        <w:t> </w:t>
      </w:r>
      <w:r>
        <w:rPr/>
        <w:t>luglio)</w:t>
      </w:r>
      <w:r>
        <w:rPr>
          <w:spacing w:val="-11"/>
        </w:rPr>
        <w:t> </w:t>
      </w:r>
      <w:r>
        <w:rPr/>
        <w:t>approssimando</w:t>
      </w:r>
      <w:r>
        <w:rPr>
          <w:spacing w:val="-13"/>
        </w:rPr>
        <w:t> </w:t>
      </w:r>
      <w:r>
        <w:rPr/>
        <w:t>nuovamente</w:t>
      </w:r>
      <w:r>
        <w:rPr>
          <w:spacing w:val="-12"/>
        </w:rPr>
        <w:t> </w:t>
      </w:r>
      <w:r>
        <w:rPr/>
        <w:t>i</w:t>
      </w:r>
      <w:r>
        <w:rPr>
          <w:spacing w:val="-12"/>
        </w:rPr>
        <w:t> </w:t>
      </w:r>
      <w:r>
        <w:rPr/>
        <w:t>valori</w:t>
      </w:r>
      <w:r>
        <w:rPr>
          <w:spacing w:val="-12"/>
        </w:rPr>
        <w:t> </w:t>
      </w:r>
      <w:r>
        <w:rPr/>
        <w:t>minimi</w:t>
      </w:r>
      <w:r>
        <w:rPr>
          <w:spacing w:val="-12"/>
        </w:rPr>
        <w:t> </w:t>
      </w:r>
      <w:r>
        <w:rPr/>
        <w:t>degli</w:t>
      </w:r>
      <w:r>
        <w:rPr>
          <w:spacing w:val="-12"/>
        </w:rPr>
        <w:t> </w:t>
      </w:r>
      <w:r>
        <w:rPr/>
        <w:t>ultimi</w:t>
      </w:r>
      <w:r>
        <w:rPr>
          <w:spacing w:val="-13"/>
        </w:rPr>
        <w:t> </w:t>
      </w:r>
      <w:r>
        <w:rPr/>
        <w:t>tre</w:t>
      </w:r>
      <w:r>
        <w:rPr>
          <w:spacing w:val="-12"/>
        </w:rPr>
        <w:t> </w:t>
      </w:r>
      <w:r>
        <w:rPr/>
        <w:t>anni</w:t>
      </w:r>
      <w:r>
        <w:rPr>
          <w:spacing w:val="-12"/>
        </w:rPr>
        <w:t> </w:t>
      </w:r>
      <w:r>
        <w:rPr/>
        <w:t>già registrati in maggio e giugno. Dalla rilevazione emerge che al peggioramento già</w:t>
      </w:r>
      <w:r>
        <w:rPr>
          <w:spacing w:val="-27"/>
        </w:rPr>
        <w:t> </w:t>
      </w:r>
      <w:r>
        <w:rPr/>
        <w:t>in</w:t>
      </w:r>
    </w:p>
    <w:p>
      <w:pPr>
        <w:pStyle w:val="BodyText"/>
        <w:rPr>
          <w:sz w:val="20"/>
        </w:rPr>
      </w:pPr>
    </w:p>
    <w:p>
      <w:pPr>
        <w:pStyle w:val="BodyText"/>
        <w:rPr>
          <w:sz w:val="20"/>
        </w:rPr>
      </w:pPr>
    </w:p>
    <w:p>
      <w:pPr>
        <w:pStyle w:val="BodyText"/>
        <w:spacing w:before="1"/>
        <w:rPr>
          <w:sz w:val="27"/>
        </w:rPr>
      </w:pPr>
      <w:r>
        <w:rPr/>
        <w:pict>
          <v:group style="position:absolute;margin-left:93.599998pt;margin-top:17.716133pt;width:21.4pt;height:2.15pt;mso-position-horizontal-relative:page;mso-position-vertical-relative:paragraph;z-index:-251629568;mso-wrap-distance-left:0;mso-wrap-distance-right:0" coordorigin="1872,354" coordsize="428,43">
            <v:line style="position:absolute" from="1872,375" to="2299,375" stroked="true" strokeweight="2.050pt" strokecolor="#aaaaaa">
              <v:stroke dashstyle="solid"/>
            </v:line>
            <v:rect style="position:absolute;left:1872;top:356;width:5;height:5" filled="true" fillcolor="#9f9f9f" stroked="false">
              <v:fill type="solid"/>
            </v:rect>
            <v:rect style="position:absolute;left:1872;top:356;width:5;height:5" filled="true" fillcolor="#9f9f9f" stroked="false">
              <v:fill type="solid"/>
            </v:rect>
            <v:line style="position:absolute" from="1877,359" to="2295,359" stroked="true" strokeweight=".23999pt" strokecolor="#9f9f9f">
              <v:stroke dashstyle="solid"/>
            </v:line>
            <v:rect style="position:absolute;left:2294;top:356;width:5;height:5" filled="true" fillcolor="#e2e2e2" stroked="false">
              <v:fill type="solid"/>
            </v:rect>
            <v:rect style="position:absolute;left:2294;top:356;width:5;height:5" filled="true" fillcolor="#9f9f9f" stroked="false">
              <v:fill type="solid"/>
            </v:rect>
            <v:rect style="position:absolute;left:1872;top:361;width:5;height:32" filled="true" fillcolor="#9f9f9f" stroked="false">
              <v:fill type="solid"/>
            </v:rect>
            <v:rect style="position:absolute;left:2294;top:361;width:5;height:32" filled="true" fillcolor="#e2e2e2" stroked="false">
              <v:fill type="solid"/>
            </v:rect>
            <v:rect style="position:absolute;left:1872;top:392;width:5;height:5" filled="true" fillcolor="#9f9f9f" stroked="false">
              <v:fill type="solid"/>
            </v:rect>
            <v:rect style="position:absolute;left:1872;top:392;width:5;height:5" filled="true" fillcolor="#e2e2e2" stroked="false">
              <v:fill type="solid"/>
            </v:rect>
            <v:line style="position:absolute" from="1877,395" to="2295,395" stroked="true" strokeweight=".24005pt" strokecolor="#e2e2e2">
              <v:stroke dashstyle="solid"/>
            </v:line>
            <v:rect style="position:absolute;left:2294;top:392;width:5;height:5" filled="true" fillcolor="#e2e2e2" stroked="false">
              <v:fill type="solid"/>
            </v:rect>
            <v:rect style="position:absolute;left:2294;top:392;width:5;height:5" filled="true" fillcolor="#e2e2e2" stroked="false">
              <v:fill type="solid"/>
            </v:rect>
            <w10:wrap type="topAndBottom"/>
          </v:group>
        </w:pict>
      </w:r>
    </w:p>
    <w:p>
      <w:pPr>
        <w:spacing w:line="187" w:lineRule="exact" w:before="20"/>
        <w:ind w:left="278" w:right="0" w:firstLine="0"/>
        <w:jc w:val="left"/>
        <w:rPr>
          <w:sz w:val="16"/>
        </w:rPr>
      </w:pPr>
      <w:r>
        <w:rPr>
          <w:position w:val="6"/>
          <w:sz w:val="10"/>
        </w:rPr>
        <w:t>1 </w:t>
      </w:r>
      <w:r>
        <w:rPr>
          <w:sz w:val="16"/>
        </w:rPr>
        <w:t>Cfr. OCSE 'Interim Economic Outlook', September 2019.</w:t>
      </w:r>
    </w:p>
    <w:p>
      <w:pPr>
        <w:spacing w:line="187" w:lineRule="exact" w:before="0"/>
        <w:ind w:left="278" w:right="0" w:firstLine="0"/>
        <w:jc w:val="left"/>
        <w:rPr>
          <w:sz w:val="16"/>
        </w:rPr>
      </w:pPr>
      <w:r>
        <w:rPr>
          <w:position w:val="6"/>
          <w:sz w:val="10"/>
        </w:rPr>
        <w:t>2 </w:t>
      </w:r>
      <w:r>
        <w:rPr>
          <w:sz w:val="16"/>
        </w:rPr>
        <w:t>Cfr. CPB Netherlands Bureau for Economic Policy Analysis, Monthly brief CPB World Trade Monitor, August 2019.</w:t>
      </w:r>
    </w:p>
    <w:p>
      <w:pPr>
        <w:spacing w:after="0" w:line="187" w:lineRule="exact"/>
        <w:jc w:val="left"/>
        <w:rPr>
          <w:sz w:val="16"/>
        </w:rPr>
        <w:sectPr>
          <w:headerReference w:type="default" r:id="rId43"/>
          <w:footerReference w:type="default" r:id="rId44"/>
          <w:footerReference w:type="even" r:id="rId45"/>
          <w:pgSz w:w="11910" w:h="16840"/>
          <w:pgMar w:header="0" w:footer="866" w:top="1080" w:bottom="1060" w:left="1140" w:right="0"/>
          <w:pgNumType w:start="13"/>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1128" w:right="1494"/>
      </w:pPr>
      <w:r>
        <w:rPr/>
        <w:pict>
          <v:group style="position:absolute;margin-left:113.419998pt;margin-top:45.738621pt;width:411.1pt;height:2.9pt;mso-position-horizontal-relative:page;mso-position-vertical-relative:paragraph;z-index:251691008" coordorigin="2268,915" coordsize="8222,58">
            <v:rect style="position:absolute;left:2268;top:914;width:8222;height:58" filled="true" fillcolor="#086d44" stroked="false">
              <v:fill type="solid"/>
            </v:rect>
            <v:rect style="position:absolute;left:2268;top:914;width:8222;height:58" filled="true" fillcolor="#086d44" stroked="false">
              <v:fill type="solid"/>
            </v:rect>
            <w10:wrap type="none"/>
          </v:group>
        </w:pict>
      </w:r>
      <w:r>
        <w:rPr/>
        <w:t>atto del manifatturiero inizia ad affiancarsi il deterioramento dei servizi, e che le prospettive future appaiono ora più deboli.</w:t>
      </w:r>
    </w:p>
    <w:p>
      <w:pPr>
        <w:pStyle w:val="BodyText"/>
        <w:spacing w:before="9"/>
        <w:rPr>
          <w:sz w:val="26"/>
        </w:rPr>
      </w:pPr>
      <w:r>
        <w:rPr/>
        <w:pict>
          <v:shape style="position:absolute;margin-left:113.419998pt;margin-top:16.781015pt;width:411.1pt;height:9pt;mso-position-horizontal-relative:page;mso-position-vertical-relative:paragraph;z-index:-251628544;mso-wrap-distance-left:0;mso-wrap-distance-right:0" type="#_x0000_t202" filled="true" fillcolor="#086d44" stroked="false">
            <v:textbox inset="0,0,0,0">
              <w:txbxContent>
                <w:p>
                  <w:pPr>
                    <w:spacing w:line="180" w:lineRule="exact" w:before="0"/>
                    <w:ind w:left="28" w:right="0" w:firstLine="0"/>
                    <w:jc w:val="left"/>
                    <w:rPr>
                      <w:rFonts w:ascii="Franklin Gothic Heavy"/>
                      <w:b/>
                      <w:sz w:val="17"/>
                    </w:rPr>
                  </w:pPr>
                  <w:r>
                    <w:rPr>
                      <w:rFonts w:ascii="Franklin Gothic Heavy"/>
                      <w:b/>
                      <w:color w:val="EFEFEF"/>
                      <w:sz w:val="17"/>
                    </w:rPr>
                    <w:t>FIGURA II.1: PMI GLOBALE COMPOSITO E PER SETTORI</w:t>
                  </w:r>
                </w:p>
              </w:txbxContent>
            </v:textbox>
            <v:fill type="solid"/>
            <w10:wrap type="topAndBottom"/>
          </v:shape>
        </w:pict>
      </w:r>
    </w:p>
    <w:p>
      <w:pPr>
        <w:pStyle w:val="BodyText"/>
        <w:spacing w:line="57" w:lineRule="exact"/>
        <w:ind w:left="1128"/>
        <w:rPr>
          <w:sz w:val="5"/>
        </w:rPr>
      </w:pPr>
      <w:r>
        <w:rPr>
          <w:position w:val="0"/>
          <w:sz w:val="5"/>
        </w:rPr>
        <w:pict>
          <v:group style="width:411.1pt;height:2.9pt;mso-position-horizontal-relative:char;mso-position-vertical-relative:line" coordorigin="0,0" coordsize="8222,58">
            <v:rect style="position:absolute;left:0;top:0;width:8222;height:58" filled="true" fillcolor="#086d44" stroked="false">
              <v:fill type="solid"/>
            </v:rect>
            <v:rect style="position:absolute;left:0;top:0;width:8222;height:58" filled="true" fillcolor="#086d44" stroked="false">
              <v:fill type="solid"/>
            </v:rect>
          </v:group>
        </w:pict>
      </w:r>
      <w:r>
        <w:rPr>
          <w:position w:val="0"/>
          <w:sz w:val="5"/>
        </w:rPr>
      </w:r>
    </w:p>
    <w:p>
      <w:pPr>
        <w:spacing w:before="47"/>
        <w:ind w:left="1371" w:right="0" w:firstLine="0"/>
        <w:jc w:val="left"/>
        <w:rPr>
          <w:rFonts w:ascii="Calibri"/>
          <w:sz w:val="16"/>
        </w:rPr>
      </w:pPr>
      <w:r>
        <w:rPr/>
        <w:pict>
          <v:group style="position:absolute;margin-left:138.559998pt;margin-top:7.332207pt;width:373.6pt;height:173.95pt;mso-position-horizontal-relative:page;mso-position-vertical-relative:paragraph;z-index:251694080" coordorigin="2771,147" coordsize="7472,3479">
            <v:rect style="position:absolute;left:2822;top:154;width:7414;height:3421" filled="false" stroked="true" strokeweight=".75pt" strokecolor="#000000">
              <v:stroke dashstyle="solid"/>
            </v:rect>
            <v:shape style="position:absolute;left:2771;top:154;width:7465;height:3472" coordorigin="2771,154" coordsize="7465,3472" path="m2822,3575l2822,154m2771,3575l2822,3575m2771,3146l2822,3146m2771,2719l2822,2719m2771,2292l2822,2292m2771,1865l2822,1865m2771,1437l2822,1437m2771,1010l2822,1010m2771,583l2822,583m2771,154l2822,154m2822,3575l10235,3575m2822,3575l2822,3626m3485,3575l3485,3626m4145,3575l4145,3626m4807,3575l4807,3626m5470,3575l5470,3626m6132,3575l6132,3626m6794,3575l6794,3626m7454,3575l7454,3626m8117,3575l8117,3626m8779,3575l8779,3626m9442,3575l9442,3626m10103,3575l10103,3626e" filled="false" stroked="true" strokeweight=".5pt" strokecolor="#000000">
              <v:path arrowok="t"/>
              <v:stroke dashstyle="solid"/>
            </v:shape>
            <v:shape style="position:absolute;left:2888;top:667;width:7281;height:1796" coordorigin="2888,667" coordsize="7281,1796" path="m2888,1521l3022,1094,3154,837,3286,1051,3418,1308,3550,1521,3682,1394,3814,1351,3948,1737,4080,1521,4212,1308,4344,1651,4476,1737,4608,2463,4742,2121,4874,2121,5006,2292,5138,2205,5270,2035,5402,2035,5537,1951,5669,1394,5801,1308,5933,1224,6065,1094,6197,1224,6331,1094,6463,1137,6595,1137,6727,1181,6859,1224,6991,1051,7123,1094,7258,1010,7390,1010,7522,881,7654,753,7786,667,7918,1308,8052,1051,8184,1010,8316,924,8448,1137,8580,1267,8712,1521,8846,1437,8978,1394,9110,1565,9242,1821,9374,1608,9506,1521,9641,1778,9773,2205,9905,2205,10037,1992,10169,2165e" filled="false" stroked="true" strokeweight="2.5pt" strokecolor="#086939">
              <v:path arrowok="t"/>
              <v:stroke dashstyle="solid"/>
            </v:shape>
            <v:shape style="position:absolute;left:2888;top:795;width:7281;height:2224" coordorigin="2888,796" coordsize="7281,2224" path="m2888,2035l3022,1908,3154,2078,3286,2335,3418,2249,3550,2292,3682,2378,3814,2505,3948,2549,4080,2292,4212,2292,4344,2421,4476,2335,4608,2719,4742,2462,4874,2635,5006,2676,5138,2549,5270,2292,5402,2378,5537,2249,5669,1865,5801,1865,5933,1608,6065,1565,6197,1481,6331,1481,6463,1565,6595,1608,6727,1608,6859,1565,6991,1394,7123,1351,7258,1267,7390,1010,7522,796,7654,837,7786,967,7918,1308,8052,1224,8184,1394,8316,1437,8448,1565,8580,1651,8712,1821,8846,1865,8978,1908,9110,2121,9242,2378,9374,2462,9506,2505,9641,2549,9773,2805,9905,2976,10037,3019,10169,2933e" filled="false" stroked="true" strokeweight="2.5pt" strokecolor="#d6c700">
              <v:path arrowok="t"/>
              <v:stroke dashstyle="solid"/>
            </v:shape>
            <v:shape style="position:absolute;left:2888;top:581;width:7281;height:1839" coordorigin="2888,582" coordsize="7281,1839" path="m2888,1481l3022,967,3154,582,3286,710,3418,1010,3550,1308,3682,1094,3814,967,3948,1437,4080,1308,4212,1137,4344,1521,4476,1565,4608,2420,4742,2121,4874,1992,5006,2165,5138,2121,5270,2121,5402,2078,5537,1992,5669,1437,5801,1308,5933,1267,6065,1051,6197,1308,6331,1137,6463,1137,6595,1051,6727,1094,6859,1137,6991,1010,7123,1094,7258,967,7390,1137,7522,1094,7654,924,7786,667,7918,1351,8052,1094,8184,881,8316,753,8448,1010,8580,1224,8712,1481,8846,1267,8978,1137,9110,1437,9242,1565,9374,1308,9506,1137,9641,1565,9773,2035,9905,1908,10037,1651,10169,1951e" filled="false" stroked="true" strokeweight="2.5pt" strokecolor="#77923b">
              <v:path arrowok="t"/>
              <v:stroke dashstyle="solid"/>
            </v:shape>
            <v:line style="position:absolute" from="2868,2720" to="10189,2720" stroked="true" strokeweight="2pt" strokecolor="#4f2109">
              <v:stroke dashstyle="solid"/>
            </v:line>
            <v:shape style="position:absolute;left:7988;top:2445;width:789;height:552" type="#_x0000_t202" filled="false" stroked="false">
              <v:textbox inset="0,0,0,0">
                <w:txbxContent>
                  <w:p>
                    <w:pPr>
                      <w:spacing w:line="164" w:lineRule="exact" w:before="0"/>
                      <w:ind w:left="0" w:right="0" w:firstLine="0"/>
                      <w:jc w:val="left"/>
                      <w:rPr>
                        <w:rFonts w:ascii="Calibri"/>
                        <w:sz w:val="16"/>
                      </w:rPr>
                    </w:pPr>
                    <w:r>
                      <w:rPr>
                        <w:rFonts w:ascii="Calibri"/>
                        <w:sz w:val="16"/>
                      </w:rPr>
                      <w:t>espansione</w:t>
                    </w:r>
                  </w:p>
                  <w:p>
                    <w:pPr>
                      <w:spacing w:line="240" w:lineRule="auto" w:before="10"/>
                      <w:rPr>
                        <w:sz w:val="16"/>
                      </w:rPr>
                    </w:pPr>
                  </w:p>
                  <w:p>
                    <w:pPr>
                      <w:spacing w:line="193" w:lineRule="exact" w:before="0"/>
                      <w:ind w:left="0" w:right="0" w:firstLine="0"/>
                      <w:jc w:val="left"/>
                      <w:rPr>
                        <w:rFonts w:ascii="Calibri"/>
                        <w:sz w:val="16"/>
                      </w:rPr>
                    </w:pPr>
                    <w:r>
                      <w:rPr>
                        <w:rFonts w:ascii="Calibri"/>
                        <w:sz w:val="16"/>
                      </w:rPr>
                      <w:t>contrazione</w:t>
                    </w:r>
                  </w:p>
                </w:txbxContent>
              </v:textbox>
              <w10:wrap type="none"/>
            </v:shape>
            <w10:wrap type="none"/>
          </v:group>
        </w:pict>
      </w:r>
      <w:r>
        <w:rPr>
          <w:rFonts w:ascii="Calibri"/>
          <w:sz w:val="16"/>
        </w:rPr>
        <w:t>56</w:t>
      </w:r>
    </w:p>
    <w:p>
      <w:pPr>
        <w:pStyle w:val="BodyText"/>
        <w:spacing w:before="5"/>
        <w:rPr>
          <w:rFonts w:ascii="Calibri"/>
          <w:sz w:val="13"/>
        </w:rPr>
      </w:pPr>
    </w:p>
    <w:p>
      <w:pPr>
        <w:spacing w:before="68"/>
        <w:ind w:left="1371" w:right="0" w:firstLine="0"/>
        <w:jc w:val="left"/>
        <w:rPr>
          <w:rFonts w:ascii="Calibri"/>
          <w:sz w:val="16"/>
        </w:rPr>
      </w:pPr>
      <w:r>
        <w:rPr>
          <w:rFonts w:ascii="Calibri"/>
          <w:sz w:val="16"/>
        </w:rPr>
        <w:t>55</w:t>
      </w:r>
    </w:p>
    <w:p>
      <w:pPr>
        <w:pStyle w:val="BodyText"/>
        <w:spacing w:before="6"/>
        <w:rPr>
          <w:rFonts w:ascii="Calibri"/>
          <w:sz w:val="13"/>
        </w:rPr>
      </w:pPr>
    </w:p>
    <w:p>
      <w:pPr>
        <w:spacing w:before="68"/>
        <w:ind w:left="1371" w:right="0" w:firstLine="0"/>
        <w:jc w:val="left"/>
        <w:rPr>
          <w:rFonts w:ascii="Calibri"/>
          <w:sz w:val="16"/>
        </w:rPr>
      </w:pPr>
      <w:r>
        <w:rPr>
          <w:rFonts w:ascii="Calibri"/>
          <w:sz w:val="16"/>
        </w:rPr>
        <w:t>54</w:t>
      </w:r>
    </w:p>
    <w:p>
      <w:pPr>
        <w:pStyle w:val="BodyText"/>
        <w:spacing w:before="5"/>
        <w:rPr>
          <w:rFonts w:ascii="Calibri"/>
          <w:sz w:val="13"/>
        </w:rPr>
      </w:pPr>
    </w:p>
    <w:p>
      <w:pPr>
        <w:spacing w:before="68"/>
        <w:ind w:left="1371" w:right="0" w:firstLine="0"/>
        <w:jc w:val="left"/>
        <w:rPr>
          <w:rFonts w:ascii="Calibri"/>
          <w:sz w:val="16"/>
        </w:rPr>
      </w:pPr>
      <w:r>
        <w:rPr>
          <w:rFonts w:ascii="Calibri"/>
          <w:sz w:val="16"/>
        </w:rPr>
        <w:t>53</w:t>
      </w:r>
    </w:p>
    <w:p>
      <w:pPr>
        <w:pStyle w:val="BodyText"/>
        <w:spacing w:before="5"/>
        <w:rPr>
          <w:rFonts w:ascii="Calibri"/>
          <w:sz w:val="13"/>
        </w:rPr>
      </w:pPr>
    </w:p>
    <w:p>
      <w:pPr>
        <w:spacing w:before="69"/>
        <w:ind w:left="1371" w:right="0" w:firstLine="0"/>
        <w:jc w:val="left"/>
        <w:rPr>
          <w:rFonts w:ascii="Calibri"/>
          <w:sz w:val="16"/>
        </w:rPr>
      </w:pPr>
      <w:r>
        <w:rPr>
          <w:rFonts w:ascii="Calibri"/>
          <w:sz w:val="16"/>
        </w:rPr>
        <w:t>52</w:t>
      </w:r>
    </w:p>
    <w:p>
      <w:pPr>
        <w:pStyle w:val="BodyText"/>
        <w:spacing w:before="5"/>
        <w:rPr>
          <w:rFonts w:ascii="Calibri"/>
          <w:sz w:val="13"/>
        </w:rPr>
      </w:pPr>
    </w:p>
    <w:p>
      <w:pPr>
        <w:spacing w:before="69"/>
        <w:ind w:left="1371" w:right="0" w:firstLine="0"/>
        <w:jc w:val="left"/>
        <w:rPr>
          <w:rFonts w:ascii="Calibri"/>
          <w:sz w:val="16"/>
        </w:rPr>
      </w:pPr>
      <w:r>
        <w:rPr>
          <w:rFonts w:ascii="Calibri"/>
          <w:sz w:val="16"/>
        </w:rPr>
        <w:t>51</w:t>
      </w:r>
    </w:p>
    <w:p>
      <w:pPr>
        <w:pStyle w:val="BodyText"/>
        <w:spacing w:before="5"/>
        <w:rPr>
          <w:rFonts w:ascii="Calibri"/>
          <w:sz w:val="13"/>
        </w:rPr>
      </w:pPr>
    </w:p>
    <w:p>
      <w:pPr>
        <w:spacing w:before="68"/>
        <w:ind w:left="1371" w:right="0" w:firstLine="0"/>
        <w:jc w:val="left"/>
        <w:rPr>
          <w:rFonts w:ascii="Calibri"/>
          <w:sz w:val="16"/>
        </w:rPr>
      </w:pPr>
      <w:r>
        <w:rPr>
          <w:rFonts w:ascii="Calibri"/>
          <w:sz w:val="16"/>
        </w:rPr>
        <w:t>50</w:t>
      </w:r>
    </w:p>
    <w:p>
      <w:pPr>
        <w:pStyle w:val="BodyText"/>
        <w:spacing w:before="5"/>
        <w:rPr>
          <w:rFonts w:ascii="Calibri"/>
          <w:sz w:val="13"/>
        </w:rPr>
      </w:pPr>
    </w:p>
    <w:p>
      <w:pPr>
        <w:spacing w:before="69"/>
        <w:ind w:left="1371" w:right="0" w:firstLine="0"/>
        <w:jc w:val="left"/>
        <w:rPr>
          <w:rFonts w:ascii="Calibri"/>
          <w:sz w:val="16"/>
        </w:rPr>
      </w:pPr>
      <w:r>
        <w:rPr>
          <w:rFonts w:ascii="Calibri"/>
          <w:sz w:val="16"/>
        </w:rPr>
        <w:t>49</w:t>
      </w:r>
    </w:p>
    <w:p>
      <w:pPr>
        <w:pStyle w:val="BodyText"/>
        <w:spacing w:before="5"/>
        <w:rPr>
          <w:rFonts w:ascii="Calibri"/>
          <w:sz w:val="13"/>
        </w:rPr>
      </w:pPr>
    </w:p>
    <w:p>
      <w:pPr>
        <w:spacing w:before="69"/>
        <w:ind w:left="1371" w:right="0" w:firstLine="0"/>
        <w:jc w:val="left"/>
        <w:rPr>
          <w:rFonts w:ascii="Calibri"/>
          <w:sz w:val="16"/>
        </w:rPr>
      </w:pPr>
      <w:r>
        <w:rPr>
          <w:rFonts w:ascii="Calibri"/>
          <w:sz w:val="16"/>
        </w:rPr>
        <w:t>48</w:t>
      </w:r>
    </w:p>
    <w:p>
      <w:pPr>
        <w:tabs>
          <w:tab w:pos="2206" w:val="left" w:leader="none"/>
          <w:tab w:pos="2846" w:val="left" w:leader="none"/>
          <w:tab w:pos="3520" w:val="left" w:leader="none"/>
          <w:tab w:pos="4193" w:val="left" w:leader="none"/>
          <w:tab w:pos="4846" w:val="left" w:leader="none"/>
          <w:tab w:pos="5226" w:val="left" w:leader="none"/>
          <w:tab w:pos="5517" w:val="left" w:leader="none"/>
          <w:tab w:pos="6182" w:val="left" w:leader="none"/>
          <w:tab w:pos="6799" w:val="left" w:leader="none"/>
          <w:tab w:pos="7505" w:val="left" w:leader="none"/>
          <w:tab w:pos="7639" w:val="left" w:leader="none"/>
          <w:tab w:pos="8133" w:val="left" w:leader="none"/>
          <w:tab w:pos="8807" w:val="left" w:leader="none"/>
        </w:tabs>
        <w:spacing w:line="376" w:lineRule="auto" w:before="12"/>
        <w:ind w:left="2901" w:right="1508" w:hanging="1378"/>
        <w:jc w:val="left"/>
        <w:rPr>
          <w:rFonts w:ascii="Calibri"/>
          <w:sz w:val="16"/>
        </w:rPr>
      </w:pPr>
      <w:r>
        <w:rPr/>
        <w:pict>
          <v:line style="position:absolute;mso-position-horizontal-relative:page;mso-position-vertical-relative:paragraph;z-index:-266315776" from="113.419998pt,28.887169pt" to="524.489998pt,28.887169pt" stroked="true" strokeweight=".48001pt" strokecolor="#000000">
            <v:stroke dashstyle="solid"/>
            <w10:wrap type="none"/>
          </v:line>
        </w:pict>
      </w:r>
      <w:r>
        <w:rPr/>
        <w:pict>
          <v:line style="position:absolute;mso-position-horizontal-relative:page;mso-position-vertical-relative:paragraph;z-index:-266312704" from="180.800003pt,21.237175pt" to="200.000003pt,21.237175pt" stroked="true" strokeweight="2.5pt" strokecolor="#086939">
            <v:stroke dashstyle="solid"/>
            <w10:wrap type="none"/>
          </v:line>
        </w:pict>
      </w:r>
      <w:r>
        <w:rPr/>
        <w:pict>
          <v:line style="position:absolute;mso-position-horizontal-relative:page;mso-position-vertical-relative:paragraph;z-index:-266311680" from="297.010010pt,21.237175pt" to="316.21001pt,21.237175pt" stroked="true" strokeweight="2.5pt" strokecolor="#d6c700">
            <v:stroke dashstyle="solid"/>
            <w10:wrap type="none"/>
          </v:line>
        </w:pict>
      </w:r>
      <w:r>
        <w:rPr/>
        <w:pict>
          <v:line style="position:absolute;mso-position-horizontal-relative:page;mso-position-vertical-relative:paragraph;z-index:-266310656" from="417.660004pt,21.237175pt" to="436.860004pt,21.237175pt" stroked="true" strokeweight="2.5pt" strokecolor="#77923b">
            <v:stroke dashstyle="solid"/>
            <w10:wrap type="none"/>
          </v:line>
        </w:pict>
      </w:r>
      <w:r>
        <w:rPr>
          <w:rFonts w:ascii="Calibri"/>
          <w:sz w:val="16"/>
        </w:rPr>
        <w:t>gen-15</w:t>
        <w:tab/>
        <w:t>giu-15</w:t>
        <w:tab/>
        <w:t>nov-15</w:t>
        <w:tab/>
        <w:t>apr-16</w:t>
        <w:tab/>
        <w:t>set-16</w:t>
        <w:tab/>
        <w:t>feb-17</w:t>
        <w:tab/>
        <w:t>lug-17</w:t>
        <w:tab/>
        <w:t>dic-17</w:t>
        <w:tab/>
        <w:t>mag-18</w:t>
        <w:tab/>
        <w:t>ott-18</w:t>
        <w:tab/>
        <w:t>mar-19</w:t>
        <w:tab/>
      </w:r>
      <w:r>
        <w:rPr>
          <w:rFonts w:ascii="Calibri"/>
          <w:spacing w:val="-4"/>
          <w:sz w:val="16"/>
        </w:rPr>
        <w:t>ago-19 </w:t>
      </w:r>
      <w:r>
        <w:rPr>
          <w:rFonts w:ascii="Calibri"/>
          <w:sz w:val="16"/>
        </w:rPr>
        <w:t>PMI</w:t>
      </w:r>
      <w:r>
        <w:rPr>
          <w:rFonts w:ascii="Calibri"/>
          <w:spacing w:val="-2"/>
          <w:sz w:val="16"/>
        </w:rPr>
        <w:t> </w:t>
      </w:r>
      <w:r>
        <w:rPr>
          <w:rFonts w:ascii="Calibri"/>
          <w:sz w:val="16"/>
        </w:rPr>
        <w:t>composito</w:t>
        <w:tab/>
        <w:tab/>
        <w:tab/>
        <w:t>PMI</w:t>
      </w:r>
      <w:r>
        <w:rPr>
          <w:rFonts w:ascii="Calibri"/>
          <w:spacing w:val="-1"/>
          <w:sz w:val="16"/>
        </w:rPr>
        <w:t> </w:t>
      </w:r>
      <w:r>
        <w:rPr>
          <w:rFonts w:ascii="Calibri"/>
          <w:sz w:val="16"/>
        </w:rPr>
        <w:t>manifattura</w:t>
        <w:tab/>
        <w:tab/>
        <w:tab/>
        <w:t>PMI servizi</w:t>
      </w:r>
    </w:p>
    <w:p>
      <w:pPr>
        <w:spacing w:line="160" w:lineRule="exact" w:before="0"/>
        <w:ind w:left="1128" w:right="0" w:firstLine="0"/>
        <w:jc w:val="left"/>
        <w:rPr>
          <w:rFonts w:ascii="Franklin Gothic Book"/>
          <w:sz w:val="16"/>
        </w:rPr>
      </w:pPr>
      <w:r>
        <w:rPr/>
        <w:pict>
          <v:line style="position:absolute;mso-position-horizontal-relative:page;mso-position-vertical-relative:paragraph;z-index:-251626496;mso-wrap-distance-left:0;mso-wrap-distance-right:0" from="112.699997pt,9.998750pt" to="524.489997pt,9.998750pt" stroked="true" strokeweight="1.44pt" strokecolor="#086d44">
            <v:stroke dashstyle="solid"/>
            <w10:wrap type="topAndBottom"/>
          </v:line>
        </w:pict>
      </w:r>
      <w:r>
        <w:rPr>
          <w:rFonts w:ascii="Franklin Gothic Book"/>
          <w:sz w:val="16"/>
        </w:rPr>
        <w:t>Fonte: Markit.</w:t>
      </w:r>
    </w:p>
    <w:p>
      <w:pPr>
        <w:pStyle w:val="BodyText"/>
        <w:spacing w:before="3"/>
        <w:rPr>
          <w:rFonts w:ascii="Franklin Gothic Book"/>
          <w:sz w:val="11"/>
        </w:rPr>
      </w:pPr>
    </w:p>
    <w:p>
      <w:pPr>
        <w:pStyle w:val="BodyText"/>
        <w:spacing w:line="252" w:lineRule="auto" w:before="101"/>
        <w:ind w:left="1128" w:right="1409" w:firstLine="283"/>
        <w:jc w:val="both"/>
      </w:pPr>
      <w:r>
        <w:rPr/>
        <w:t>Rispetto</w:t>
      </w:r>
      <w:r>
        <w:rPr>
          <w:spacing w:val="-21"/>
        </w:rPr>
        <w:t> </w:t>
      </w:r>
      <w:r>
        <w:rPr/>
        <w:t>al</w:t>
      </w:r>
      <w:r>
        <w:rPr>
          <w:spacing w:val="-20"/>
        </w:rPr>
        <w:t> </w:t>
      </w:r>
      <w:r>
        <w:rPr/>
        <w:t>contesto</w:t>
      </w:r>
      <w:r>
        <w:rPr>
          <w:spacing w:val="-20"/>
        </w:rPr>
        <w:t> </w:t>
      </w:r>
      <w:r>
        <w:rPr/>
        <w:t>macroeconomico</w:t>
      </w:r>
      <w:r>
        <w:rPr>
          <w:spacing w:val="-20"/>
        </w:rPr>
        <w:t> </w:t>
      </w:r>
      <w:r>
        <w:rPr/>
        <w:t>dello</w:t>
      </w:r>
      <w:r>
        <w:rPr>
          <w:spacing w:val="-20"/>
        </w:rPr>
        <w:t> </w:t>
      </w:r>
      <w:r>
        <w:rPr/>
        <w:t>scorso</w:t>
      </w:r>
      <w:r>
        <w:rPr>
          <w:spacing w:val="-20"/>
        </w:rPr>
        <w:t> </w:t>
      </w:r>
      <w:r>
        <w:rPr/>
        <w:t>anno,</w:t>
      </w:r>
      <w:r>
        <w:rPr>
          <w:spacing w:val="-19"/>
        </w:rPr>
        <w:t> </w:t>
      </w:r>
      <w:r>
        <w:rPr/>
        <w:t>inoltre,</w:t>
      </w:r>
      <w:r>
        <w:rPr>
          <w:spacing w:val="-19"/>
        </w:rPr>
        <w:t> </w:t>
      </w:r>
      <w:r>
        <w:rPr/>
        <w:t>al</w:t>
      </w:r>
      <w:r>
        <w:rPr>
          <w:spacing w:val="-20"/>
        </w:rPr>
        <w:t> </w:t>
      </w:r>
      <w:r>
        <w:rPr/>
        <w:t>rallentamento dell’Eurozona e di alcune grandi economie emergenti si è recentemente unita una moderazione del ritmo di crescita anche degli Stati Uniti. Dopo un’espansione ancora</w:t>
      </w:r>
      <w:r>
        <w:rPr>
          <w:spacing w:val="-14"/>
        </w:rPr>
        <w:t> </w:t>
      </w:r>
      <w:r>
        <w:rPr/>
        <w:t>robusta</w:t>
      </w:r>
      <w:r>
        <w:rPr>
          <w:spacing w:val="-14"/>
        </w:rPr>
        <w:t> </w:t>
      </w:r>
      <w:r>
        <w:rPr/>
        <w:t>del</w:t>
      </w:r>
      <w:r>
        <w:rPr>
          <w:spacing w:val="-14"/>
        </w:rPr>
        <w:t> </w:t>
      </w:r>
      <w:r>
        <w:rPr/>
        <w:t>PIL</w:t>
      </w:r>
      <w:r>
        <w:rPr>
          <w:spacing w:val="-13"/>
        </w:rPr>
        <w:t> </w:t>
      </w:r>
      <w:r>
        <w:rPr/>
        <w:t>nel</w:t>
      </w:r>
      <w:r>
        <w:rPr>
          <w:spacing w:val="-14"/>
        </w:rPr>
        <w:t> </w:t>
      </w:r>
      <w:r>
        <w:rPr/>
        <w:t>primo</w:t>
      </w:r>
      <w:r>
        <w:rPr>
          <w:spacing w:val="-14"/>
        </w:rPr>
        <w:t> </w:t>
      </w:r>
      <w:r>
        <w:rPr/>
        <w:t>trimestre,</w:t>
      </w:r>
      <w:r>
        <w:rPr>
          <w:spacing w:val="-11"/>
        </w:rPr>
        <w:t> </w:t>
      </w:r>
      <w:r>
        <w:rPr/>
        <w:t>infatti,</w:t>
      </w:r>
      <w:r>
        <w:rPr>
          <w:spacing w:val="-13"/>
        </w:rPr>
        <w:t> </w:t>
      </w:r>
      <w:r>
        <w:rPr/>
        <w:t>nel</w:t>
      </w:r>
      <w:r>
        <w:rPr>
          <w:spacing w:val="-14"/>
        </w:rPr>
        <w:t> </w:t>
      </w:r>
      <w:r>
        <w:rPr/>
        <w:t>secondo</w:t>
      </w:r>
      <w:r>
        <w:rPr>
          <w:spacing w:val="-14"/>
        </w:rPr>
        <w:t> </w:t>
      </w:r>
      <w:r>
        <w:rPr/>
        <w:t>trimestre</w:t>
      </w:r>
      <w:r>
        <w:rPr>
          <w:spacing w:val="-13"/>
        </w:rPr>
        <w:t> </w:t>
      </w:r>
      <w:r>
        <w:rPr/>
        <w:t>la</w:t>
      </w:r>
      <w:r>
        <w:rPr>
          <w:spacing w:val="-15"/>
        </w:rPr>
        <w:t> </w:t>
      </w:r>
      <w:r>
        <w:rPr/>
        <w:t>crescita si è fermata al 2 per cento t/t (dal 3,1 per cento del trimestre precedente) ed è stata sostenuta principalmente dai consumi pubblici. Le prospettive per i prossimi mesi sembrano orientate verso un’ulteriore decelerazione dell’economia USA. Nel terzo</w:t>
      </w:r>
      <w:r>
        <w:rPr>
          <w:spacing w:val="-12"/>
        </w:rPr>
        <w:t> </w:t>
      </w:r>
      <w:r>
        <w:rPr/>
        <w:t>trimestre</w:t>
      </w:r>
      <w:r>
        <w:rPr>
          <w:spacing w:val="-11"/>
        </w:rPr>
        <w:t> </w:t>
      </w:r>
      <w:r>
        <w:rPr/>
        <w:t>dell’anno</w:t>
      </w:r>
      <w:r>
        <w:rPr>
          <w:spacing w:val="-13"/>
        </w:rPr>
        <w:t> </w:t>
      </w:r>
      <w:r>
        <w:rPr/>
        <w:t>comincia</w:t>
      </w:r>
      <w:r>
        <w:rPr>
          <w:spacing w:val="-12"/>
        </w:rPr>
        <w:t> </w:t>
      </w:r>
      <w:r>
        <w:rPr/>
        <w:t>a</w:t>
      </w:r>
      <w:r>
        <w:rPr>
          <w:spacing w:val="-11"/>
        </w:rPr>
        <w:t> </w:t>
      </w:r>
      <w:r>
        <w:rPr/>
        <w:t>rallentare</w:t>
      </w:r>
      <w:r>
        <w:rPr>
          <w:spacing w:val="-11"/>
        </w:rPr>
        <w:t> </w:t>
      </w:r>
      <w:r>
        <w:rPr/>
        <w:t>il</w:t>
      </w:r>
      <w:r>
        <w:rPr>
          <w:spacing w:val="-12"/>
        </w:rPr>
        <w:t> </w:t>
      </w:r>
      <w:r>
        <w:rPr/>
        <w:t>passo</w:t>
      </w:r>
      <w:r>
        <w:rPr>
          <w:spacing w:val="-12"/>
        </w:rPr>
        <w:t> </w:t>
      </w:r>
      <w:r>
        <w:rPr/>
        <w:t>anche</w:t>
      </w:r>
      <w:r>
        <w:rPr>
          <w:spacing w:val="-12"/>
        </w:rPr>
        <w:t> </w:t>
      </w:r>
      <w:r>
        <w:rPr/>
        <w:t>il</w:t>
      </w:r>
      <w:r>
        <w:rPr>
          <w:spacing w:val="-12"/>
        </w:rPr>
        <w:t> </w:t>
      </w:r>
      <w:r>
        <w:rPr/>
        <w:t>mercato</w:t>
      </w:r>
      <w:r>
        <w:rPr>
          <w:spacing w:val="-9"/>
        </w:rPr>
        <w:t> </w:t>
      </w:r>
      <w:r>
        <w:rPr/>
        <w:t>del</w:t>
      </w:r>
      <w:r>
        <w:rPr>
          <w:spacing w:val="-12"/>
        </w:rPr>
        <w:t> </w:t>
      </w:r>
      <w:r>
        <w:rPr/>
        <w:t>lavoro, con</w:t>
      </w:r>
      <w:r>
        <w:rPr>
          <w:spacing w:val="-6"/>
        </w:rPr>
        <w:t> </w:t>
      </w:r>
      <w:r>
        <w:rPr/>
        <w:t>l’occupazione</w:t>
      </w:r>
      <w:r>
        <w:rPr>
          <w:spacing w:val="-8"/>
        </w:rPr>
        <w:t> </w:t>
      </w:r>
      <w:r>
        <w:rPr/>
        <w:t>che</w:t>
      </w:r>
      <w:r>
        <w:rPr>
          <w:spacing w:val="-7"/>
        </w:rPr>
        <w:t> </w:t>
      </w:r>
      <w:r>
        <w:rPr/>
        <w:t>aumenta</w:t>
      </w:r>
      <w:r>
        <w:rPr>
          <w:spacing w:val="-6"/>
        </w:rPr>
        <w:t> </w:t>
      </w:r>
      <w:r>
        <w:rPr/>
        <w:t>in</w:t>
      </w:r>
      <w:r>
        <w:rPr>
          <w:spacing w:val="-6"/>
        </w:rPr>
        <w:t> </w:t>
      </w:r>
      <w:r>
        <w:rPr/>
        <w:t>misura</w:t>
      </w:r>
      <w:r>
        <w:rPr>
          <w:spacing w:val="-5"/>
        </w:rPr>
        <w:t> </w:t>
      </w:r>
      <w:r>
        <w:rPr/>
        <w:t>inferiore</w:t>
      </w:r>
      <w:r>
        <w:rPr>
          <w:spacing w:val="-5"/>
        </w:rPr>
        <w:t> </w:t>
      </w:r>
      <w:r>
        <w:rPr/>
        <w:t>alle</w:t>
      </w:r>
      <w:r>
        <w:rPr>
          <w:spacing w:val="-5"/>
        </w:rPr>
        <w:t> </w:t>
      </w:r>
      <w:r>
        <w:rPr/>
        <w:t>attese,</w:t>
      </w:r>
      <w:r>
        <w:rPr>
          <w:spacing w:val="-4"/>
        </w:rPr>
        <w:t> </w:t>
      </w:r>
      <w:r>
        <w:rPr/>
        <w:t>sia</w:t>
      </w:r>
      <w:r>
        <w:rPr>
          <w:spacing w:val="-6"/>
        </w:rPr>
        <w:t> </w:t>
      </w:r>
      <w:r>
        <w:rPr/>
        <w:t>pure</w:t>
      </w:r>
      <w:r>
        <w:rPr>
          <w:spacing w:val="-5"/>
        </w:rPr>
        <w:t> </w:t>
      </w:r>
      <w:r>
        <w:rPr/>
        <w:t>in</w:t>
      </w:r>
      <w:r>
        <w:rPr>
          <w:spacing w:val="-5"/>
        </w:rPr>
        <w:t> </w:t>
      </w:r>
      <w:r>
        <w:rPr/>
        <w:t>presenza di</w:t>
      </w:r>
      <w:r>
        <w:rPr>
          <w:spacing w:val="-13"/>
        </w:rPr>
        <w:t> </w:t>
      </w:r>
      <w:r>
        <w:rPr/>
        <w:t>un</w:t>
      </w:r>
      <w:r>
        <w:rPr>
          <w:spacing w:val="-12"/>
        </w:rPr>
        <w:t> </w:t>
      </w:r>
      <w:r>
        <w:rPr/>
        <w:t>tasso</w:t>
      </w:r>
      <w:r>
        <w:rPr>
          <w:spacing w:val="-12"/>
        </w:rPr>
        <w:t> </w:t>
      </w:r>
      <w:r>
        <w:rPr/>
        <w:t>di</w:t>
      </w:r>
      <w:r>
        <w:rPr>
          <w:spacing w:val="-12"/>
        </w:rPr>
        <w:t> </w:t>
      </w:r>
      <w:r>
        <w:rPr/>
        <w:t>disoccupazione</w:t>
      </w:r>
      <w:r>
        <w:rPr>
          <w:spacing w:val="-12"/>
        </w:rPr>
        <w:t> </w:t>
      </w:r>
      <w:r>
        <w:rPr/>
        <w:t>ancora</w:t>
      </w:r>
      <w:r>
        <w:rPr>
          <w:spacing w:val="-12"/>
        </w:rPr>
        <w:t> </w:t>
      </w:r>
      <w:r>
        <w:rPr/>
        <w:t>stabile</w:t>
      </w:r>
      <w:r>
        <w:rPr>
          <w:spacing w:val="-12"/>
        </w:rPr>
        <w:t> </w:t>
      </w:r>
      <w:r>
        <w:rPr/>
        <w:t>su</w:t>
      </w:r>
      <w:r>
        <w:rPr>
          <w:spacing w:val="-12"/>
        </w:rPr>
        <w:t> </w:t>
      </w:r>
      <w:r>
        <w:rPr/>
        <w:t>livelli</w:t>
      </w:r>
      <w:r>
        <w:rPr>
          <w:spacing w:val="-12"/>
        </w:rPr>
        <w:t> </w:t>
      </w:r>
      <w:r>
        <w:rPr/>
        <w:t>molto</w:t>
      </w:r>
      <w:r>
        <w:rPr>
          <w:spacing w:val="-12"/>
        </w:rPr>
        <w:t> </w:t>
      </w:r>
      <w:r>
        <w:rPr/>
        <w:t>contenuti</w:t>
      </w:r>
      <w:r>
        <w:rPr>
          <w:spacing w:val="-12"/>
        </w:rPr>
        <w:t> </w:t>
      </w:r>
      <w:r>
        <w:rPr/>
        <w:t>(3,7</w:t>
      </w:r>
      <w:r>
        <w:rPr>
          <w:spacing w:val="-11"/>
        </w:rPr>
        <w:t> </w:t>
      </w:r>
      <w:r>
        <w:rPr/>
        <w:t>per</w:t>
      </w:r>
      <w:r>
        <w:rPr>
          <w:spacing w:val="-11"/>
        </w:rPr>
        <w:t> </w:t>
      </w:r>
      <w:r>
        <w:rPr/>
        <w:t>cento ad</w:t>
      </w:r>
      <w:r>
        <w:rPr>
          <w:spacing w:val="-1"/>
        </w:rPr>
        <w:t> </w:t>
      </w:r>
      <w:r>
        <w:rPr/>
        <w:t>agosto).</w:t>
      </w:r>
    </w:p>
    <w:p>
      <w:pPr>
        <w:pStyle w:val="BodyText"/>
        <w:spacing w:line="252" w:lineRule="auto"/>
        <w:ind w:left="1128" w:right="1412" w:firstLine="283"/>
        <w:jc w:val="both"/>
      </w:pPr>
      <w:r>
        <w:rPr/>
        <w:t>L’economia americana potrebbe quindi stare sperimentando una decelerazione che non è soltanto la naturale evoluzione di un ciclo ormai maturo, ma che risente anche del rallentamento globale innescato dalle tensioni commerciali e geopolitiche. I margini espansivi di politica fiscale appaiono limitati. Secondo le previsioni di consenso la crescita del PIL americano nel 2019 si fermerà all’1,8 per cento, oltre 1 punto al di sotto del risultato dello scorso anno (2,9 per cento).</w:t>
      </w:r>
    </w:p>
    <w:p>
      <w:pPr>
        <w:pStyle w:val="BodyText"/>
        <w:spacing w:line="252" w:lineRule="auto" w:before="1"/>
        <w:ind w:left="1128" w:right="1411" w:firstLine="283"/>
        <w:jc w:val="both"/>
      </w:pPr>
      <w:r>
        <w:rPr/>
        <w:t>Per quanto riguarda la Cina, sebbene i risultati macroeconomici abbiano mostrato tassi di espansione ancora robusti, nel corso di quest’anno si sono accentuati i segnali di decelerazione: nel secondo trimestre di quest’anno il PIL cinese è cresciuto ad un tasso tendenziale del 6,2 per cento (dal 6,4 per cento del 1T) facendo registrare il ritmo di espansione più contenuto degli ultimi 17 anni. Anche</w:t>
      </w:r>
      <w:r>
        <w:rPr>
          <w:spacing w:val="-14"/>
        </w:rPr>
        <w:t> </w:t>
      </w:r>
      <w:r>
        <w:rPr/>
        <w:t>se</w:t>
      </w:r>
      <w:r>
        <w:rPr>
          <w:spacing w:val="-15"/>
        </w:rPr>
        <w:t> </w:t>
      </w:r>
      <w:r>
        <w:rPr/>
        <w:t>la</w:t>
      </w:r>
      <w:r>
        <w:rPr>
          <w:spacing w:val="-13"/>
        </w:rPr>
        <w:t> </w:t>
      </w:r>
      <w:r>
        <w:rPr/>
        <w:t>domanda</w:t>
      </w:r>
      <w:r>
        <w:rPr>
          <w:spacing w:val="-13"/>
        </w:rPr>
        <w:t> </w:t>
      </w:r>
      <w:r>
        <w:rPr/>
        <w:t>interna</w:t>
      </w:r>
      <w:r>
        <w:rPr>
          <w:spacing w:val="-13"/>
        </w:rPr>
        <w:t> </w:t>
      </w:r>
      <w:r>
        <w:rPr/>
        <w:t>continua</w:t>
      </w:r>
      <w:r>
        <w:rPr>
          <w:spacing w:val="-14"/>
        </w:rPr>
        <w:t> </w:t>
      </w:r>
      <w:r>
        <w:rPr/>
        <w:t>a</w:t>
      </w:r>
      <w:r>
        <w:rPr>
          <w:spacing w:val="-13"/>
        </w:rPr>
        <w:t> </w:t>
      </w:r>
      <w:r>
        <w:rPr/>
        <w:t>sostenere</w:t>
      </w:r>
      <w:r>
        <w:rPr>
          <w:spacing w:val="-14"/>
        </w:rPr>
        <w:t> </w:t>
      </w:r>
      <w:r>
        <w:rPr/>
        <w:t>la</w:t>
      </w:r>
      <w:r>
        <w:rPr>
          <w:spacing w:val="-16"/>
        </w:rPr>
        <w:t> </w:t>
      </w:r>
      <w:r>
        <w:rPr/>
        <w:t>crescita,</w:t>
      </w:r>
      <w:r>
        <w:rPr>
          <w:spacing w:val="-12"/>
        </w:rPr>
        <w:t> </w:t>
      </w:r>
      <w:r>
        <w:rPr/>
        <w:t>grazie</w:t>
      </w:r>
      <w:r>
        <w:rPr>
          <w:spacing w:val="-13"/>
        </w:rPr>
        <w:t> </w:t>
      </w:r>
      <w:r>
        <w:rPr/>
        <w:t>all’incremento dei consumi ed alla stabilità degli investimenti delle imprese, è venuto meno il contributo del settore estero e risulta molto debole quello dell’edilizia. La Cina si trova infatti a dover fronteggiare sia le ripercussioni della guerra commerciale</w:t>
      </w:r>
      <w:r>
        <w:rPr>
          <w:spacing w:val="3"/>
        </w:rPr>
        <w:t> </w:t>
      </w:r>
      <w:r>
        <w:rPr/>
        <w:t>con</w:t>
      </w:r>
    </w:p>
    <w:p>
      <w:pPr>
        <w:spacing w:after="0" w:line="252" w:lineRule="auto"/>
        <w:jc w:val="both"/>
        <w:sectPr>
          <w:headerReference w:type="even" r:id="rId46"/>
          <w:headerReference w:type="default" r:id="rId47"/>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278" w:right="2262"/>
        <w:jc w:val="both"/>
      </w:pPr>
      <w:r>
        <w:rPr/>
        <w:t>gli Stati Uniti, sia quelle derivanti dalla stretta al sistema creditizio che il Governo ha dovuto apportare per far fronte al problema dello </w:t>
      </w:r>
      <w:r>
        <w:rPr>
          <w:i/>
        </w:rPr>
        <w:t>shadow banking</w:t>
      </w:r>
      <w:r>
        <w:rPr/>
        <w:t>. L’insieme di questi</w:t>
      </w:r>
      <w:r>
        <w:rPr>
          <w:spacing w:val="-8"/>
        </w:rPr>
        <w:t> </w:t>
      </w:r>
      <w:r>
        <w:rPr/>
        <w:t>fattori,</w:t>
      </w:r>
      <w:r>
        <w:rPr>
          <w:spacing w:val="-6"/>
        </w:rPr>
        <w:t> </w:t>
      </w:r>
      <w:r>
        <w:rPr/>
        <w:t>unitamente</w:t>
      </w:r>
      <w:r>
        <w:rPr>
          <w:spacing w:val="-7"/>
        </w:rPr>
        <w:t> </w:t>
      </w:r>
      <w:r>
        <w:rPr/>
        <w:t>agli</w:t>
      </w:r>
      <w:r>
        <w:rPr>
          <w:spacing w:val="-8"/>
        </w:rPr>
        <w:t> </w:t>
      </w:r>
      <w:r>
        <w:rPr/>
        <w:t>ulteriori</w:t>
      </w:r>
      <w:r>
        <w:rPr>
          <w:spacing w:val="-6"/>
        </w:rPr>
        <w:t> </w:t>
      </w:r>
      <w:r>
        <w:rPr/>
        <w:t>segnali</w:t>
      </w:r>
      <w:r>
        <w:rPr>
          <w:spacing w:val="-7"/>
        </w:rPr>
        <w:t> </w:t>
      </w:r>
      <w:r>
        <w:rPr/>
        <w:t>di</w:t>
      </w:r>
      <w:r>
        <w:rPr>
          <w:spacing w:val="-7"/>
        </w:rPr>
        <w:t> </w:t>
      </w:r>
      <w:r>
        <w:rPr/>
        <w:t>debolezza</w:t>
      </w:r>
      <w:r>
        <w:rPr>
          <w:spacing w:val="-8"/>
        </w:rPr>
        <w:t> </w:t>
      </w:r>
      <w:r>
        <w:rPr/>
        <w:t>emersi</w:t>
      </w:r>
      <w:r>
        <w:rPr>
          <w:spacing w:val="-7"/>
        </w:rPr>
        <w:t> </w:t>
      </w:r>
      <w:r>
        <w:rPr/>
        <w:t>dai</w:t>
      </w:r>
      <w:r>
        <w:rPr>
          <w:spacing w:val="-7"/>
        </w:rPr>
        <w:t> </w:t>
      </w:r>
      <w:r>
        <w:rPr/>
        <w:t>recenti</w:t>
      </w:r>
      <w:r>
        <w:rPr>
          <w:spacing w:val="-7"/>
        </w:rPr>
        <w:t> </w:t>
      </w:r>
      <w:r>
        <w:rPr/>
        <w:t>dati congiunturali – tra cui la produzione industriale – hanno portato l’OCSE a rivedere al</w:t>
      </w:r>
      <w:r>
        <w:rPr>
          <w:spacing w:val="-16"/>
        </w:rPr>
        <w:t> </w:t>
      </w:r>
      <w:r>
        <w:rPr/>
        <w:t>ribasso</w:t>
      </w:r>
      <w:r>
        <w:rPr>
          <w:spacing w:val="-16"/>
        </w:rPr>
        <w:t> </w:t>
      </w:r>
      <w:r>
        <w:rPr/>
        <w:t>le</w:t>
      </w:r>
      <w:r>
        <w:rPr>
          <w:spacing w:val="-17"/>
        </w:rPr>
        <w:t> </w:t>
      </w:r>
      <w:r>
        <w:rPr/>
        <w:t>proprie</w:t>
      </w:r>
      <w:r>
        <w:rPr>
          <w:spacing w:val="-16"/>
        </w:rPr>
        <w:t> </w:t>
      </w:r>
      <w:r>
        <w:rPr/>
        <w:t>stime,</w:t>
      </w:r>
      <w:r>
        <w:rPr>
          <w:spacing w:val="-16"/>
        </w:rPr>
        <w:t> </w:t>
      </w:r>
      <w:r>
        <w:rPr/>
        <w:t>portandole</w:t>
      </w:r>
      <w:r>
        <w:rPr>
          <w:spacing w:val="-16"/>
        </w:rPr>
        <w:t> </w:t>
      </w:r>
      <w:r>
        <w:rPr/>
        <w:t>al</w:t>
      </w:r>
      <w:r>
        <w:rPr>
          <w:spacing w:val="-16"/>
        </w:rPr>
        <w:t> </w:t>
      </w:r>
      <w:r>
        <w:rPr/>
        <w:t>6,1</w:t>
      </w:r>
      <w:r>
        <w:rPr>
          <w:spacing w:val="-16"/>
        </w:rPr>
        <w:t> </w:t>
      </w:r>
      <w:r>
        <w:rPr/>
        <w:t>per</w:t>
      </w:r>
      <w:r>
        <w:rPr>
          <w:spacing w:val="-13"/>
        </w:rPr>
        <w:t> </w:t>
      </w:r>
      <w:r>
        <w:rPr/>
        <w:t>cento</w:t>
      </w:r>
      <w:r>
        <w:rPr>
          <w:spacing w:val="-17"/>
        </w:rPr>
        <w:t> </w:t>
      </w:r>
      <w:r>
        <w:rPr/>
        <w:t>quest’anno</w:t>
      </w:r>
      <w:r>
        <w:rPr>
          <w:spacing w:val="-16"/>
        </w:rPr>
        <w:t> </w:t>
      </w:r>
      <w:r>
        <w:rPr/>
        <w:t>e</w:t>
      </w:r>
      <w:r>
        <w:rPr>
          <w:spacing w:val="-16"/>
        </w:rPr>
        <w:t> </w:t>
      </w:r>
      <w:r>
        <w:rPr/>
        <w:t>al</w:t>
      </w:r>
      <w:r>
        <w:rPr>
          <w:spacing w:val="-15"/>
        </w:rPr>
        <w:t> </w:t>
      </w:r>
      <w:r>
        <w:rPr/>
        <w:t>5,7</w:t>
      </w:r>
      <w:r>
        <w:rPr>
          <w:spacing w:val="-17"/>
        </w:rPr>
        <w:t> </w:t>
      </w:r>
      <w:r>
        <w:rPr/>
        <w:t>per</w:t>
      </w:r>
      <w:r>
        <w:rPr>
          <w:spacing w:val="-14"/>
        </w:rPr>
        <w:t> </w:t>
      </w:r>
      <w:r>
        <w:rPr/>
        <w:t>cento nel</w:t>
      </w:r>
      <w:r>
        <w:rPr>
          <w:spacing w:val="-1"/>
        </w:rPr>
        <w:t> </w:t>
      </w:r>
      <w:r>
        <w:rPr/>
        <w:t>2020.</w:t>
      </w:r>
    </w:p>
    <w:p>
      <w:pPr>
        <w:pStyle w:val="BodyText"/>
        <w:spacing w:line="252" w:lineRule="auto" w:before="1"/>
        <w:ind w:left="278" w:right="2262" w:firstLine="283"/>
        <w:jc w:val="both"/>
      </w:pPr>
      <w:r>
        <w:rPr/>
        <w:t>L’affievolirsi della forza trainante dell’economia cinese e il rallentamento del commercio mondiale si ripercuotono anche sull’altra principale economia asiatica, il</w:t>
      </w:r>
      <w:r>
        <w:rPr>
          <w:spacing w:val="-12"/>
        </w:rPr>
        <w:t> </w:t>
      </w:r>
      <w:r>
        <w:rPr/>
        <w:t>Giappone.</w:t>
      </w:r>
      <w:r>
        <w:rPr>
          <w:spacing w:val="-9"/>
        </w:rPr>
        <w:t> </w:t>
      </w:r>
      <w:r>
        <w:rPr/>
        <w:t>L’economia</w:t>
      </w:r>
      <w:r>
        <w:rPr>
          <w:spacing w:val="-13"/>
        </w:rPr>
        <w:t> </w:t>
      </w:r>
      <w:r>
        <w:rPr/>
        <w:t>nipponica</w:t>
      </w:r>
      <w:r>
        <w:rPr>
          <w:spacing w:val="-11"/>
        </w:rPr>
        <w:t> </w:t>
      </w:r>
      <w:r>
        <w:rPr/>
        <w:t>ha</w:t>
      </w:r>
      <w:r>
        <w:rPr>
          <w:spacing w:val="-11"/>
        </w:rPr>
        <w:t> </w:t>
      </w:r>
      <w:r>
        <w:rPr/>
        <w:t>rallentato</w:t>
      </w:r>
      <w:r>
        <w:rPr>
          <w:spacing w:val="-12"/>
        </w:rPr>
        <w:t> </w:t>
      </w:r>
      <w:r>
        <w:rPr/>
        <w:t>nel</w:t>
      </w:r>
      <w:r>
        <w:rPr>
          <w:spacing w:val="-10"/>
        </w:rPr>
        <w:t> </w:t>
      </w:r>
      <w:r>
        <w:rPr/>
        <w:t>secondo</w:t>
      </w:r>
      <w:r>
        <w:rPr>
          <w:spacing w:val="-11"/>
        </w:rPr>
        <w:t> </w:t>
      </w:r>
      <w:r>
        <w:rPr/>
        <w:t>trimestre</w:t>
      </w:r>
      <w:r>
        <w:rPr>
          <w:spacing w:val="-10"/>
        </w:rPr>
        <w:t> </w:t>
      </w:r>
      <w:r>
        <w:rPr/>
        <w:t>dell’anno</w:t>
      </w:r>
      <w:r>
        <w:rPr>
          <w:spacing w:val="-11"/>
        </w:rPr>
        <w:t> </w:t>
      </w:r>
      <w:r>
        <w:rPr/>
        <w:t>ad un</w:t>
      </w:r>
      <w:r>
        <w:rPr>
          <w:spacing w:val="-7"/>
        </w:rPr>
        <w:t> </w:t>
      </w:r>
      <w:r>
        <w:rPr/>
        <w:t>tasso</w:t>
      </w:r>
      <w:r>
        <w:rPr>
          <w:spacing w:val="-7"/>
        </w:rPr>
        <w:t> </w:t>
      </w:r>
      <w:r>
        <w:rPr/>
        <w:t>annualizzato</w:t>
      </w:r>
      <w:r>
        <w:rPr>
          <w:spacing w:val="-7"/>
        </w:rPr>
        <w:t> </w:t>
      </w:r>
      <w:r>
        <w:rPr/>
        <w:t>dell’1,3</w:t>
      </w:r>
      <w:r>
        <w:rPr>
          <w:spacing w:val="-6"/>
        </w:rPr>
        <w:t> </w:t>
      </w:r>
      <w:r>
        <w:rPr/>
        <w:t>per</w:t>
      </w:r>
      <w:r>
        <w:rPr>
          <w:spacing w:val="-8"/>
        </w:rPr>
        <w:t> </w:t>
      </w:r>
      <w:r>
        <w:rPr/>
        <w:t>cento:</w:t>
      </w:r>
      <w:r>
        <w:rPr>
          <w:spacing w:val="-6"/>
        </w:rPr>
        <w:t> </w:t>
      </w:r>
      <w:r>
        <w:rPr/>
        <w:t>anche</w:t>
      </w:r>
      <w:r>
        <w:rPr>
          <w:spacing w:val="-7"/>
        </w:rPr>
        <w:t> </w:t>
      </w:r>
      <w:r>
        <w:rPr/>
        <w:t>in</w:t>
      </w:r>
      <w:r>
        <w:rPr>
          <w:spacing w:val="-7"/>
        </w:rPr>
        <w:t> </w:t>
      </w:r>
      <w:r>
        <w:rPr/>
        <w:t>questo</w:t>
      </w:r>
      <w:r>
        <w:rPr>
          <w:spacing w:val="-7"/>
        </w:rPr>
        <w:t> </w:t>
      </w:r>
      <w:r>
        <w:rPr/>
        <w:t>caso,</w:t>
      </w:r>
      <w:r>
        <w:rPr>
          <w:spacing w:val="-6"/>
        </w:rPr>
        <w:t> </w:t>
      </w:r>
      <w:r>
        <w:rPr/>
        <w:t>è</w:t>
      </w:r>
      <w:r>
        <w:rPr>
          <w:spacing w:val="-7"/>
        </w:rPr>
        <w:t> </w:t>
      </w:r>
      <w:r>
        <w:rPr/>
        <w:t>venuto</w:t>
      </w:r>
      <w:r>
        <w:rPr>
          <w:spacing w:val="-5"/>
        </w:rPr>
        <w:t> </w:t>
      </w:r>
      <w:r>
        <w:rPr/>
        <w:t>a</w:t>
      </w:r>
      <w:r>
        <w:rPr>
          <w:spacing w:val="-7"/>
        </w:rPr>
        <w:t> </w:t>
      </w:r>
      <w:r>
        <w:rPr/>
        <w:t>mancare il contributo dell’export e si è riscontrata una moderazione degli investimenti privati,</w:t>
      </w:r>
      <w:r>
        <w:rPr>
          <w:spacing w:val="-11"/>
        </w:rPr>
        <w:t> </w:t>
      </w:r>
      <w:r>
        <w:rPr/>
        <w:t>soprattutto</w:t>
      </w:r>
      <w:r>
        <w:rPr>
          <w:spacing w:val="-12"/>
        </w:rPr>
        <w:t> </w:t>
      </w:r>
      <w:r>
        <w:rPr/>
        <w:t>da</w:t>
      </w:r>
      <w:r>
        <w:rPr>
          <w:spacing w:val="-12"/>
        </w:rPr>
        <w:t> </w:t>
      </w:r>
      <w:r>
        <w:rPr/>
        <w:t>parte</w:t>
      </w:r>
      <w:r>
        <w:rPr>
          <w:spacing w:val="-11"/>
        </w:rPr>
        <w:t> </w:t>
      </w:r>
      <w:r>
        <w:rPr/>
        <w:t>di</w:t>
      </w:r>
      <w:r>
        <w:rPr>
          <w:spacing w:val="-12"/>
        </w:rPr>
        <w:t> </w:t>
      </w:r>
      <w:r>
        <w:rPr/>
        <w:t>quelle</w:t>
      </w:r>
      <w:r>
        <w:rPr>
          <w:spacing w:val="-12"/>
        </w:rPr>
        <w:t> </w:t>
      </w:r>
      <w:r>
        <w:rPr/>
        <w:t>aziende</w:t>
      </w:r>
      <w:r>
        <w:rPr>
          <w:spacing w:val="-11"/>
        </w:rPr>
        <w:t> </w:t>
      </w:r>
      <w:r>
        <w:rPr/>
        <w:t>più</w:t>
      </w:r>
      <w:r>
        <w:rPr>
          <w:spacing w:val="-12"/>
        </w:rPr>
        <w:t> </w:t>
      </w:r>
      <w:r>
        <w:rPr/>
        <w:t>esposte</w:t>
      </w:r>
      <w:r>
        <w:rPr>
          <w:spacing w:val="-12"/>
        </w:rPr>
        <w:t> </w:t>
      </w:r>
      <w:r>
        <w:rPr/>
        <w:t>verso</w:t>
      </w:r>
      <w:r>
        <w:rPr>
          <w:spacing w:val="-12"/>
        </w:rPr>
        <w:t> </w:t>
      </w:r>
      <w:r>
        <w:rPr/>
        <w:t>l’estero.</w:t>
      </w:r>
      <w:r>
        <w:rPr>
          <w:spacing w:val="-11"/>
        </w:rPr>
        <w:t> </w:t>
      </w:r>
      <w:r>
        <w:rPr/>
        <w:t>In</w:t>
      </w:r>
      <w:r>
        <w:rPr>
          <w:spacing w:val="-12"/>
        </w:rPr>
        <w:t> </w:t>
      </w:r>
      <w:r>
        <w:rPr/>
        <w:t>assenza di un miglioramento del contesto internazionale, la domanda interna potrebbe ancora reggere nel terzo trimestre, grazie ad una politica fiscale espansiva e ad un possibile anticipo di consumi privati prima dell’incremento dell’imposta sulle vendite in ottobre, ma in chiusura d’anno anche questo supporto potrebbe indebolirsi.</w:t>
      </w:r>
      <w:r>
        <w:rPr>
          <w:spacing w:val="-16"/>
        </w:rPr>
        <w:t> </w:t>
      </w:r>
      <w:r>
        <w:rPr/>
        <w:t>Per</w:t>
      </w:r>
      <w:r>
        <w:rPr>
          <w:spacing w:val="-17"/>
        </w:rPr>
        <w:t> </w:t>
      </w:r>
      <w:r>
        <w:rPr/>
        <w:t>questo</w:t>
      </w:r>
      <w:r>
        <w:rPr>
          <w:spacing w:val="-18"/>
        </w:rPr>
        <w:t> </w:t>
      </w:r>
      <w:r>
        <w:rPr/>
        <w:t>motivo</w:t>
      </w:r>
      <w:r>
        <w:rPr>
          <w:spacing w:val="-18"/>
        </w:rPr>
        <w:t> </w:t>
      </w:r>
      <w:r>
        <w:rPr/>
        <w:t>le</w:t>
      </w:r>
      <w:r>
        <w:rPr>
          <w:spacing w:val="-18"/>
        </w:rPr>
        <w:t> </w:t>
      </w:r>
      <w:r>
        <w:rPr/>
        <w:t>previsioni</w:t>
      </w:r>
      <w:r>
        <w:rPr>
          <w:spacing w:val="-17"/>
        </w:rPr>
        <w:t> </w:t>
      </w:r>
      <w:r>
        <w:rPr/>
        <w:t>OCSE</w:t>
      </w:r>
      <w:r>
        <w:rPr>
          <w:spacing w:val="-18"/>
        </w:rPr>
        <w:t> </w:t>
      </w:r>
      <w:r>
        <w:rPr/>
        <w:t>scontano</w:t>
      </w:r>
      <w:r>
        <w:rPr>
          <w:spacing w:val="-19"/>
        </w:rPr>
        <w:t> </w:t>
      </w:r>
      <w:r>
        <w:rPr/>
        <w:t>un’ulteriore</w:t>
      </w:r>
      <w:r>
        <w:rPr>
          <w:spacing w:val="-17"/>
        </w:rPr>
        <w:t> </w:t>
      </w:r>
      <w:r>
        <w:rPr/>
        <w:t>moderazione della</w:t>
      </w:r>
      <w:r>
        <w:rPr>
          <w:spacing w:val="-13"/>
        </w:rPr>
        <w:t> </w:t>
      </w:r>
      <w:r>
        <w:rPr/>
        <w:t>crescita</w:t>
      </w:r>
      <w:r>
        <w:rPr>
          <w:spacing w:val="-13"/>
        </w:rPr>
        <w:t> </w:t>
      </w:r>
      <w:r>
        <w:rPr/>
        <w:t>nel</w:t>
      </w:r>
      <w:r>
        <w:rPr>
          <w:spacing w:val="-13"/>
        </w:rPr>
        <w:t> </w:t>
      </w:r>
      <w:r>
        <w:rPr/>
        <w:t>prossimo</w:t>
      </w:r>
      <w:r>
        <w:rPr>
          <w:spacing w:val="-13"/>
        </w:rPr>
        <w:t> </w:t>
      </w:r>
      <w:r>
        <w:rPr/>
        <w:t>anno,</w:t>
      </w:r>
      <w:r>
        <w:rPr>
          <w:spacing w:val="-12"/>
        </w:rPr>
        <w:t> </w:t>
      </w:r>
      <w:r>
        <w:rPr/>
        <w:t>stimando</w:t>
      </w:r>
      <w:r>
        <w:rPr>
          <w:spacing w:val="-13"/>
        </w:rPr>
        <w:t> </w:t>
      </w:r>
      <w:r>
        <w:rPr/>
        <w:t>che</w:t>
      </w:r>
      <w:r>
        <w:rPr>
          <w:spacing w:val="-12"/>
        </w:rPr>
        <w:t> </w:t>
      </w:r>
      <w:r>
        <w:rPr/>
        <w:t>la</w:t>
      </w:r>
      <w:r>
        <w:rPr>
          <w:spacing w:val="-13"/>
        </w:rPr>
        <w:t> </w:t>
      </w:r>
      <w:r>
        <w:rPr/>
        <w:t>crescita</w:t>
      </w:r>
      <w:r>
        <w:rPr>
          <w:spacing w:val="-13"/>
        </w:rPr>
        <w:t> </w:t>
      </w:r>
      <w:r>
        <w:rPr/>
        <w:t>del</w:t>
      </w:r>
      <w:r>
        <w:rPr>
          <w:spacing w:val="-12"/>
        </w:rPr>
        <w:t> </w:t>
      </w:r>
      <w:r>
        <w:rPr/>
        <w:t>PIL</w:t>
      </w:r>
      <w:r>
        <w:rPr>
          <w:spacing w:val="-14"/>
        </w:rPr>
        <w:t> </w:t>
      </w:r>
      <w:r>
        <w:rPr/>
        <w:t>rallenterà</w:t>
      </w:r>
      <w:r>
        <w:rPr>
          <w:spacing w:val="-13"/>
        </w:rPr>
        <w:t> </w:t>
      </w:r>
      <w:r>
        <w:rPr/>
        <w:t>dall’1,0 per cento nel 2019 allo 0,6 per cento nel</w:t>
      </w:r>
      <w:r>
        <w:rPr>
          <w:spacing w:val="-10"/>
        </w:rPr>
        <w:t> </w:t>
      </w:r>
      <w:r>
        <w:rPr/>
        <w:t>2020.</w:t>
      </w:r>
    </w:p>
    <w:p>
      <w:pPr>
        <w:pStyle w:val="BodyText"/>
        <w:tabs>
          <w:tab w:pos="1485" w:val="left" w:leader="none"/>
          <w:tab w:pos="1881" w:val="left" w:leader="none"/>
          <w:tab w:pos="2895" w:val="left" w:leader="none"/>
          <w:tab w:pos="3939" w:val="left" w:leader="none"/>
          <w:tab w:pos="4335" w:val="left" w:leader="none"/>
          <w:tab w:pos="5494" w:val="left" w:leader="none"/>
          <w:tab w:pos="6595" w:val="left" w:leader="none"/>
          <w:tab w:pos="7455" w:val="left" w:leader="none"/>
        </w:tabs>
        <w:spacing w:line="252" w:lineRule="auto" w:before="1"/>
        <w:ind w:left="278" w:right="2262" w:firstLine="283"/>
        <w:jc w:val="right"/>
      </w:pPr>
      <w:r>
        <w:rPr/>
        <w:t>Tra gli emergenti permangono alcuni casi di complessità.</w:t>
      </w:r>
      <w:r>
        <w:rPr>
          <w:spacing w:val="-28"/>
        </w:rPr>
        <w:t> </w:t>
      </w:r>
      <w:r>
        <w:rPr/>
        <w:t>L’Argentina</w:t>
      </w:r>
      <w:r>
        <w:rPr>
          <w:spacing w:val="-4"/>
        </w:rPr>
        <w:t> </w:t>
      </w:r>
      <w:r>
        <w:rPr/>
        <w:t>attraversa</w:t>
      </w:r>
      <w:r>
        <w:rPr>
          <w:w w:val="100"/>
        </w:rPr>
        <w:t> </w:t>
      </w:r>
      <w:r>
        <w:rPr/>
        <w:t>una nuova fase di difficoltà politica con ricadute rilevanti sulla</w:t>
      </w:r>
      <w:r>
        <w:rPr>
          <w:spacing w:val="-31"/>
        </w:rPr>
        <w:t> </w:t>
      </w:r>
      <w:r>
        <w:rPr/>
        <w:t>stabilità</w:t>
      </w:r>
      <w:r>
        <w:rPr>
          <w:spacing w:val="-3"/>
        </w:rPr>
        <w:t> </w:t>
      </w:r>
      <w:r>
        <w:rPr/>
        <w:t>finanziaria</w:t>
      </w:r>
      <w:r>
        <w:rPr>
          <w:w w:val="100"/>
        </w:rPr>
        <w:t> </w:t>
      </w:r>
      <w:r>
        <w:rPr/>
        <w:t>del</w:t>
      </w:r>
      <w:r>
        <w:rPr>
          <w:spacing w:val="30"/>
        </w:rPr>
        <w:t> </w:t>
      </w:r>
      <w:r>
        <w:rPr/>
        <w:t>Paese</w:t>
      </w:r>
      <w:r>
        <w:rPr>
          <w:vertAlign w:val="superscript"/>
        </w:rPr>
        <w:t>3</w:t>
      </w:r>
      <w:r>
        <w:rPr>
          <w:vertAlign w:val="baseline"/>
        </w:rPr>
        <w:t>.</w:t>
      </w:r>
      <w:r>
        <w:rPr>
          <w:spacing w:val="31"/>
          <w:vertAlign w:val="baseline"/>
        </w:rPr>
        <w:t> </w:t>
      </w:r>
      <w:r>
        <w:rPr>
          <w:vertAlign w:val="baseline"/>
        </w:rPr>
        <w:t>A</w:t>
      </w:r>
      <w:r>
        <w:rPr>
          <w:spacing w:val="30"/>
          <w:vertAlign w:val="baseline"/>
        </w:rPr>
        <w:t> </w:t>
      </w:r>
      <w:r>
        <w:rPr>
          <w:vertAlign w:val="baseline"/>
        </w:rPr>
        <w:t>settembre</w:t>
      </w:r>
      <w:r>
        <w:rPr>
          <w:spacing w:val="31"/>
          <w:vertAlign w:val="baseline"/>
        </w:rPr>
        <w:t> </w:t>
      </w:r>
      <w:r>
        <w:rPr>
          <w:vertAlign w:val="baseline"/>
        </w:rPr>
        <w:t>il</w:t>
      </w:r>
      <w:r>
        <w:rPr>
          <w:spacing w:val="29"/>
          <w:vertAlign w:val="baseline"/>
        </w:rPr>
        <w:t> </w:t>
      </w:r>
      <w:r>
        <w:rPr>
          <w:vertAlign w:val="baseline"/>
        </w:rPr>
        <w:t>governo</w:t>
      </w:r>
      <w:r>
        <w:rPr>
          <w:spacing w:val="29"/>
          <w:vertAlign w:val="baseline"/>
        </w:rPr>
        <w:t> </w:t>
      </w:r>
      <w:r>
        <w:rPr>
          <w:vertAlign w:val="baseline"/>
        </w:rPr>
        <w:t>di</w:t>
      </w:r>
      <w:r>
        <w:rPr>
          <w:spacing w:val="27"/>
          <w:vertAlign w:val="baseline"/>
        </w:rPr>
        <w:t> </w:t>
      </w:r>
      <w:r>
        <w:rPr>
          <w:vertAlign w:val="baseline"/>
        </w:rPr>
        <w:t>Buenos</w:t>
      </w:r>
      <w:r>
        <w:rPr>
          <w:spacing w:val="30"/>
          <w:vertAlign w:val="baseline"/>
        </w:rPr>
        <w:t> </w:t>
      </w:r>
      <w:r>
        <w:rPr>
          <w:vertAlign w:val="baseline"/>
        </w:rPr>
        <w:t>Aires</w:t>
      </w:r>
      <w:r>
        <w:rPr>
          <w:spacing w:val="30"/>
          <w:vertAlign w:val="baseline"/>
        </w:rPr>
        <w:t> </w:t>
      </w:r>
      <w:r>
        <w:rPr>
          <w:vertAlign w:val="baseline"/>
        </w:rPr>
        <w:t>ha</w:t>
      </w:r>
      <w:r>
        <w:rPr>
          <w:spacing w:val="31"/>
          <w:vertAlign w:val="baseline"/>
        </w:rPr>
        <w:t> </w:t>
      </w:r>
      <w:r>
        <w:rPr>
          <w:vertAlign w:val="baseline"/>
        </w:rPr>
        <w:t>chiesto</w:t>
      </w:r>
      <w:r>
        <w:rPr>
          <w:spacing w:val="30"/>
          <w:vertAlign w:val="baseline"/>
        </w:rPr>
        <w:t> </w:t>
      </w:r>
      <w:r>
        <w:rPr>
          <w:vertAlign w:val="baseline"/>
        </w:rPr>
        <w:t>al</w:t>
      </w:r>
      <w:r>
        <w:rPr>
          <w:spacing w:val="30"/>
          <w:vertAlign w:val="baseline"/>
        </w:rPr>
        <w:t> </w:t>
      </w:r>
      <w:r>
        <w:rPr>
          <w:vertAlign w:val="baseline"/>
        </w:rPr>
        <w:t>FMI</w:t>
      </w:r>
      <w:r>
        <w:rPr>
          <w:spacing w:val="32"/>
          <w:vertAlign w:val="baseline"/>
        </w:rPr>
        <w:t> </w:t>
      </w:r>
      <w:r>
        <w:rPr>
          <w:vertAlign w:val="baseline"/>
        </w:rPr>
        <w:t>la</w:t>
      </w:r>
      <w:r>
        <w:rPr>
          <w:w w:val="100"/>
          <w:vertAlign w:val="baseline"/>
        </w:rPr>
        <w:t> </w:t>
      </w:r>
      <w:r>
        <w:rPr>
          <w:vertAlign w:val="baseline"/>
        </w:rPr>
        <w:t>ristrutturazione</w:t>
      </w:r>
      <w:r>
        <w:rPr>
          <w:spacing w:val="-16"/>
          <w:vertAlign w:val="baseline"/>
        </w:rPr>
        <w:t> </w:t>
      </w:r>
      <w:r>
        <w:rPr>
          <w:vertAlign w:val="baseline"/>
        </w:rPr>
        <w:t>del</w:t>
      </w:r>
      <w:r>
        <w:rPr>
          <w:spacing w:val="-15"/>
          <w:vertAlign w:val="baseline"/>
        </w:rPr>
        <w:t> </w:t>
      </w:r>
      <w:r>
        <w:rPr>
          <w:vertAlign w:val="baseline"/>
        </w:rPr>
        <w:t>debito</w:t>
      </w:r>
      <w:r>
        <w:rPr>
          <w:spacing w:val="-15"/>
          <w:vertAlign w:val="baseline"/>
        </w:rPr>
        <w:t> </w:t>
      </w:r>
      <w:r>
        <w:rPr>
          <w:vertAlign w:val="baseline"/>
        </w:rPr>
        <w:t>con</w:t>
      </w:r>
      <w:r>
        <w:rPr>
          <w:spacing w:val="-14"/>
          <w:vertAlign w:val="baseline"/>
        </w:rPr>
        <w:t> </w:t>
      </w:r>
      <w:r>
        <w:rPr>
          <w:vertAlign w:val="baseline"/>
        </w:rPr>
        <w:t>una</w:t>
      </w:r>
      <w:r>
        <w:rPr>
          <w:spacing w:val="-15"/>
          <w:vertAlign w:val="baseline"/>
        </w:rPr>
        <w:t> </w:t>
      </w:r>
      <w:r>
        <w:rPr>
          <w:vertAlign w:val="baseline"/>
        </w:rPr>
        <w:t>revisione</w:t>
      </w:r>
      <w:r>
        <w:rPr>
          <w:spacing w:val="-16"/>
          <w:vertAlign w:val="baseline"/>
        </w:rPr>
        <w:t> </w:t>
      </w:r>
      <w:r>
        <w:rPr>
          <w:vertAlign w:val="baseline"/>
        </w:rPr>
        <w:t>delle</w:t>
      </w:r>
      <w:r>
        <w:rPr>
          <w:spacing w:val="-14"/>
          <w:vertAlign w:val="baseline"/>
        </w:rPr>
        <w:t> </w:t>
      </w:r>
      <w:r>
        <w:rPr>
          <w:vertAlign w:val="baseline"/>
        </w:rPr>
        <w:t>scadenze</w:t>
      </w:r>
      <w:r>
        <w:rPr>
          <w:spacing w:val="-15"/>
          <w:vertAlign w:val="baseline"/>
        </w:rPr>
        <w:t> </w:t>
      </w:r>
      <w:r>
        <w:rPr>
          <w:vertAlign w:val="baseline"/>
        </w:rPr>
        <w:t>previste</w:t>
      </w:r>
      <w:r>
        <w:rPr>
          <w:spacing w:val="-15"/>
          <w:vertAlign w:val="baseline"/>
        </w:rPr>
        <w:t> </w:t>
      </w:r>
      <w:r>
        <w:rPr>
          <w:vertAlign w:val="baseline"/>
        </w:rPr>
        <w:t>nell'ambito</w:t>
      </w:r>
      <w:r>
        <w:rPr>
          <w:spacing w:val="-15"/>
          <w:vertAlign w:val="baseline"/>
        </w:rPr>
        <w:t> </w:t>
      </w:r>
      <w:r>
        <w:rPr>
          <w:vertAlign w:val="baseline"/>
        </w:rPr>
        <w:t>del</w:t>
      </w:r>
      <w:r>
        <w:rPr>
          <w:w w:val="100"/>
          <w:vertAlign w:val="baseline"/>
        </w:rPr>
        <w:t> </w:t>
      </w:r>
      <w:r>
        <w:rPr>
          <w:vertAlign w:val="baseline"/>
        </w:rPr>
        <w:t>programma</w:t>
      </w:r>
      <w:r>
        <w:rPr>
          <w:spacing w:val="-11"/>
          <w:vertAlign w:val="baseline"/>
        </w:rPr>
        <w:t> </w:t>
      </w:r>
      <w:r>
        <w:rPr>
          <w:vertAlign w:val="baseline"/>
        </w:rPr>
        <w:t>di</w:t>
      </w:r>
      <w:r>
        <w:rPr>
          <w:spacing w:val="-10"/>
          <w:vertAlign w:val="baseline"/>
        </w:rPr>
        <w:t> </w:t>
      </w:r>
      <w:r>
        <w:rPr>
          <w:vertAlign w:val="baseline"/>
        </w:rPr>
        <w:t>aiuti</w:t>
      </w:r>
      <w:r>
        <w:rPr>
          <w:spacing w:val="-11"/>
          <w:vertAlign w:val="baseline"/>
        </w:rPr>
        <w:t> </w:t>
      </w:r>
      <w:r>
        <w:rPr>
          <w:vertAlign w:val="baseline"/>
        </w:rPr>
        <w:t>accordato</w:t>
      </w:r>
      <w:r>
        <w:rPr>
          <w:spacing w:val="-10"/>
          <w:vertAlign w:val="baseline"/>
        </w:rPr>
        <w:t> </w:t>
      </w:r>
      <w:r>
        <w:rPr>
          <w:vertAlign w:val="baseline"/>
        </w:rPr>
        <w:t>nel</w:t>
      </w:r>
      <w:r>
        <w:rPr>
          <w:spacing w:val="-10"/>
          <w:vertAlign w:val="baseline"/>
        </w:rPr>
        <w:t> </w:t>
      </w:r>
      <w:r>
        <w:rPr>
          <w:vertAlign w:val="baseline"/>
        </w:rPr>
        <w:t>giugno</w:t>
      </w:r>
      <w:r>
        <w:rPr>
          <w:spacing w:val="-11"/>
          <w:vertAlign w:val="baseline"/>
        </w:rPr>
        <w:t> </w:t>
      </w:r>
      <w:r>
        <w:rPr>
          <w:vertAlign w:val="baseline"/>
        </w:rPr>
        <w:t>dello</w:t>
      </w:r>
      <w:r>
        <w:rPr>
          <w:spacing w:val="-11"/>
          <w:vertAlign w:val="baseline"/>
        </w:rPr>
        <w:t> </w:t>
      </w:r>
      <w:r>
        <w:rPr>
          <w:vertAlign w:val="baseline"/>
        </w:rPr>
        <w:t>scorso</w:t>
      </w:r>
      <w:r>
        <w:rPr>
          <w:spacing w:val="-11"/>
          <w:vertAlign w:val="baseline"/>
        </w:rPr>
        <w:t> </w:t>
      </w:r>
      <w:r>
        <w:rPr>
          <w:vertAlign w:val="baseline"/>
        </w:rPr>
        <w:t>anno.</w:t>
      </w:r>
      <w:r>
        <w:rPr>
          <w:spacing w:val="-9"/>
          <w:vertAlign w:val="baseline"/>
        </w:rPr>
        <w:t> </w:t>
      </w:r>
      <w:r>
        <w:rPr>
          <w:vertAlign w:val="baseline"/>
        </w:rPr>
        <w:t>In</w:t>
      </w:r>
      <w:r>
        <w:rPr>
          <w:spacing w:val="-13"/>
          <w:vertAlign w:val="baseline"/>
        </w:rPr>
        <w:t> </w:t>
      </w:r>
      <w:r>
        <w:rPr>
          <w:vertAlign w:val="baseline"/>
        </w:rPr>
        <w:t>Turchia,</w:t>
      </w:r>
      <w:r>
        <w:rPr>
          <w:spacing w:val="-9"/>
          <w:vertAlign w:val="baseline"/>
        </w:rPr>
        <w:t> </w:t>
      </w:r>
      <w:r>
        <w:rPr>
          <w:vertAlign w:val="baseline"/>
        </w:rPr>
        <w:t>la</w:t>
      </w:r>
      <w:r>
        <w:rPr>
          <w:spacing w:val="-16"/>
          <w:vertAlign w:val="baseline"/>
        </w:rPr>
        <w:t> </w:t>
      </w:r>
      <w:r>
        <w:rPr>
          <w:vertAlign w:val="baseline"/>
        </w:rPr>
        <w:t>situazione</w:t>
      </w:r>
      <w:r>
        <w:rPr>
          <w:spacing w:val="-1"/>
          <w:w w:val="100"/>
          <w:vertAlign w:val="baseline"/>
        </w:rPr>
        <w:t> </w:t>
      </w:r>
      <w:r>
        <w:rPr>
          <w:vertAlign w:val="baseline"/>
        </w:rPr>
        <w:t>economica resta difficile, soprattutto sul piano dell’inflazione, con</w:t>
      </w:r>
      <w:r>
        <w:rPr>
          <w:spacing w:val="38"/>
          <w:vertAlign w:val="baseline"/>
        </w:rPr>
        <w:t> </w:t>
      </w:r>
      <w:r>
        <w:rPr>
          <w:vertAlign w:val="baseline"/>
        </w:rPr>
        <w:t>la</w:t>
      </w:r>
      <w:r>
        <w:rPr>
          <w:spacing w:val="4"/>
          <w:vertAlign w:val="baseline"/>
        </w:rPr>
        <w:t> </w:t>
      </w:r>
      <w:r>
        <w:rPr>
          <w:vertAlign w:val="baseline"/>
        </w:rPr>
        <w:t>Banca</w:t>
      </w:r>
      <w:r>
        <w:rPr>
          <w:spacing w:val="-1"/>
          <w:w w:val="100"/>
          <w:vertAlign w:val="baseline"/>
        </w:rPr>
        <w:t> </w:t>
      </w:r>
      <w:r>
        <w:rPr>
          <w:vertAlign w:val="baseline"/>
        </w:rPr>
        <w:t>Centrale</w:t>
      </w:r>
      <w:r>
        <w:rPr>
          <w:spacing w:val="8"/>
          <w:vertAlign w:val="baseline"/>
        </w:rPr>
        <w:t> </w:t>
      </w:r>
      <w:r>
        <w:rPr>
          <w:vertAlign w:val="baseline"/>
        </w:rPr>
        <w:t>che</w:t>
      </w:r>
      <w:r>
        <w:rPr>
          <w:spacing w:val="9"/>
          <w:vertAlign w:val="baseline"/>
        </w:rPr>
        <w:t> </w:t>
      </w:r>
      <w:r>
        <w:rPr>
          <w:vertAlign w:val="baseline"/>
        </w:rPr>
        <w:t>ha</w:t>
      </w:r>
      <w:r>
        <w:rPr>
          <w:spacing w:val="9"/>
          <w:vertAlign w:val="baseline"/>
        </w:rPr>
        <w:t> </w:t>
      </w:r>
      <w:r>
        <w:rPr>
          <w:vertAlign w:val="baseline"/>
        </w:rPr>
        <w:t>alzato</w:t>
      </w:r>
      <w:r>
        <w:rPr>
          <w:spacing w:val="9"/>
          <w:vertAlign w:val="baseline"/>
        </w:rPr>
        <w:t> </w:t>
      </w:r>
      <w:r>
        <w:rPr>
          <w:vertAlign w:val="baseline"/>
        </w:rPr>
        <w:t>il</w:t>
      </w:r>
      <w:r>
        <w:rPr>
          <w:spacing w:val="9"/>
          <w:vertAlign w:val="baseline"/>
        </w:rPr>
        <w:t> </w:t>
      </w:r>
      <w:r>
        <w:rPr>
          <w:vertAlign w:val="baseline"/>
        </w:rPr>
        <w:t>tasso</w:t>
      </w:r>
      <w:r>
        <w:rPr>
          <w:spacing w:val="9"/>
          <w:vertAlign w:val="baseline"/>
        </w:rPr>
        <w:t> </w:t>
      </w:r>
      <w:r>
        <w:rPr>
          <w:vertAlign w:val="baseline"/>
        </w:rPr>
        <w:t>di</w:t>
      </w:r>
      <w:r>
        <w:rPr>
          <w:spacing w:val="11"/>
          <w:vertAlign w:val="baseline"/>
        </w:rPr>
        <w:t> </w:t>
      </w:r>
      <w:r>
        <w:rPr>
          <w:i/>
          <w:vertAlign w:val="baseline"/>
        </w:rPr>
        <w:t>policy</w:t>
      </w:r>
      <w:r>
        <w:rPr>
          <w:i/>
          <w:spacing w:val="10"/>
          <w:vertAlign w:val="baseline"/>
        </w:rPr>
        <w:t> </w:t>
      </w:r>
      <w:r>
        <w:rPr>
          <w:vertAlign w:val="baseline"/>
        </w:rPr>
        <w:t>fino</w:t>
      </w:r>
      <w:r>
        <w:rPr>
          <w:spacing w:val="9"/>
          <w:vertAlign w:val="baseline"/>
        </w:rPr>
        <w:t> </w:t>
      </w:r>
      <w:r>
        <w:rPr>
          <w:vertAlign w:val="baseline"/>
        </w:rPr>
        <w:t>al</w:t>
      </w:r>
      <w:r>
        <w:rPr>
          <w:spacing w:val="12"/>
          <w:vertAlign w:val="baseline"/>
        </w:rPr>
        <w:t> </w:t>
      </w:r>
      <w:r>
        <w:rPr>
          <w:vertAlign w:val="baseline"/>
        </w:rPr>
        <w:t>24</w:t>
      </w:r>
      <w:r>
        <w:rPr>
          <w:spacing w:val="8"/>
          <w:vertAlign w:val="baseline"/>
        </w:rPr>
        <w:t> </w:t>
      </w:r>
      <w:r>
        <w:rPr>
          <w:vertAlign w:val="baseline"/>
        </w:rPr>
        <w:t>per</w:t>
      </w:r>
      <w:r>
        <w:rPr>
          <w:spacing w:val="11"/>
          <w:vertAlign w:val="baseline"/>
        </w:rPr>
        <w:t> </w:t>
      </w:r>
      <w:r>
        <w:rPr>
          <w:vertAlign w:val="baseline"/>
        </w:rPr>
        <w:t>cento</w:t>
      </w:r>
      <w:r>
        <w:rPr>
          <w:spacing w:val="11"/>
          <w:vertAlign w:val="baseline"/>
        </w:rPr>
        <w:t> </w:t>
      </w:r>
      <w:r>
        <w:rPr>
          <w:vertAlign w:val="baseline"/>
        </w:rPr>
        <w:t>per</w:t>
      </w:r>
      <w:r>
        <w:rPr>
          <w:spacing w:val="11"/>
          <w:vertAlign w:val="baseline"/>
        </w:rPr>
        <w:t> </w:t>
      </w:r>
      <w:r>
        <w:rPr>
          <w:vertAlign w:val="baseline"/>
        </w:rPr>
        <w:t>poi</w:t>
      </w:r>
      <w:r>
        <w:rPr>
          <w:spacing w:val="10"/>
          <w:vertAlign w:val="baseline"/>
        </w:rPr>
        <w:t> </w:t>
      </w:r>
      <w:r>
        <w:rPr>
          <w:vertAlign w:val="baseline"/>
        </w:rPr>
        <w:t>abbassarlo</w:t>
      </w:r>
      <w:r>
        <w:rPr>
          <w:spacing w:val="11"/>
          <w:vertAlign w:val="baseline"/>
        </w:rPr>
        <w:t> </w:t>
      </w:r>
      <w:r>
        <w:rPr>
          <w:vertAlign w:val="baseline"/>
        </w:rPr>
        <w:t>di</w:t>
      </w:r>
      <w:r>
        <w:rPr>
          <w:spacing w:val="-1"/>
          <w:w w:val="100"/>
          <w:vertAlign w:val="baseline"/>
        </w:rPr>
        <w:t> </w:t>
      </w:r>
      <w:r>
        <w:rPr>
          <w:vertAlign w:val="baseline"/>
        </w:rPr>
        <w:t>recente</w:t>
      </w:r>
      <w:r>
        <w:rPr>
          <w:spacing w:val="-7"/>
          <w:vertAlign w:val="baseline"/>
        </w:rPr>
        <w:t> </w:t>
      </w:r>
      <w:r>
        <w:rPr>
          <w:vertAlign w:val="baseline"/>
        </w:rPr>
        <w:t>al</w:t>
      </w:r>
      <w:r>
        <w:rPr>
          <w:spacing w:val="-6"/>
          <w:vertAlign w:val="baseline"/>
        </w:rPr>
        <w:t> </w:t>
      </w:r>
      <w:r>
        <w:rPr>
          <w:vertAlign w:val="baseline"/>
        </w:rPr>
        <w:t>16,5</w:t>
      </w:r>
      <w:r>
        <w:rPr>
          <w:spacing w:val="-6"/>
          <w:vertAlign w:val="baseline"/>
        </w:rPr>
        <w:t> </w:t>
      </w:r>
      <w:r>
        <w:rPr>
          <w:vertAlign w:val="baseline"/>
        </w:rPr>
        <w:t>per</w:t>
      </w:r>
      <w:r>
        <w:rPr>
          <w:spacing w:val="-5"/>
          <w:vertAlign w:val="baseline"/>
        </w:rPr>
        <w:t> </w:t>
      </w:r>
      <w:r>
        <w:rPr>
          <w:vertAlign w:val="baseline"/>
        </w:rPr>
        <w:t>cento</w:t>
      </w:r>
      <w:r>
        <w:rPr>
          <w:spacing w:val="-7"/>
          <w:vertAlign w:val="baseline"/>
        </w:rPr>
        <w:t> </w:t>
      </w:r>
      <w:r>
        <w:rPr>
          <w:vertAlign w:val="baseline"/>
        </w:rPr>
        <w:t>pur</w:t>
      </w:r>
      <w:r>
        <w:rPr>
          <w:spacing w:val="-5"/>
          <w:vertAlign w:val="baseline"/>
        </w:rPr>
        <w:t> </w:t>
      </w:r>
      <w:r>
        <w:rPr>
          <w:vertAlign w:val="baseline"/>
        </w:rPr>
        <w:t>in</w:t>
      </w:r>
      <w:r>
        <w:rPr>
          <w:spacing w:val="-7"/>
          <w:vertAlign w:val="baseline"/>
        </w:rPr>
        <w:t> </w:t>
      </w:r>
      <w:r>
        <w:rPr>
          <w:vertAlign w:val="baseline"/>
        </w:rPr>
        <w:t>presenza</w:t>
      </w:r>
      <w:r>
        <w:rPr>
          <w:spacing w:val="-6"/>
          <w:vertAlign w:val="baseline"/>
        </w:rPr>
        <w:t> </w:t>
      </w:r>
      <w:r>
        <w:rPr>
          <w:vertAlign w:val="baseline"/>
        </w:rPr>
        <w:t>di</w:t>
      </w:r>
      <w:r>
        <w:rPr>
          <w:spacing w:val="-7"/>
          <w:vertAlign w:val="baseline"/>
        </w:rPr>
        <w:t> </w:t>
      </w:r>
      <w:r>
        <w:rPr>
          <w:vertAlign w:val="baseline"/>
        </w:rPr>
        <w:t>un</w:t>
      </w:r>
      <w:r>
        <w:rPr>
          <w:spacing w:val="-6"/>
          <w:vertAlign w:val="baseline"/>
        </w:rPr>
        <w:t> </w:t>
      </w:r>
      <w:r>
        <w:rPr>
          <w:vertAlign w:val="baseline"/>
        </w:rPr>
        <w:t>tasso</w:t>
      </w:r>
      <w:r>
        <w:rPr>
          <w:spacing w:val="-7"/>
          <w:vertAlign w:val="baseline"/>
        </w:rPr>
        <w:t> </w:t>
      </w:r>
      <w:r>
        <w:rPr>
          <w:vertAlign w:val="baseline"/>
        </w:rPr>
        <w:t>di</w:t>
      </w:r>
      <w:r>
        <w:rPr>
          <w:spacing w:val="-6"/>
          <w:vertAlign w:val="baseline"/>
        </w:rPr>
        <w:t> </w:t>
      </w:r>
      <w:r>
        <w:rPr>
          <w:vertAlign w:val="baseline"/>
        </w:rPr>
        <w:t>inflazione</w:t>
      </w:r>
      <w:r>
        <w:rPr>
          <w:spacing w:val="-7"/>
          <w:vertAlign w:val="baseline"/>
        </w:rPr>
        <w:t> </w:t>
      </w:r>
      <w:r>
        <w:rPr>
          <w:vertAlign w:val="baseline"/>
        </w:rPr>
        <w:t>del</w:t>
      </w:r>
      <w:r>
        <w:rPr>
          <w:spacing w:val="-6"/>
          <w:vertAlign w:val="baseline"/>
        </w:rPr>
        <w:t> </w:t>
      </w:r>
      <w:r>
        <w:rPr>
          <w:vertAlign w:val="baseline"/>
        </w:rPr>
        <w:t>15</w:t>
      </w:r>
      <w:r>
        <w:rPr>
          <w:spacing w:val="-5"/>
          <w:vertAlign w:val="baseline"/>
        </w:rPr>
        <w:t> </w:t>
      </w:r>
      <w:r>
        <w:rPr>
          <w:vertAlign w:val="baseline"/>
        </w:rPr>
        <w:t>per</w:t>
      </w:r>
      <w:r>
        <w:rPr>
          <w:spacing w:val="-5"/>
          <w:vertAlign w:val="baseline"/>
        </w:rPr>
        <w:t> </w:t>
      </w:r>
      <w:r>
        <w:rPr>
          <w:vertAlign w:val="baseline"/>
        </w:rPr>
        <w:t>cento.</w:t>
      </w:r>
      <w:r>
        <w:rPr>
          <w:w w:val="100"/>
          <w:vertAlign w:val="baseline"/>
        </w:rPr>
        <w:t> </w:t>
      </w:r>
      <w:r>
        <w:rPr>
          <w:vertAlign w:val="baseline"/>
        </w:rPr>
        <w:t>In questo contesto internazionale, l’area euro dopo aver avuto</w:t>
      </w:r>
      <w:r>
        <w:rPr>
          <w:spacing w:val="-43"/>
          <w:vertAlign w:val="baseline"/>
        </w:rPr>
        <w:t> </w:t>
      </w:r>
      <w:r>
        <w:rPr>
          <w:vertAlign w:val="baseline"/>
        </w:rPr>
        <w:t>una</w:t>
      </w:r>
      <w:r>
        <w:rPr>
          <w:spacing w:val="-5"/>
          <w:vertAlign w:val="baseline"/>
        </w:rPr>
        <w:t> </w:t>
      </w:r>
      <w:r>
        <w:rPr>
          <w:vertAlign w:val="baseline"/>
        </w:rPr>
        <w:t>performance</w:t>
      </w:r>
      <w:r>
        <w:rPr>
          <w:spacing w:val="-1"/>
          <w:w w:val="100"/>
          <w:vertAlign w:val="baseline"/>
        </w:rPr>
        <w:t> </w:t>
      </w:r>
      <w:r>
        <w:rPr>
          <w:vertAlign w:val="baseline"/>
        </w:rPr>
        <w:t>migliore delle attese nel primo trimestre, con una crescita dello 0,4 per</w:t>
      </w:r>
      <w:r>
        <w:rPr>
          <w:spacing w:val="-7"/>
          <w:vertAlign w:val="baseline"/>
        </w:rPr>
        <w:t> </w:t>
      </w:r>
      <w:r>
        <w:rPr>
          <w:vertAlign w:val="baseline"/>
        </w:rPr>
        <w:t>cento</w:t>
      </w:r>
      <w:r>
        <w:rPr>
          <w:spacing w:val="-1"/>
          <w:vertAlign w:val="baseline"/>
        </w:rPr>
        <w:t> </w:t>
      </w:r>
      <w:r>
        <w:rPr>
          <w:vertAlign w:val="baseline"/>
        </w:rPr>
        <w:t>t/t,</w:t>
      </w:r>
      <w:r>
        <w:rPr>
          <w:w w:val="100"/>
          <w:vertAlign w:val="baseline"/>
        </w:rPr>
        <w:t> </w:t>
      </w:r>
      <w:r>
        <w:rPr>
          <w:vertAlign w:val="baseline"/>
        </w:rPr>
        <w:t>ha</w:t>
      </w:r>
      <w:r>
        <w:rPr>
          <w:spacing w:val="14"/>
          <w:vertAlign w:val="baseline"/>
        </w:rPr>
        <w:t> </w:t>
      </w:r>
      <w:r>
        <w:rPr>
          <w:vertAlign w:val="baseline"/>
        </w:rPr>
        <w:t>rallentato</w:t>
      </w:r>
      <w:r>
        <w:rPr>
          <w:spacing w:val="14"/>
          <w:vertAlign w:val="baseline"/>
        </w:rPr>
        <w:t> </w:t>
      </w:r>
      <w:r>
        <w:rPr>
          <w:vertAlign w:val="baseline"/>
        </w:rPr>
        <w:t>nuovamente</w:t>
      </w:r>
      <w:r>
        <w:rPr>
          <w:spacing w:val="16"/>
          <w:vertAlign w:val="baseline"/>
        </w:rPr>
        <w:t> </w:t>
      </w:r>
      <w:r>
        <w:rPr>
          <w:vertAlign w:val="baseline"/>
        </w:rPr>
        <w:t>nel</w:t>
      </w:r>
      <w:r>
        <w:rPr>
          <w:spacing w:val="15"/>
          <w:vertAlign w:val="baseline"/>
        </w:rPr>
        <w:t> </w:t>
      </w:r>
      <w:r>
        <w:rPr>
          <w:vertAlign w:val="baseline"/>
        </w:rPr>
        <w:t>2T</w:t>
      </w:r>
      <w:r>
        <w:rPr>
          <w:spacing w:val="13"/>
          <w:vertAlign w:val="baseline"/>
        </w:rPr>
        <w:t> </w:t>
      </w:r>
      <w:r>
        <w:rPr>
          <w:vertAlign w:val="baseline"/>
        </w:rPr>
        <w:t>fermandosi</w:t>
      </w:r>
      <w:r>
        <w:rPr>
          <w:spacing w:val="15"/>
          <w:vertAlign w:val="baseline"/>
        </w:rPr>
        <w:t> </w:t>
      </w:r>
      <w:r>
        <w:rPr>
          <w:vertAlign w:val="baseline"/>
        </w:rPr>
        <w:t>allo</w:t>
      </w:r>
      <w:r>
        <w:rPr>
          <w:spacing w:val="14"/>
          <w:vertAlign w:val="baseline"/>
        </w:rPr>
        <w:t> </w:t>
      </w:r>
      <w:r>
        <w:rPr>
          <w:vertAlign w:val="baseline"/>
        </w:rPr>
        <w:t>0,2</w:t>
      </w:r>
      <w:r>
        <w:rPr>
          <w:spacing w:val="14"/>
          <w:vertAlign w:val="baseline"/>
        </w:rPr>
        <w:t> </w:t>
      </w:r>
      <w:r>
        <w:rPr>
          <w:vertAlign w:val="baseline"/>
        </w:rPr>
        <w:t>per</w:t>
      </w:r>
      <w:r>
        <w:rPr>
          <w:spacing w:val="17"/>
          <w:vertAlign w:val="baseline"/>
        </w:rPr>
        <w:t> </w:t>
      </w:r>
      <w:r>
        <w:rPr>
          <w:vertAlign w:val="baseline"/>
        </w:rPr>
        <w:t>cento</w:t>
      </w:r>
      <w:r>
        <w:rPr>
          <w:spacing w:val="14"/>
          <w:vertAlign w:val="baseline"/>
        </w:rPr>
        <w:t> </w:t>
      </w:r>
      <w:r>
        <w:rPr>
          <w:vertAlign w:val="baseline"/>
        </w:rPr>
        <w:t>t/t.</w:t>
      </w:r>
      <w:r>
        <w:rPr>
          <w:spacing w:val="15"/>
          <w:vertAlign w:val="baseline"/>
        </w:rPr>
        <w:t> </w:t>
      </w:r>
      <w:r>
        <w:rPr>
          <w:vertAlign w:val="baseline"/>
        </w:rPr>
        <w:t>L’Eurozona</w:t>
      </w:r>
      <w:r>
        <w:rPr>
          <w:spacing w:val="15"/>
          <w:vertAlign w:val="baseline"/>
        </w:rPr>
        <w:t> </w:t>
      </w:r>
      <w:r>
        <w:rPr>
          <w:vertAlign w:val="baseline"/>
        </w:rPr>
        <w:t>è</w:t>
      </w:r>
      <w:r>
        <w:rPr>
          <w:w w:val="100"/>
          <w:vertAlign w:val="baseline"/>
        </w:rPr>
        <w:t> </w:t>
      </w:r>
      <w:r>
        <w:rPr>
          <w:vertAlign w:val="baseline"/>
        </w:rPr>
        <w:t>particolarmente esposta all’impatto delle tensioni commerciali,</w:t>
      </w:r>
      <w:r>
        <w:rPr>
          <w:spacing w:val="5"/>
          <w:vertAlign w:val="baseline"/>
        </w:rPr>
        <w:t> </w:t>
      </w:r>
      <w:r>
        <w:rPr>
          <w:vertAlign w:val="baseline"/>
        </w:rPr>
        <w:t>dato</w:t>
      </w:r>
      <w:r>
        <w:rPr>
          <w:spacing w:val="57"/>
          <w:vertAlign w:val="baseline"/>
        </w:rPr>
        <w:t> </w:t>
      </w:r>
      <w:r>
        <w:rPr>
          <w:vertAlign w:val="baseline"/>
        </w:rPr>
        <w:t>l’elevato</w:t>
      </w:r>
      <w:r>
        <w:rPr>
          <w:w w:val="100"/>
          <w:vertAlign w:val="baseline"/>
        </w:rPr>
        <w:t> </w:t>
      </w:r>
      <w:r>
        <w:rPr>
          <w:vertAlign w:val="baseline"/>
        </w:rPr>
        <w:t>grado</w:t>
      </w:r>
      <w:r>
        <w:rPr>
          <w:spacing w:val="8"/>
          <w:vertAlign w:val="baseline"/>
        </w:rPr>
        <w:t> </w:t>
      </w:r>
      <w:r>
        <w:rPr>
          <w:vertAlign w:val="baseline"/>
        </w:rPr>
        <w:t>di</w:t>
      </w:r>
      <w:r>
        <w:rPr>
          <w:spacing w:val="8"/>
          <w:vertAlign w:val="baseline"/>
        </w:rPr>
        <w:t> </w:t>
      </w:r>
      <w:r>
        <w:rPr>
          <w:vertAlign w:val="baseline"/>
        </w:rPr>
        <w:t>apertura</w:t>
      </w:r>
      <w:r>
        <w:rPr>
          <w:spacing w:val="10"/>
          <w:vertAlign w:val="baseline"/>
        </w:rPr>
        <w:t> </w:t>
      </w:r>
      <w:r>
        <w:rPr>
          <w:vertAlign w:val="baseline"/>
        </w:rPr>
        <w:t>che</w:t>
      </w:r>
      <w:r>
        <w:rPr>
          <w:spacing w:val="8"/>
          <w:vertAlign w:val="baseline"/>
        </w:rPr>
        <w:t> </w:t>
      </w:r>
      <w:r>
        <w:rPr>
          <w:vertAlign w:val="baseline"/>
        </w:rPr>
        <w:t>caratterizza</w:t>
      </w:r>
      <w:r>
        <w:rPr>
          <w:spacing w:val="10"/>
          <w:vertAlign w:val="baseline"/>
        </w:rPr>
        <w:t> </w:t>
      </w:r>
      <w:r>
        <w:rPr>
          <w:vertAlign w:val="baseline"/>
        </w:rPr>
        <w:t>le</w:t>
      </w:r>
      <w:r>
        <w:rPr>
          <w:spacing w:val="9"/>
          <w:vertAlign w:val="baseline"/>
        </w:rPr>
        <w:t> </w:t>
      </w:r>
      <w:r>
        <w:rPr>
          <w:vertAlign w:val="baseline"/>
        </w:rPr>
        <w:t>sue</w:t>
      </w:r>
      <w:r>
        <w:rPr>
          <w:spacing w:val="10"/>
          <w:vertAlign w:val="baseline"/>
        </w:rPr>
        <w:t> </w:t>
      </w:r>
      <w:r>
        <w:rPr>
          <w:vertAlign w:val="baseline"/>
        </w:rPr>
        <w:t>principali</w:t>
      </w:r>
      <w:r>
        <w:rPr>
          <w:spacing w:val="8"/>
          <w:vertAlign w:val="baseline"/>
        </w:rPr>
        <w:t> </w:t>
      </w:r>
      <w:r>
        <w:rPr>
          <w:vertAlign w:val="baseline"/>
        </w:rPr>
        <w:t>economie.</w:t>
      </w:r>
      <w:r>
        <w:rPr>
          <w:spacing w:val="10"/>
          <w:vertAlign w:val="baseline"/>
        </w:rPr>
        <w:t> </w:t>
      </w:r>
      <w:r>
        <w:rPr>
          <w:vertAlign w:val="baseline"/>
        </w:rPr>
        <w:t>Tale</w:t>
      </w:r>
      <w:r>
        <w:rPr>
          <w:spacing w:val="10"/>
          <w:vertAlign w:val="baseline"/>
        </w:rPr>
        <w:t> </w:t>
      </w:r>
      <w:r>
        <w:rPr>
          <w:vertAlign w:val="baseline"/>
        </w:rPr>
        <w:t>effetto</w:t>
      </w:r>
      <w:r>
        <w:rPr>
          <w:spacing w:val="8"/>
          <w:vertAlign w:val="baseline"/>
        </w:rPr>
        <w:t> </w:t>
      </w:r>
      <w:r>
        <w:rPr>
          <w:vertAlign w:val="baseline"/>
        </w:rPr>
        <w:t>risulta</w:t>
      </w:r>
      <w:r>
        <w:rPr>
          <w:w w:val="100"/>
          <w:vertAlign w:val="baseline"/>
        </w:rPr>
        <w:t> </w:t>
      </w:r>
      <w:r>
        <w:rPr>
          <w:vertAlign w:val="baseline"/>
        </w:rPr>
        <w:t>peraltro</w:t>
      </w:r>
      <w:r>
        <w:rPr>
          <w:spacing w:val="-8"/>
          <w:vertAlign w:val="baseline"/>
        </w:rPr>
        <w:t> </w:t>
      </w:r>
      <w:r>
        <w:rPr>
          <w:vertAlign w:val="baseline"/>
        </w:rPr>
        <w:t>amplificato</w:t>
      </w:r>
      <w:r>
        <w:rPr>
          <w:spacing w:val="-8"/>
          <w:vertAlign w:val="baseline"/>
        </w:rPr>
        <w:t> </w:t>
      </w:r>
      <w:r>
        <w:rPr>
          <w:vertAlign w:val="baseline"/>
        </w:rPr>
        <w:t>in</w:t>
      </w:r>
      <w:r>
        <w:rPr>
          <w:spacing w:val="-8"/>
          <w:vertAlign w:val="baseline"/>
        </w:rPr>
        <w:t> </w:t>
      </w:r>
      <w:r>
        <w:rPr>
          <w:vertAlign w:val="baseline"/>
        </w:rPr>
        <w:t>Paesi</w:t>
      </w:r>
      <w:r>
        <w:rPr>
          <w:spacing w:val="-7"/>
          <w:vertAlign w:val="baseline"/>
        </w:rPr>
        <w:t> </w:t>
      </w:r>
      <w:r>
        <w:rPr>
          <w:vertAlign w:val="baseline"/>
        </w:rPr>
        <w:t>il</w:t>
      </w:r>
      <w:r>
        <w:rPr>
          <w:spacing w:val="-8"/>
          <w:vertAlign w:val="baseline"/>
        </w:rPr>
        <w:t> </w:t>
      </w:r>
      <w:r>
        <w:rPr>
          <w:vertAlign w:val="baseline"/>
        </w:rPr>
        <w:t>cui</w:t>
      </w:r>
      <w:r>
        <w:rPr>
          <w:spacing w:val="-8"/>
          <w:vertAlign w:val="baseline"/>
        </w:rPr>
        <w:t> </w:t>
      </w:r>
      <w:r>
        <w:rPr>
          <w:vertAlign w:val="baseline"/>
        </w:rPr>
        <w:t>sistema</w:t>
      </w:r>
      <w:r>
        <w:rPr>
          <w:spacing w:val="-7"/>
          <w:vertAlign w:val="baseline"/>
        </w:rPr>
        <w:t> </w:t>
      </w:r>
      <w:r>
        <w:rPr>
          <w:vertAlign w:val="baseline"/>
        </w:rPr>
        <w:t>produttivo</w:t>
      </w:r>
      <w:r>
        <w:rPr>
          <w:spacing w:val="-8"/>
          <w:vertAlign w:val="baseline"/>
        </w:rPr>
        <w:t> </w:t>
      </w:r>
      <w:r>
        <w:rPr>
          <w:vertAlign w:val="baseline"/>
        </w:rPr>
        <w:t>è</w:t>
      </w:r>
      <w:r>
        <w:rPr>
          <w:spacing w:val="-8"/>
          <w:vertAlign w:val="baseline"/>
        </w:rPr>
        <w:t> </w:t>
      </w:r>
      <w:r>
        <w:rPr>
          <w:vertAlign w:val="baseline"/>
        </w:rPr>
        <w:t>fortemente</w:t>
      </w:r>
      <w:r>
        <w:rPr>
          <w:spacing w:val="-4"/>
          <w:vertAlign w:val="baseline"/>
        </w:rPr>
        <w:t> </w:t>
      </w:r>
      <w:r>
        <w:rPr>
          <w:vertAlign w:val="baseline"/>
        </w:rPr>
        <w:t>incentrato</w:t>
      </w:r>
      <w:r>
        <w:rPr>
          <w:spacing w:val="-8"/>
          <w:vertAlign w:val="baseline"/>
        </w:rPr>
        <w:t> </w:t>
      </w:r>
      <w:r>
        <w:rPr>
          <w:vertAlign w:val="baseline"/>
        </w:rPr>
        <w:t>sulla</w:t>
      </w:r>
      <w:r>
        <w:rPr>
          <w:w w:val="100"/>
          <w:vertAlign w:val="baseline"/>
        </w:rPr>
        <w:t> </w:t>
      </w:r>
      <w:r>
        <w:rPr>
          <w:vertAlign w:val="baseline"/>
        </w:rPr>
        <w:t>produzione manifatturiera, quali Germania e Italia. Inoltre, dopo un</w:t>
      </w:r>
      <w:r>
        <w:rPr>
          <w:spacing w:val="13"/>
          <w:vertAlign w:val="baseline"/>
        </w:rPr>
        <w:t> </w:t>
      </w:r>
      <w:r>
        <w:rPr>
          <w:vertAlign w:val="baseline"/>
        </w:rPr>
        <w:t>inizio</w:t>
      </w:r>
      <w:r>
        <w:rPr>
          <w:spacing w:val="7"/>
          <w:vertAlign w:val="baseline"/>
        </w:rPr>
        <w:t> </w:t>
      </w:r>
      <w:r>
        <w:rPr>
          <w:vertAlign w:val="baseline"/>
        </w:rPr>
        <w:t>d’anno</w:t>
      </w:r>
      <w:r>
        <w:rPr>
          <w:w w:val="100"/>
          <w:vertAlign w:val="baseline"/>
        </w:rPr>
        <w:t> </w:t>
      </w:r>
      <w:r>
        <w:rPr>
          <w:vertAlign w:val="baseline"/>
        </w:rPr>
        <w:t>in</w:t>
      </w:r>
      <w:r>
        <w:rPr>
          <w:spacing w:val="-18"/>
          <w:vertAlign w:val="baseline"/>
        </w:rPr>
        <w:t> </w:t>
      </w:r>
      <w:r>
        <w:rPr>
          <w:vertAlign w:val="baseline"/>
        </w:rPr>
        <w:t>cui</w:t>
      </w:r>
      <w:r>
        <w:rPr>
          <w:spacing w:val="-18"/>
          <w:vertAlign w:val="baseline"/>
        </w:rPr>
        <w:t> </w:t>
      </w:r>
      <w:r>
        <w:rPr>
          <w:vertAlign w:val="baseline"/>
        </w:rPr>
        <w:t>le</w:t>
      </w:r>
      <w:r>
        <w:rPr>
          <w:spacing w:val="-16"/>
          <w:vertAlign w:val="baseline"/>
        </w:rPr>
        <w:t> </w:t>
      </w:r>
      <w:r>
        <w:rPr>
          <w:vertAlign w:val="baseline"/>
        </w:rPr>
        <w:t>importazioni</w:t>
      </w:r>
      <w:r>
        <w:rPr>
          <w:spacing w:val="-18"/>
          <w:vertAlign w:val="baseline"/>
        </w:rPr>
        <w:t> </w:t>
      </w:r>
      <w:r>
        <w:rPr>
          <w:vertAlign w:val="baseline"/>
        </w:rPr>
        <w:t>del</w:t>
      </w:r>
      <w:r>
        <w:rPr>
          <w:spacing w:val="-16"/>
          <w:vertAlign w:val="baseline"/>
        </w:rPr>
        <w:t> </w:t>
      </w:r>
      <w:r>
        <w:rPr>
          <w:vertAlign w:val="baseline"/>
        </w:rPr>
        <w:t>Regno</w:t>
      </w:r>
      <w:r>
        <w:rPr>
          <w:spacing w:val="-19"/>
          <w:vertAlign w:val="baseline"/>
        </w:rPr>
        <w:t> </w:t>
      </w:r>
      <w:r>
        <w:rPr>
          <w:vertAlign w:val="baseline"/>
        </w:rPr>
        <w:t>Unito</w:t>
      </w:r>
      <w:r>
        <w:rPr>
          <w:spacing w:val="-17"/>
          <w:vertAlign w:val="baseline"/>
        </w:rPr>
        <w:t> </w:t>
      </w:r>
      <w:r>
        <w:rPr>
          <w:vertAlign w:val="baseline"/>
        </w:rPr>
        <w:t>sono</w:t>
      </w:r>
      <w:r>
        <w:rPr>
          <w:spacing w:val="-19"/>
          <w:vertAlign w:val="baseline"/>
        </w:rPr>
        <w:t> </w:t>
      </w:r>
      <w:r>
        <w:rPr>
          <w:vertAlign w:val="baseline"/>
        </w:rPr>
        <w:t>fortemente</w:t>
      </w:r>
      <w:r>
        <w:rPr>
          <w:spacing w:val="-17"/>
          <w:vertAlign w:val="baseline"/>
        </w:rPr>
        <w:t> </w:t>
      </w:r>
      <w:r>
        <w:rPr>
          <w:vertAlign w:val="baseline"/>
        </w:rPr>
        <w:t>aumentate</w:t>
      </w:r>
      <w:r>
        <w:rPr>
          <w:spacing w:val="-16"/>
          <w:vertAlign w:val="baseline"/>
        </w:rPr>
        <w:t> </w:t>
      </w:r>
      <w:r>
        <w:rPr>
          <w:vertAlign w:val="baseline"/>
        </w:rPr>
        <w:t>per</w:t>
      </w:r>
      <w:r>
        <w:rPr>
          <w:spacing w:val="-16"/>
          <w:vertAlign w:val="baseline"/>
        </w:rPr>
        <w:t> </w:t>
      </w:r>
      <w:r>
        <w:rPr>
          <w:vertAlign w:val="baseline"/>
        </w:rPr>
        <w:t>via</w:t>
      </w:r>
      <w:r>
        <w:rPr>
          <w:spacing w:val="-17"/>
          <w:vertAlign w:val="baseline"/>
        </w:rPr>
        <w:t> </w:t>
      </w:r>
      <w:r>
        <w:rPr>
          <w:vertAlign w:val="baseline"/>
        </w:rPr>
        <w:t>di</w:t>
      </w:r>
      <w:r>
        <w:rPr>
          <w:spacing w:val="-18"/>
          <w:vertAlign w:val="baseline"/>
        </w:rPr>
        <w:t> </w:t>
      </w:r>
      <w:r>
        <w:rPr>
          <w:vertAlign w:val="baseline"/>
        </w:rPr>
        <w:t>acquisti</w:t>
      </w:r>
      <w:r>
        <w:rPr>
          <w:w w:val="100"/>
          <w:vertAlign w:val="baseline"/>
        </w:rPr>
        <w:t> </w:t>
      </w:r>
      <w:r>
        <w:rPr>
          <w:vertAlign w:val="baseline"/>
        </w:rPr>
        <w:t>preventivi</w:t>
        <w:tab/>
        <w:t>di</w:t>
        <w:tab/>
        <w:t>prodotti</w:t>
        <w:tab/>
        <w:t>europei,</w:t>
        <w:tab/>
        <w:t>le</w:t>
        <w:tab/>
        <w:t>economie</w:t>
        <w:tab/>
        <w:t>dell’area</w:t>
        <w:tab/>
        <w:t>stanno</w:t>
        <w:tab/>
      </w:r>
      <w:r>
        <w:rPr>
          <w:spacing w:val="-3"/>
          <w:vertAlign w:val="baseline"/>
        </w:rPr>
        <w:t>risentendo </w:t>
      </w:r>
      <w:r>
        <w:rPr>
          <w:vertAlign w:val="baseline"/>
        </w:rPr>
        <w:t>sensibilmente anche del rallentamento dell’economia britannica a causa</w:t>
      </w:r>
      <w:r>
        <w:rPr>
          <w:spacing w:val="23"/>
          <w:vertAlign w:val="baseline"/>
        </w:rPr>
        <w:t> </w:t>
      </w:r>
      <w:r>
        <w:rPr>
          <w:vertAlign w:val="baseline"/>
        </w:rPr>
        <w:t>del</w:t>
      </w:r>
      <w:r>
        <w:rPr>
          <w:spacing w:val="3"/>
          <w:vertAlign w:val="baseline"/>
        </w:rPr>
        <w:t> </w:t>
      </w:r>
      <w:r>
        <w:rPr>
          <w:vertAlign w:val="baseline"/>
        </w:rPr>
        <w:t>clima</w:t>
      </w:r>
      <w:r>
        <w:rPr>
          <w:w w:val="100"/>
          <w:vertAlign w:val="baseline"/>
        </w:rPr>
        <w:t> </w:t>
      </w:r>
      <w:r>
        <w:rPr>
          <w:vertAlign w:val="baseline"/>
        </w:rPr>
        <w:t>di</w:t>
      </w:r>
      <w:r>
        <w:rPr>
          <w:spacing w:val="33"/>
          <w:vertAlign w:val="baseline"/>
        </w:rPr>
        <w:t> </w:t>
      </w:r>
      <w:r>
        <w:rPr>
          <w:vertAlign w:val="baseline"/>
        </w:rPr>
        <w:t>incertezza</w:t>
      </w:r>
      <w:r>
        <w:rPr>
          <w:spacing w:val="33"/>
          <w:vertAlign w:val="baseline"/>
        </w:rPr>
        <w:t> </w:t>
      </w:r>
      <w:r>
        <w:rPr>
          <w:vertAlign w:val="baseline"/>
        </w:rPr>
        <w:t>generato</w:t>
      </w:r>
      <w:r>
        <w:rPr>
          <w:spacing w:val="31"/>
          <w:vertAlign w:val="baseline"/>
        </w:rPr>
        <w:t> </w:t>
      </w:r>
      <w:r>
        <w:rPr>
          <w:vertAlign w:val="baseline"/>
        </w:rPr>
        <w:t>dalla</w:t>
      </w:r>
      <w:r>
        <w:rPr>
          <w:spacing w:val="33"/>
          <w:vertAlign w:val="baseline"/>
        </w:rPr>
        <w:t> </w:t>
      </w:r>
      <w:r>
        <w:rPr>
          <w:vertAlign w:val="baseline"/>
        </w:rPr>
        <w:t>Brexit.</w:t>
      </w:r>
      <w:r>
        <w:rPr>
          <w:spacing w:val="35"/>
          <w:vertAlign w:val="baseline"/>
        </w:rPr>
        <w:t> </w:t>
      </w:r>
      <w:r>
        <w:rPr>
          <w:vertAlign w:val="baseline"/>
        </w:rPr>
        <w:t>Malgrado</w:t>
      </w:r>
      <w:r>
        <w:rPr>
          <w:spacing w:val="31"/>
          <w:vertAlign w:val="baseline"/>
        </w:rPr>
        <w:t> </w:t>
      </w:r>
      <w:r>
        <w:rPr>
          <w:vertAlign w:val="baseline"/>
        </w:rPr>
        <w:t>gli</w:t>
      </w:r>
      <w:r>
        <w:rPr>
          <w:spacing w:val="33"/>
          <w:vertAlign w:val="baseline"/>
        </w:rPr>
        <w:t> </w:t>
      </w:r>
      <w:r>
        <w:rPr>
          <w:vertAlign w:val="baseline"/>
        </w:rPr>
        <w:t>sviluppi</w:t>
      </w:r>
      <w:r>
        <w:rPr>
          <w:spacing w:val="33"/>
          <w:vertAlign w:val="baseline"/>
        </w:rPr>
        <w:t> </w:t>
      </w:r>
      <w:r>
        <w:rPr>
          <w:vertAlign w:val="baseline"/>
        </w:rPr>
        <w:t>più</w:t>
      </w:r>
      <w:r>
        <w:rPr>
          <w:spacing w:val="33"/>
          <w:vertAlign w:val="baseline"/>
        </w:rPr>
        <w:t> </w:t>
      </w:r>
      <w:r>
        <w:rPr>
          <w:vertAlign w:val="baseline"/>
        </w:rPr>
        <w:t>recenti</w:t>
      </w:r>
      <w:r>
        <w:rPr>
          <w:spacing w:val="31"/>
          <w:vertAlign w:val="baseline"/>
        </w:rPr>
        <w:t> </w:t>
      </w:r>
      <w:r>
        <w:rPr>
          <w:vertAlign w:val="baseline"/>
        </w:rPr>
        <w:t>abbiano</w:t>
      </w:r>
      <w:r>
        <w:rPr>
          <w:spacing w:val="35"/>
          <w:vertAlign w:val="baseline"/>
        </w:rPr>
        <w:t> </w:t>
      </w:r>
      <w:r>
        <w:rPr>
          <w:vertAlign w:val="baseline"/>
        </w:rPr>
        <w:t>in</w:t>
      </w:r>
      <w:r>
        <w:rPr>
          <w:spacing w:val="-1"/>
          <w:w w:val="100"/>
          <w:vertAlign w:val="baseline"/>
        </w:rPr>
        <w:t> </w:t>
      </w:r>
      <w:r>
        <w:rPr>
          <w:vertAlign w:val="baseline"/>
        </w:rPr>
        <w:t>parte</w:t>
      </w:r>
      <w:r>
        <w:rPr>
          <w:spacing w:val="22"/>
          <w:vertAlign w:val="baseline"/>
        </w:rPr>
        <w:t> </w:t>
      </w:r>
      <w:r>
        <w:rPr>
          <w:vertAlign w:val="baseline"/>
        </w:rPr>
        <w:t>ridimensionato</w:t>
      </w:r>
      <w:r>
        <w:rPr>
          <w:spacing w:val="22"/>
          <w:vertAlign w:val="baseline"/>
        </w:rPr>
        <w:t> </w:t>
      </w:r>
      <w:r>
        <w:rPr>
          <w:vertAlign w:val="baseline"/>
        </w:rPr>
        <w:t>il</w:t>
      </w:r>
      <w:r>
        <w:rPr>
          <w:spacing w:val="26"/>
          <w:vertAlign w:val="baseline"/>
        </w:rPr>
        <w:t> </w:t>
      </w:r>
      <w:r>
        <w:rPr>
          <w:vertAlign w:val="baseline"/>
        </w:rPr>
        <w:t>rischio</w:t>
      </w:r>
      <w:r>
        <w:rPr>
          <w:spacing w:val="21"/>
          <w:vertAlign w:val="baseline"/>
        </w:rPr>
        <w:t> </w:t>
      </w:r>
      <w:r>
        <w:rPr>
          <w:vertAlign w:val="baseline"/>
        </w:rPr>
        <w:t>di</w:t>
      </w:r>
      <w:r>
        <w:rPr>
          <w:spacing w:val="23"/>
          <w:vertAlign w:val="baseline"/>
        </w:rPr>
        <w:t> </w:t>
      </w:r>
      <w:r>
        <w:rPr>
          <w:vertAlign w:val="baseline"/>
        </w:rPr>
        <w:t>uscita</w:t>
      </w:r>
      <w:r>
        <w:rPr>
          <w:spacing w:val="22"/>
          <w:vertAlign w:val="baseline"/>
        </w:rPr>
        <w:t> </w:t>
      </w:r>
      <w:r>
        <w:rPr>
          <w:vertAlign w:val="baseline"/>
        </w:rPr>
        <w:t>senza</w:t>
      </w:r>
      <w:r>
        <w:rPr>
          <w:spacing w:val="23"/>
          <w:vertAlign w:val="baseline"/>
        </w:rPr>
        <w:t> </w:t>
      </w:r>
      <w:r>
        <w:rPr>
          <w:vertAlign w:val="baseline"/>
        </w:rPr>
        <w:t>accordo</w:t>
      </w:r>
      <w:r>
        <w:rPr>
          <w:spacing w:val="20"/>
          <w:vertAlign w:val="baseline"/>
        </w:rPr>
        <w:t> </w:t>
      </w:r>
      <w:r>
        <w:rPr>
          <w:vertAlign w:val="baseline"/>
        </w:rPr>
        <w:t>con</w:t>
      </w:r>
      <w:r>
        <w:rPr>
          <w:spacing w:val="23"/>
          <w:vertAlign w:val="baseline"/>
        </w:rPr>
        <w:t> </w:t>
      </w:r>
      <w:r>
        <w:rPr>
          <w:vertAlign w:val="baseline"/>
        </w:rPr>
        <w:t>l’UE</w:t>
      </w:r>
      <w:r>
        <w:rPr>
          <w:spacing w:val="24"/>
          <w:vertAlign w:val="baseline"/>
        </w:rPr>
        <w:t> </w:t>
      </w:r>
      <w:r>
        <w:rPr>
          <w:vertAlign w:val="baseline"/>
        </w:rPr>
        <w:t>(</w:t>
      </w:r>
      <w:r>
        <w:rPr>
          <w:i/>
          <w:vertAlign w:val="baseline"/>
        </w:rPr>
        <w:t>no-deal</w:t>
      </w:r>
      <w:r>
        <w:rPr>
          <w:i/>
          <w:spacing w:val="22"/>
          <w:vertAlign w:val="baseline"/>
        </w:rPr>
        <w:t> </w:t>
      </w:r>
      <w:r>
        <w:rPr>
          <w:i/>
          <w:vertAlign w:val="baseline"/>
        </w:rPr>
        <w:t>Brexit</w:t>
      </w:r>
      <w:r>
        <w:rPr>
          <w:vertAlign w:val="baseline"/>
        </w:rPr>
        <w:t>),</w:t>
      </w:r>
      <w:r>
        <w:rPr>
          <w:w w:val="100"/>
          <w:vertAlign w:val="baseline"/>
        </w:rPr>
        <w:t> </w:t>
      </w:r>
      <w:r>
        <w:rPr>
          <w:vertAlign w:val="baseline"/>
        </w:rPr>
        <w:t>anche il solo prolungarsi della fase di stallo delle trattative attraverso</w:t>
      </w:r>
      <w:r>
        <w:rPr>
          <w:spacing w:val="-15"/>
          <w:vertAlign w:val="baseline"/>
        </w:rPr>
        <w:t> </w:t>
      </w:r>
      <w:r>
        <w:rPr>
          <w:vertAlign w:val="baseline"/>
        </w:rPr>
        <w:t>un</w:t>
      </w:r>
      <w:r>
        <w:rPr>
          <w:spacing w:val="-2"/>
          <w:vertAlign w:val="baseline"/>
        </w:rPr>
        <w:t> </w:t>
      </w:r>
      <w:r>
        <w:rPr>
          <w:vertAlign w:val="baseline"/>
        </w:rPr>
        <w:t>posticipo</w:t>
      </w:r>
      <w:r>
        <w:rPr>
          <w:spacing w:val="-1"/>
          <w:w w:val="100"/>
          <w:vertAlign w:val="baseline"/>
        </w:rPr>
        <w:t> </w:t>
      </w:r>
      <w:r>
        <w:rPr>
          <w:vertAlign w:val="baseline"/>
        </w:rPr>
        <w:t>della</w:t>
      </w:r>
      <w:r>
        <w:rPr>
          <w:spacing w:val="21"/>
          <w:vertAlign w:val="baseline"/>
        </w:rPr>
        <w:t> </w:t>
      </w:r>
      <w:r>
        <w:rPr>
          <w:vertAlign w:val="baseline"/>
        </w:rPr>
        <w:t>scadenza</w:t>
      </w:r>
      <w:r>
        <w:rPr>
          <w:spacing w:val="22"/>
          <w:vertAlign w:val="baseline"/>
        </w:rPr>
        <w:t> </w:t>
      </w:r>
      <w:r>
        <w:rPr>
          <w:vertAlign w:val="baseline"/>
        </w:rPr>
        <w:t>per</w:t>
      </w:r>
      <w:r>
        <w:rPr>
          <w:spacing w:val="23"/>
          <w:vertAlign w:val="baseline"/>
        </w:rPr>
        <w:t> </w:t>
      </w:r>
      <w:r>
        <w:rPr>
          <w:vertAlign w:val="baseline"/>
        </w:rPr>
        <w:t>il</w:t>
      </w:r>
      <w:r>
        <w:rPr>
          <w:spacing w:val="21"/>
          <w:vertAlign w:val="baseline"/>
        </w:rPr>
        <w:t> </w:t>
      </w:r>
      <w:r>
        <w:rPr>
          <w:vertAlign w:val="baseline"/>
        </w:rPr>
        <w:t>raggiungimento</w:t>
      </w:r>
      <w:r>
        <w:rPr>
          <w:spacing w:val="21"/>
          <w:vertAlign w:val="baseline"/>
        </w:rPr>
        <w:t> </w:t>
      </w:r>
      <w:r>
        <w:rPr>
          <w:vertAlign w:val="baseline"/>
        </w:rPr>
        <w:t>di</w:t>
      </w:r>
      <w:r>
        <w:rPr>
          <w:spacing w:val="21"/>
          <w:vertAlign w:val="baseline"/>
        </w:rPr>
        <w:t> </w:t>
      </w:r>
      <w:r>
        <w:rPr>
          <w:vertAlign w:val="baseline"/>
        </w:rPr>
        <w:t>un</w:t>
      </w:r>
      <w:r>
        <w:rPr>
          <w:spacing w:val="23"/>
          <w:vertAlign w:val="baseline"/>
        </w:rPr>
        <w:t> </w:t>
      </w:r>
      <w:r>
        <w:rPr>
          <w:vertAlign w:val="baseline"/>
        </w:rPr>
        <w:t>accordo</w:t>
      </w:r>
      <w:r>
        <w:rPr>
          <w:spacing w:val="20"/>
          <w:vertAlign w:val="baseline"/>
        </w:rPr>
        <w:t> </w:t>
      </w:r>
      <w:r>
        <w:rPr>
          <w:vertAlign w:val="baseline"/>
        </w:rPr>
        <w:t>continuerebbe</w:t>
      </w:r>
      <w:r>
        <w:rPr>
          <w:spacing w:val="22"/>
          <w:vertAlign w:val="baseline"/>
        </w:rPr>
        <w:t> </w:t>
      </w:r>
      <w:r>
        <w:rPr>
          <w:vertAlign w:val="baseline"/>
        </w:rPr>
        <w:t>ad</w:t>
      </w:r>
      <w:r>
        <w:rPr>
          <w:spacing w:val="21"/>
          <w:vertAlign w:val="baseline"/>
        </w:rPr>
        <w:t> </w:t>
      </w:r>
      <w:r>
        <w:rPr>
          <w:vertAlign w:val="baseline"/>
        </w:rPr>
        <w:t>alimentare</w:t>
      </w:r>
      <w:r>
        <w:rPr>
          <w:w w:val="100"/>
          <w:vertAlign w:val="baseline"/>
        </w:rPr>
        <w:t> </w:t>
      </w:r>
      <w:r>
        <w:rPr>
          <w:vertAlign w:val="baseline"/>
        </w:rPr>
        <w:t>l’incertezza</w:t>
      </w:r>
      <w:r>
        <w:rPr>
          <w:spacing w:val="23"/>
          <w:vertAlign w:val="baseline"/>
        </w:rPr>
        <w:t> </w:t>
      </w:r>
      <w:r>
        <w:rPr>
          <w:vertAlign w:val="baseline"/>
        </w:rPr>
        <w:t>e</w:t>
      </w:r>
      <w:r>
        <w:rPr>
          <w:spacing w:val="23"/>
          <w:vertAlign w:val="baseline"/>
        </w:rPr>
        <w:t> </w:t>
      </w:r>
      <w:r>
        <w:rPr>
          <w:vertAlign w:val="baseline"/>
        </w:rPr>
        <w:t>ad</w:t>
      </w:r>
      <w:r>
        <w:rPr>
          <w:spacing w:val="23"/>
          <w:vertAlign w:val="baseline"/>
        </w:rPr>
        <w:t> </w:t>
      </w:r>
      <w:r>
        <w:rPr>
          <w:vertAlign w:val="baseline"/>
        </w:rPr>
        <w:t>incidere</w:t>
      </w:r>
      <w:r>
        <w:rPr>
          <w:spacing w:val="24"/>
          <w:vertAlign w:val="baseline"/>
        </w:rPr>
        <w:t> </w:t>
      </w:r>
      <w:r>
        <w:rPr>
          <w:vertAlign w:val="baseline"/>
        </w:rPr>
        <w:t>negativamente</w:t>
      </w:r>
      <w:r>
        <w:rPr>
          <w:spacing w:val="25"/>
          <w:vertAlign w:val="baseline"/>
        </w:rPr>
        <w:t> </w:t>
      </w:r>
      <w:r>
        <w:rPr>
          <w:vertAlign w:val="baseline"/>
        </w:rPr>
        <w:t>su</w:t>
      </w:r>
      <w:r>
        <w:rPr>
          <w:spacing w:val="23"/>
          <w:vertAlign w:val="baseline"/>
        </w:rPr>
        <w:t> </w:t>
      </w:r>
      <w:r>
        <w:rPr>
          <w:vertAlign w:val="baseline"/>
        </w:rPr>
        <w:t>aspettative</w:t>
      </w:r>
      <w:r>
        <w:rPr>
          <w:spacing w:val="23"/>
          <w:vertAlign w:val="baseline"/>
        </w:rPr>
        <w:t> </w:t>
      </w:r>
      <w:r>
        <w:rPr>
          <w:vertAlign w:val="baseline"/>
        </w:rPr>
        <w:t>delle</w:t>
      </w:r>
      <w:r>
        <w:rPr>
          <w:spacing w:val="23"/>
          <w:vertAlign w:val="baseline"/>
        </w:rPr>
        <w:t> </w:t>
      </w:r>
      <w:r>
        <w:rPr>
          <w:vertAlign w:val="baseline"/>
        </w:rPr>
        <w:t>imprese</w:t>
      </w:r>
      <w:r>
        <w:rPr>
          <w:spacing w:val="23"/>
          <w:vertAlign w:val="baseline"/>
        </w:rPr>
        <w:t> </w:t>
      </w:r>
      <w:r>
        <w:rPr>
          <w:vertAlign w:val="baseline"/>
        </w:rPr>
        <w:t>e</w:t>
      </w:r>
      <w:r>
        <w:rPr>
          <w:spacing w:val="23"/>
          <w:vertAlign w:val="baseline"/>
        </w:rPr>
        <w:t> </w:t>
      </w:r>
      <w:r>
        <w:rPr>
          <w:vertAlign w:val="baseline"/>
        </w:rPr>
        <w:t>piani</w:t>
      </w:r>
      <w:r>
        <w:rPr>
          <w:spacing w:val="22"/>
          <w:vertAlign w:val="baseline"/>
        </w:rPr>
        <w:t> </w:t>
      </w:r>
      <w:r>
        <w:rPr>
          <w:vertAlign w:val="baseline"/>
        </w:rPr>
        <w:t>di</w:t>
      </w:r>
    </w:p>
    <w:p>
      <w:pPr>
        <w:pStyle w:val="BodyText"/>
        <w:ind w:left="278"/>
      </w:pPr>
      <w:r>
        <w:rPr/>
        <w:t>investimento.</w:t>
      </w:r>
    </w:p>
    <w:p>
      <w:pPr>
        <w:pStyle w:val="BodyText"/>
        <w:rPr>
          <w:sz w:val="20"/>
        </w:rPr>
      </w:pPr>
    </w:p>
    <w:p>
      <w:pPr>
        <w:pStyle w:val="BodyText"/>
        <w:rPr>
          <w:sz w:val="20"/>
        </w:rPr>
      </w:pPr>
    </w:p>
    <w:p>
      <w:pPr>
        <w:pStyle w:val="BodyText"/>
        <w:spacing w:before="5"/>
        <w:rPr>
          <w:sz w:val="21"/>
        </w:rPr>
      </w:pPr>
      <w:r>
        <w:rPr/>
        <w:pict>
          <v:group style="position:absolute;margin-left:93.599998pt;margin-top:14.452539pt;width:21.4pt;height:2.15pt;mso-position-horizontal-relative:page;mso-position-vertical-relative:paragraph;z-index:-251618304;mso-wrap-distance-left:0;mso-wrap-distance-right:0" coordorigin="1872,289" coordsize="428,43">
            <v:line style="position:absolute" from="1872,310" to="2299,310" stroked="true" strokeweight="2.050pt" strokecolor="#aaaaaa">
              <v:stroke dashstyle="solid"/>
            </v:line>
            <v:rect style="position:absolute;left:1872;top:291;width:5;height:5" filled="true" fillcolor="#9f9f9f" stroked="false">
              <v:fill type="solid"/>
            </v:rect>
            <v:rect style="position:absolute;left:1872;top:291;width:5;height:5" filled="true" fillcolor="#9f9f9f" stroked="false">
              <v:fill type="solid"/>
            </v:rect>
            <v:line style="position:absolute" from="1877,294" to="2295,294" stroked="true" strokeweight=".23999pt" strokecolor="#9f9f9f">
              <v:stroke dashstyle="solid"/>
            </v:line>
            <v:rect style="position:absolute;left:2294;top:291;width:5;height:5" filled="true" fillcolor="#e2e2e2" stroked="false">
              <v:fill type="solid"/>
            </v:rect>
            <v:rect style="position:absolute;left:2294;top:291;width:5;height:5" filled="true" fillcolor="#9f9f9f" stroked="false">
              <v:fill type="solid"/>
            </v:rect>
            <v:rect style="position:absolute;left:1872;top:296;width:5;height:32" filled="true" fillcolor="#9f9f9f" stroked="false">
              <v:fill type="solid"/>
            </v:rect>
            <v:rect style="position:absolute;left:2294;top:296;width:5;height:32" filled="true" fillcolor="#e2e2e2" stroked="false">
              <v:fill type="solid"/>
            </v:rect>
            <v:rect style="position:absolute;left:1872;top:327;width:5;height:5" filled="true" fillcolor="#9f9f9f" stroked="false">
              <v:fill type="solid"/>
            </v:rect>
            <v:rect style="position:absolute;left:1872;top:327;width:5;height:5" filled="true" fillcolor="#e2e2e2" stroked="false">
              <v:fill type="solid"/>
            </v:rect>
            <v:line style="position:absolute" from="1877,330" to="2295,330" stroked="true" strokeweight=".23999pt" strokecolor="#e2e2e2">
              <v:stroke dashstyle="solid"/>
            </v:line>
            <v:rect style="position:absolute;left:2294;top:327;width:5;height:5" filled="true" fillcolor="#e2e2e2" stroked="false">
              <v:fill type="solid"/>
            </v:rect>
            <v:rect style="position:absolute;left:2294;top:327;width:5;height:5" filled="true" fillcolor="#e2e2e2" stroked="false">
              <v:fill type="solid"/>
            </v:rect>
            <w10:wrap type="topAndBottom"/>
          </v:group>
        </w:pict>
      </w:r>
    </w:p>
    <w:p>
      <w:pPr>
        <w:spacing w:before="18"/>
        <w:ind w:left="278" w:right="2264" w:firstLine="0"/>
        <w:jc w:val="both"/>
        <w:rPr>
          <w:sz w:val="16"/>
        </w:rPr>
      </w:pPr>
      <w:r>
        <w:rPr>
          <w:position w:val="6"/>
          <w:sz w:val="10"/>
        </w:rPr>
        <w:t>3 </w:t>
      </w:r>
      <w:r>
        <w:rPr>
          <w:sz w:val="16"/>
        </w:rPr>
        <w:t>Il 12 agosto, l’indice principale, lo S&amp;P Merval Index, è arrivato a perdere il 48 per cento su base giornaliera in quello che è il secondo maggiore calo registrato negli ultimi 70 anni, con l’indice che ha chiuso con una riduzione del 37,9 per cento e ha in parte recuperato nelle sedute successive.</w:t>
      </w:r>
    </w:p>
    <w:p>
      <w:pPr>
        <w:spacing w:after="0"/>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1128" w:right="1412" w:firstLine="283"/>
        <w:jc w:val="both"/>
      </w:pPr>
      <w:r>
        <w:rPr/>
        <w:t>In considerazione di questi fattori, nelle previsioni di settembre la Banca Centrale Europea stima un tasso di crescita del PIL dell’area euro pari all’1,1 per cento quest’anno, 1,2 per cento nel 2020 e 1,4 per cento nel 2021 e valuta che i rischi al ribasso per la previsione siano più accentuati di quelli al rialzo.</w:t>
      </w:r>
    </w:p>
    <w:p>
      <w:pPr>
        <w:pStyle w:val="BodyText"/>
        <w:spacing w:before="2"/>
        <w:rPr>
          <w:sz w:val="23"/>
        </w:rPr>
      </w:pPr>
    </w:p>
    <w:p>
      <w:pPr>
        <w:pStyle w:val="BodyText"/>
        <w:spacing w:line="252" w:lineRule="auto"/>
        <w:ind w:left="1128" w:right="1415" w:firstLine="283"/>
        <w:jc w:val="both"/>
      </w:pPr>
      <w:r>
        <w:rPr/>
        <w:t>Le banche centrali, a fronte della nuova fase del ciclo e delle deboli pressioni inflazionistiche, hanno modificato la </w:t>
      </w:r>
      <w:r>
        <w:rPr>
          <w:i/>
        </w:rPr>
        <w:t>stance </w:t>
      </w:r>
      <w:r>
        <w:rPr/>
        <w:t>complessiva.</w:t>
      </w:r>
    </w:p>
    <w:p>
      <w:pPr>
        <w:pStyle w:val="BodyText"/>
        <w:spacing w:line="252" w:lineRule="auto"/>
        <w:ind w:left="1128" w:right="1409" w:firstLine="283"/>
        <w:jc w:val="both"/>
      </w:pPr>
      <w:r>
        <w:rPr/>
        <w:t>La Fed, dopo aver deliberato in luglio la prima riduzione in dieci anni del tasso sui</w:t>
      </w:r>
      <w:r>
        <w:rPr>
          <w:spacing w:val="-10"/>
        </w:rPr>
        <w:t> </w:t>
      </w:r>
      <w:r>
        <w:rPr>
          <w:i/>
        </w:rPr>
        <w:t>fed</w:t>
      </w:r>
      <w:r>
        <w:rPr>
          <w:i/>
          <w:spacing w:val="-9"/>
        </w:rPr>
        <w:t> </w:t>
      </w:r>
      <w:r>
        <w:rPr>
          <w:i/>
        </w:rPr>
        <w:t>funds</w:t>
      </w:r>
      <w:r>
        <w:rPr/>
        <w:t>,</w:t>
      </w:r>
      <w:r>
        <w:rPr>
          <w:spacing w:val="-9"/>
        </w:rPr>
        <w:t> </w:t>
      </w:r>
      <w:r>
        <w:rPr/>
        <w:t>in</w:t>
      </w:r>
      <w:r>
        <w:rPr>
          <w:spacing w:val="-12"/>
        </w:rPr>
        <w:t> </w:t>
      </w:r>
      <w:r>
        <w:rPr/>
        <w:t>occasione</w:t>
      </w:r>
      <w:r>
        <w:rPr>
          <w:spacing w:val="-11"/>
        </w:rPr>
        <w:t> </w:t>
      </w:r>
      <w:r>
        <w:rPr/>
        <w:t>del</w:t>
      </w:r>
      <w:r>
        <w:rPr>
          <w:spacing w:val="-9"/>
        </w:rPr>
        <w:t> </w:t>
      </w:r>
      <w:r>
        <w:rPr/>
        <w:t>meeting</w:t>
      </w:r>
      <w:r>
        <w:rPr>
          <w:spacing w:val="-10"/>
        </w:rPr>
        <w:t> </w:t>
      </w:r>
      <w:r>
        <w:rPr/>
        <w:t>di</w:t>
      </w:r>
      <w:r>
        <w:rPr>
          <w:spacing w:val="-10"/>
        </w:rPr>
        <w:t> </w:t>
      </w:r>
      <w:r>
        <w:rPr/>
        <w:t>settembre</w:t>
      </w:r>
      <w:r>
        <w:rPr>
          <w:spacing w:val="-10"/>
        </w:rPr>
        <w:t> </w:t>
      </w:r>
      <w:r>
        <w:rPr/>
        <w:t>ha</w:t>
      </w:r>
      <w:r>
        <w:rPr>
          <w:spacing w:val="-10"/>
        </w:rPr>
        <w:t> </w:t>
      </w:r>
      <w:r>
        <w:rPr/>
        <w:t>proseguito</w:t>
      </w:r>
      <w:r>
        <w:rPr>
          <w:spacing w:val="-11"/>
        </w:rPr>
        <w:t> </w:t>
      </w:r>
      <w:r>
        <w:rPr/>
        <w:t>lungo</w:t>
      </w:r>
      <w:r>
        <w:rPr>
          <w:spacing w:val="-10"/>
        </w:rPr>
        <w:t> </w:t>
      </w:r>
      <w:r>
        <w:rPr/>
        <w:t>il</w:t>
      </w:r>
      <w:r>
        <w:rPr>
          <w:spacing w:val="-10"/>
        </w:rPr>
        <w:t> </w:t>
      </w:r>
      <w:r>
        <w:rPr/>
        <w:t>percorso di</w:t>
      </w:r>
      <w:r>
        <w:rPr>
          <w:spacing w:val="-17"/>
        </w:rPr>
        <w:t> </w:t>
      </w:r>
      <w:r>
        <w:rPr/>
        <w:t>una</w:t>
      </w:r>
      <w:r>
        <w:rPr>
          <w:spacing w:val="-16"/>
        </w:rPr>
        <w:t> </w:t>
      </w:r>
      <w:r>
        <w:rPr/>
        <w:t>politica</w:t>
      </w:r>
      <w:r>
        <w:rPr>
          <w:spacing w:val="-15"/>
        </w:rPr>
        <w:t> </w:t>
      </w:r>
      <w:r>
        <w:rPr/>
        <w:t>monetaria</w:t>
      </w:r>
      <w:r>
        <w:rPr>
          <w:spacing w:val="-16"/>
        </w:rPr>
        <w:t> </w:t>
      </w:r>
      <w:r>
        <w:rPr/>
        <w:t>più</w:t>
      </w:r>
      <w:r>
        <w:rPr>
          <w:spacing w:val="-16"/>
        </w:rPr>
        <w:t> </w:t>
      </w:r>
      <w:r>
        <w:rPr/>
        <w:t>accomodante</w:t>
      </w:r>
      <w:r>
        <w:rPr>
          <w:spacing w:val="-15"/>
        </w:rPr>
        <w:t> </w:t>
      </w:r>
      <w:r>
        <w:rPr/>
        <w:t>introducendo</w:t>
      </w:r>
      <w:r>
        <w:rPr>
          <w:spacing w:val="-16"/>
        </w:rPr>
        <w:t> </w:t>
      </w:r>
      <w:r>
        <w:rPr/>
        <w:t>un</w:t>
      </w:r>
      <w:r>
        <w:rPr>
          <w:spacing w:val="-18"/>
        </w:rPr>
        <w:t> </w:t>
      </w:r>
      <w:r>
        <w:rPr/>
        <w:t>ulteriore</w:t>
      </w:r>
      <w:r>
        <w:rPr>
          <w:spacing w:val="-15"/>
        </w:rPr>
        <w:t> </w:t>
      </w:r>
      <w:r>
        <w:rPr/>
        <w:t>taglio</w:t>
      </w:r>
      <w:r>
        <w:rPr>
          <w:spacing w:val="-16"/>
        </w:rPr>
        <w:t> </w:t>
      </w:r>
      <w:r>
        <w:rPr/>
        <w:t>dei</w:t>
      </w:r>
      <w:r>
        <w:rPr>
          <w:spacing w:val="-15"/>
        </w:rPr>
        <w:t> </w:t>
      </w:r>
      <w:r>
        <w:rPr/>
        <w:t>tassi di </w:t>
      </w:r>
      <w:r>
        <w:rPr>
          <w:i/>
        </w:rPr>
        <w:t>policy </w:t>
      </w:r>
      <w:r>
        <w:rPr/>
        <w:t>di 0,25 punti percentuali, che ora si attestano tra l’1,75 e il 2 per cento. Da parte sua, la BCE in occasione del meeting dello scorso 12 settembre ha ridotto il</w:t>
      </w:r>
      <w:r>
        <w:rPr>
          <w:spacing w:val="-19"/>
        </w:rPr>
        <w:t> </w:t>
      </w:r>
      <w:r>
        <w:rPr/>
        <w:t>tasso</w:t>
      </w:r>
      <w:r>
        <w:rPr>
          <w:spacing w:val="-19"/>
        </w:rPr>
        <w:t> </w:t>
      </w:r>
      <w:r>
        <w:rPr/>
        <w:t>sui</w:t>
      </w:r>
      <w:r>
        <w:rPr>
          <w:spacing w:val="-19"/>
        </w:rPr>
        <w:t> </w:t>
      </w:r>
      <w:r>
        <w:rPr/>
        <w:t>depositi</w:t>
      </w:r>
      <w:r>
        <w:rPr>
          <w:spacing w:val="-19"/>
        </w:rPr>
        <w:t> </w:t>
      </w:r>
      <w:r>
        <w:rPr/>
        <w:t>delle</w:t>
      </w:r>
      <w:r>
        <w:rPr>
          <w:spacing w:val="-16"/>
        </w:rPr>
        <w:t> </w:t>
      </w:r>
      <w:r>
        <w:rPr/>
        <w:t>banche</w:t>
      </w:r>
      <w:r>
        <w:rPr>
          <w:spacing w:val="-19"/>
        </w:rPr>
        <w:t> </w:t>
      </w:r>
      <w:r>
        <w:rPr/>
        <w:t>al</w:t>
      </w:r>
      <w:r>
        <w:rPr>
          <w:spacing w:val="-18"/>
        </w:rPr>
        <w:t> </w:t>
      </w:r>
      <w:r>
        <w:rPr/>
        <w:t>-0,50</w:t>
      </w:r>
      <w:r>
        <w:rPr>
          <w:spacing w:val="-19"/>
        </w:rPr>
        <w:t> </w:t>
      </w:r>
      <w:r>
        <w:rPr/>
        <w:t>per</w:t>
      </w:r>
      <w:r>
        <w:rPr>
          <w:spacing w:val="-20"/>
        </w:rPr>
        <w:t> </w:t>
      </w:r>
      <w:r>
        <w:rPr/>
        <w:t>cento</w:t>
      </w:r>
      <w:r>
        <w:rPr>
          <w:spacing w:val="-19"/>
        </w:rPr>
        <w:t> </w:t>
      </w:r>
      <w:r>
        <w:rPr/>
        <w:t>(dal</w:t>
      </w:r>
      <w:r>
        <w:rPr>
          <w:spacing w:val="-18"/>
        </w:rPr>
        <w:t> </w:t>
      </w:r>
      <w:r>
        <w:rPr/>
        <w:t>precedente</w:t>
      </w:r>
      <w:r>
        <w:rPr>
          <w:spacing w:val="-18"/>
        </w:rPr>
        <w:t> </w:t>
      </w:r>
      <w:r>
        <w:rPr/>
        <w:t>-0,40</w:t>
      </w:r>
      <w:r>
        <w:rPr>
          <w:spacing w:val="-22"/>
        </w:rPr>
        <w:t> </w:t>
      </w:r>
      <w:r>
        <w:rPr/>
        <w:t>per</w:t>
      </w:r>
      <w:r>
        <w:rPr>
          <w:spacing w:val="-18"/>
        </w:rPr>
        <w:t> </w:t>
      </w:r>
      <w:r>
        <w:rPr/>
        <w:t>cento), mentre sono stati lasciati invariati il tasso principale allo zero per cento e quello sui</w:t>
      </w:r>
      <w:r>
        <w:rPr>
          <w:spacing w:val="-7"/>
        </w:rPr>
        <w:t> </w:t>
      </w:r>
      <w:r>
        <w:rPr/>
        <w:t>prestiti</w:t>
      </w:r>
      <w:r>
        <w:rPr>
          <w:spacing w:val="-6"/>
        </w:rPr>
        <w:t> </w:t>
      </w:r>
      <w:r>
        <w:rPr/>
        <w:t>marginali</w:t>
      </w:r>
      <w:r>
        <w:rPr>
          <w:spacing w:val="-6"/>
        </w:rPr>
        <w:t> </w:t>
      </w:r>
      <w:r>
        <w:rPr/>
        <w:t>allo</w:t>
      </w:r>
      <w:r>
        <w:rPr>
          <w:spacing w:val="-6"/>
        </w:rPr>
        <w:t> </w:t>
      </w:r>
      <w:r>
        <w:rPr/>
        <w:t>0,25</w:t>
      </w:r>
      <w:r>
        <w:rPr>
          <w:spacing w:val="-6"/>
        </w:rPr>
        <w:t> </w:t>
      </w:r>
      <w:r>
        <w:rPr/>
        <w:t>per</w:t>
      </w:r>
      <w:r>
        <w:rPr>
          <w:spacing w:val="-7"/>
        </w:rPr>
        <w:t> </w:t>
      </w:r>
      <w:r>
        <w:rPr/>
        <w:t>cento.</w:t>
      </w:r>
      <w:r>
        <w:rPr>
          <w:spacing w:val="-6"/>
        </w:rPr>
        <w:t> </w:t>
      </w:r>
      <w:r>
        <w:rPr/>
        <w:t>L’Istituto</w:t>
      </w:r>
      <w:r>
        <w:rPr>
          <w:spacing w:val="-7"/>
        </w:rPr>
        <w:t> </w:t>
      </w:r>
      <w:r>
        <w:rPr/>
        <w:t>ha</w:t>
      </w:r>
      <w:r>
        <w:rPr>
          <w:spacing w:val="-6"/>
        </w:rPr>
        <w:t> </w:t>
      </w:r>
      <w:r>
        <w:rPr/>
        <w:t>inoltre</w:t>
      </w:r>
      <w:r>
        <w:rPr>
          <w:spacing w:val="-5"/>
        </w:rPr>
        <w:t> </w:t>
      </w:r>
      <w:r>
        <w:rPr/>
        <w:t>introdotto</w:t>
      </w:r>
      <w:r>
        <w:rPr>
          <w:spacing w:val="-4"/>
        </w:rPr>
        <w:t> </w:t>
      </w:r>
      <w:r>
        <w:rPr/>
        <w:t>un</w:t>
      </w:r>
      <w:r>
        <w:rPr>
          <w:spacing w:val="-4"/>
        </w:rPr>
        <w:t> </w:t>
      </w:r>
      <w:r>
        <w:rPr/>
        <w:t>sistema di </w:t>
      </w:r>
      <w:r>
        <w:rPr>
          <w:i/>
        </w:rPr>
        <w:t>tiering</w:t>
      </w:r>
      <w:r>
        <w:rPr/>
        <w:t>, per cui un ammontare di riserve in eccesso pari a sei volte la riserva obbligatoria</w:t>
      </w:r>
      <w:r>
        <w:rPr>
          <w:spacing w:val="-7"/>
        </w:rPr>
        <w:t> </w:t>
      </w:r>
      <w:r>
        <w:rPr/>
        <w:t>è</w:t>
      </w:r>
      <w:r>
        <w:rPr>
          <w:spacing w:val="-7"/>
        </w:rPr>
        <w:t> </w:t>
      </w:r>
      <w:r>
        <w:rPr/>
        <w:t>remunerato</w:t>
      </w:r>
      <w:r>
        <w:rPr>
          <w:spacing w:val="-7"/>
        </w:rPr>
        <w:t> </w:t>
      </w:r>
      <w:r>
        <w:rPr/>
        <w:t>ad</w:t>
      </w:r>
      <w:r>
        <w:rPr>
          <w:spacing w:val="-7"/>
        </w:rPr>
        <w:t> </w:t>
      </w:r>
      <w:r>
        <w:rPr/>
        <w:t>un</w:t>
      </w:r>
      <w:r>
        <w:rPr>
          <w:spacing w:val="-6"/>
        </w:rPr>
        <w:t> </w:t>
      </w:r>
      <w:r>
        <w:rPr/>
        <w:t>tasso</w:t>
      </w:r>
      <w:r>
        <w:rPr>
          <w:spacing w:val="-7"/>
        </w:rPr>
        <w:t> </w:t>
      </w:r>
      <w:r>
        <w:rPr/>
        <w:t>pari</w:t>
      </w:r>
      <w:r>
        <w:rPr>
          <w:spacing w:val="-6"/>
        </w:rPr>
        <w:t> </w:t>
      </w:r>
      <w:r>
        <w:rPr/>
        <w:t>a</w:t>
      </w:r>
      <w:r>
        <w:rPr>
          <w:spacing w:val="-7"/>
        </w:rPr>
        <w:t> </w:t>
      </w:r>
      <w:r>
        <w:rPr/>
        <w:t>zero,</w:t>
      </w:r>
      <w:r>
        <w:rPr>
          <w:spacing w:val="-5"/>
        </w:rPr>
        <w:t> </w:t>
      </w:r>
      <w:r>
        <w:rPr/>
        <w:t>mentre</w:t>
      </w:r>
      <w:r>
        <w:rPr>
          <w:spacing w:val="-6"/>
        </w:rPr>
        <w:t> </w:t>
      </w:r>
      <w:r>
        <w:rPr/>
        <w:t>le</w:t>
      </w:r>
      <w:r>
        <w:rPr>
          <w:spacing w:val="-9"/>
        </w:rPr>
        <w:t> </w:t>
      </w:r>
      <w:r>
        <w:rPr/>
        <w:t>rimanenti</w:t>
      </w:r>
      <w:r>
        <w:rPr>
          <w:spacing w:val="-7"/>
        </w:rPr>
        <w:t> </w:t>
      </w:r>
      <w:r>
        <w:rPr/>
        <w:t>riserve</w:t>
      </w:r>
      <w:r>
        <w:rPr>
          <w:spacing w:val="-5"/>
        </w:rPr>
        <w:t> </w:t>
      </w:r>
      <w:r>
        <w:rPr/>
        <w:t>sono ‘tassate’</w:t>
      </w:r>
      <w:r>
        <w:rPr>
          <w:spacing w:val="-6"/>
        </w:rPr>
        <w:t> </w:t>
      </w:r>
      <w:r>
        <w:rPr/>
        <w:t>allo</w:t>
      </w:r>
      <w:r>
        <w:rPr>
          <w:spacing w:val="-7"/>
        </w:rPr>
        <w:t> </w:t>
      </w:r>
      <w:r>
        <w:rPr/>
        <w:t>0,5</w:t>
      </w:r>
      <w:r>
        <w:rPr>
          <w:spacing w:val="-7"/>
        </w:rPr>
        <w:t> </w:t>
      </w:r>
      <w:r>
        <w:rPr/>
        <w:t>per</w:t>
      </w:r>
      <w:r>
        <w:rPr>
          <w:spacing w:val="-6"/>
        </w:rPr>
        <w:t> </w:t>
      </w:r>
      <w:r>
        <w:rPr/>
        <w:t>cento.</w:t>
      </w:r>
      <w:r>
        <w:rPr>
          <w:spacing w:val="-6"/>
        </w:rPr>
        <w:t> </w:t>
      </w:r>
      <w:r>
        <w:rPr/>
        <w:t>Dato</w:t>
      </w:r>
      <w:r>
        <w:rPr>
          <w:spacing w:val="-6"/>
        </w:rPr>
        <w:t> </w:t>
      </w:r>
      <w:r>
        <w:rPr/>
        <w:t>l’attuale</w:t>
      </w:r>
      <w:r>
        <w:rPr>
          <w:spacing w:val="-7"/>
        </w:rPr>
        <w:t> </w:t>
      </w:r>
      <w:r>
        <w:rPr/>
        <w:t>stock</w:t>
      </w:r>
      <w:r>
        <w:rPr>
          <w:spacing w:val="-5"/>
        </w:rPr>
        <w:t> </w:t>
      </w:r>
      <w:r>
        <w:rPr/>
        <w:t>di</w:t>
      </w:r>
      <w:r>
        <w:rPr>
          <w:spacing w:val="-7"/>
        </w:rPr>
        <w:t> </w:t>
      </w:r>
      <w:r>
        <w:rPr/>
        <w:t>riserve</w:t>
      </w:r>
      <w:r>
        <w:rPr>
          <w:spacing w:val="-6"/>
        </w:rPr>
        <w:t> </w:t>
      </w:r>
      <w:r>
        <w:rPr/>
        <w:t>in</w:t>
      </w:r>
      <w:r>
        <w:rPr>
          <w:spacing w:val="-7"/>
        </w:rPr>
        <w:t> </w:t>
      </w:r>
      <w:r>
        <w:rPr/>
        <w:t>eccesso,</w:t>
      </w:r>
      <w:r>
        <w:rPr>
          <w:spacing w:val="-5"/>
        </w:rPr>
        <w:t> </w:t>
      </w:r>
      <w:r>
        <w:rPr/>
        <w:t>ciò</w:t>
      </w:r>
      <w:r>
        <w:rPr>
          <w:spacing w:val="-7"/>
        </w:rPr>
        <w:t> </w:t>
      </w:r>
      <w:r>
        <w:rPr/>
        <w:t>dovrebbe ridurre</w:t>
      </w:r>
      <w:r>
        <w:rPr>
          <w:spacing w:val="-19"/>
        </w:rPr>
        <w:t> </w:t>
      </w:r>
      <w:r>
        <w:rPr/>
        <w:t>l’onere</w:t>
      </w:r>
      <w:r>
        <w:rPr>
          <w:spacing w:val="-21"/>
        </w:rPr>
        <w:t> </w:t>
      </w:r>
      <w:r>
        <w:rPr/>
        <w:t>di</w:t>
      </w:r>
      <w:r>
        <w:rPr>
          <w:spacing w:val="-20"/>
        </w:rPr>
        <w:t> </w:t>
      </w:r>
      <w:r>
        <w:rPr/>
        <w:t>interesse</w:t>
      </w:r>
      <w:r>
        <w:rPr>
          <w:spacing w:val="-19"/>
        </w:rPr>
        <w:t> </w:t>
      </w:r>
      <w:r>
        <w:rPr/>
        <w:t>gravante</w:t>
      </w:r>
      <w:r>
        <w:rPr>
          <w:spacing w:val="-19"/>
        </w:rPr>
        <w:t> </w:t>
      </w:r>
      <w:r>
        <w:rPr/>
        <w:t>sulle</w:t>
      </w:r>
      <w:r>
        <w:rPr>
          <w:spacing w:val="-19"/>
        </w:rPr>
        <w:t> </w:t>
      </w:r>
      <w:r>
        <w:rPr/>
        <w:t>banche</w:t>
      </w:r>
      <w:r>
        <w:rPr>
          <w:spacing w:val="-19"/>
        </w:rPr>
        <w:t> </w:t>
      </w:r>
      <w:r>
        <w:rPr/>
        <w:t>dell’area</w:t>
      </w:r>
      <w:r>
        <w:rPr>
          <w:spacing w:val="-18"/>
        </w:rPr>
        <w:t> </w:t>
      </w:r>
      <w:r>
        <w:rPr/>
        <w:t>euro</w:t>
      </w:r>
      <w:r>
        <w:rPr>
          <w:spacing w:val="-19"/>
        </w:rPr>
        <w:t> </w:t>
      </w:r>
      <w:r>
        <w:rPr/>
        <w:t>di</w:t>
      </w:r>
      <w:r>
        <w:rPr>
          <w:spacing w:val="-20"/>
        </w:rPr>
        <w:t> </w:t>
      </w:r>
      <w:r>
        <w:rPr/>
        <w:t>circa</w:t>
      </w:r>
      <w:r>
        <w:rPr>
          <w:spacing w:val="-19"/>
        </w:rPr>
        <w:t> </w:t>
      </w:r>
      <w:r>
        <w:rPr/>
        <w:t>due</w:t>
      </w:r>
      <w:r>
        <w:rPr>
          <w:spacing w:val="-19"/>
        </w:rPr>
        <w:t> </w:t>
      </w:r>
      <w:r>
        <w:rPr/>
        <w:t>miliardi (da un attuale onere sulle riserve pari a circa 7,7</w:t>
      </w:r>
      <w:r>
        <w:rPr>
          <w:spacing w:val="-18"/>
        </w:rPr>
        <w:t> </w:t>
      </w:r>
      <w:r>
        <w:rPr/>
        <w:t>miliardi).</w:t>
      </w:r>
    </w:p>
    <w:p>
      <w:pPr>
        <w:pStyle w:val="BodyText"/>
        <w:spacing w:line="252" w:lineRule="auto"/>
        <w:ind w:left="1128" w:right="1411" w:firstLine="283"/>
        <w:jc w:val="both"/>
      </w:pPr>
      <w:r>
        <w:rPr/>
        <w:t>La BCE ha anche dichiarato che i tassi di interesse rimarranno su tali livelli, o anche inferiori, finché le prospettive dell'inflazione non saranno prossime al 2 per cento. Ciò ha comportato una modifica anche della </w:t>
      </w:r>
      <w:r>
        <w:rPr>
          <w:i/>
        </w:rPr>
        <w:t>forward guidance</w:t>
      </w:r>
      <w:r>
        <w:rPr/>
        <w:t>, fino ad ora caratterizzata da scadenze temporali ben definite, cui tuttavia si è accompagnata l’indicazione della durata delle diverse misure di intervento. Hanno trovato riscontro anche le aspettative dei mercati circa un nuovo ricorso al </w:t>
      </w:r>
      <w:r>
        <w:rPr>
          <w:i/>
        </w:rPr>
        <w:t>Quantitative </w:t>
      </w:r>
      <w:r>
        <w:rPr>
          <w:i/>
        </w:rPr>
        <w:t>easing</w:t>
      </w:r>
      <w:r>
        <w:rPr/>
        <w:t>, che è stato ripristinato prevedendo acquisti di titoli al ritmo di 20 miliardi al mese a partire dal prossimo 1° novembre, senza un termine prestabilito, ma per il tempo necessario “a rinforzare l’impatto dei tassi”. La durata del TLTRO è stata estesa a tre anni (dai due previsti in precedenza), con modalità più favorevoli per le banche in modo da agevolare l’accesso al credito e assicurare la trasmissione della</w:t>
      </w:r>
      <w:r>
        <w:rPr>
          <w:spacing w:val="-18"/>
        </w:rPr>
        <w:t> </w:t>
      </w:r>
      <w:r>
        <w:rPr/>
        <w:t>politica</w:t>
      </w:r>
      <w:r>
        <w:rPr>
          <w:spacing w:val="-16"/>
        </w:rPr>
        <w:t> </w:t>
      </w:r>
      <w:r>
        <w:rPr/>
        <w:t>monetaria.</w:t>
      </w:r>
      <w:r>
        <w:rPr>
          <w:spacing w:val="-13"/>
        </w:rPr>
        <w:t> </w:t>
      </w:r>
      <w:r>
        <w:rPr/>
        <w:t>I</w:t>
      </w:r>
      <w:r>
        <w:rPr>
          <w:spacing w:val="-16"/>
        </w:rPr>
        <w:t> </w:t>
      </w:r>
      <w:r>
        <w:rPr/>
        <w:t>tassi</w:t>
      </w:r>
      <w:r>
        <w:rPr>
          <w:spacing w:val="-17"/>
        </w:rPr>
        <w:t> </w:t>
      </w:r>
      <w:r>
        <w:rPr/>
        <w:t>applicati</w:t>
      </w:r>
      <w:r>
        <w:rPr>
          <w:spacing w:val="-16"/>
        </w:rPr>
        <w:t> </w:t>
      </w:r>
      <w:r>
        <w:rPr/>
        <w:t>sono</w:t>
      </w:r>
      <w:r>
        <w:rPr>
          <w:spacing w:val="-18"/>
        </w:rPr>
        <w:t> </w:t>
      </w:r>
      <w:r>
        <w:rPr/>
        <w:t>pari</w:t>
      </w:r>
      <w:r>
        <w:rPr>
          <w:spacing w:val="-16"/>
        </w:rPr>
        <w:t> </w:t>
      </w:r>
      <w:r>
        <w:rPr/>
        <w:t>alla</w:t>
      </w:r>
      <w:r>
        <w:rPr>
          <w:spacing w:val="-17"/>
        </w:rPr>
        <w:t> </w:t>
      </w:r>
      <w:r>
        <w:rPr/>
        <w:t>media</w:t>
      </w:r>
      <w:r>
        <w:rPr>
          <w:spacing w:val="-18"/>
        </w:rPr>
        <w:t> </w:t>
      </w:r>
      <w:r>
        <w:rPr/>
        <w:t>dei</w:t>
      </w:r>
      <w:r>
        <w:rPr>
          <w:spacing w:val="-17"/>
        </w:rPr>
        <w:t> </w:t>
      </w:r>
      <w:r>
        <w:rPr/>
        <w:t>tassi</w:t>
      </w:r>
      <w:r>
        <w:rPr>
          <w:spacing w:val="-17"/>
        </w:rPr>
        <w:t> </w:t>
      </w:r>
      <w:r>
        <w:rPr/>
        <w:t>di</w:t>
      </w:r>
      <w:r>
        <w:rPr>
          <w:spacing w:val="-17"/>
        </w:rPr>
        <w:t> </w:t>
      </w:r>
      <w:r>
        <w:rPr/>
        <w:t>riferimento (attualmente a quota zero) e sono ulteriormente più bassi per gli istituti bancari i cui prestiti netti risultano superiori ad un livello</w:t>
      </w:r>
      <w:r>
        <w:rPr>
          <w:spacing w:val="-11"/>
        </w:rPr>
        <w:t> </w:t>
      </w:r>
      <w:r>
        <w:rPr/>
        <w:t>prefissato.</w:t>
      </w:r>
    </w:p>
    <w:p>
      <w:pPr>
        <w:pStyle w:val="BodyText"/>
        <w:spacing w:line="252" w:lineRule="auto" w:before="1"/>
        <w:ind w:left="1128" w:right="1412" w:firstLine="283"/>
        <w:jc w:val="both"/>
      </w:pPr>
      <w:r>
        <w:rPr/>
        <w:t>Sul</w:t>
      </w:r>
      <w:r>
        <w:rPr>
          <w:spacing w:val="-7"/>
        </w:rPr>
        <w:t> </w:t>
      </w:r>
      <w:r>
        <w:rPr/>
        <w:t>fronte</w:t>
      </w:r>
      <w:r>
        <w:rPr>
          <w:spacing w:val="-7"/>
        </w:rPr>
        <w:t> </w:t>
      </w:r>
      <w:r>
        <w:rPr/>
        <w:t>asiatico,</w:t>
      </w:r>
      <w:r>
        <w:rPr>
          <w:spacing w:val="-6"/>
        </w:rPr>
        <w:t> </w:t>
      </w:r>
      <w:r>
        <w:rPr/>
        <w:t>anche</w:t>
      </w:r>
      <w:r>
        <w:rPr>
          <w:spacing w:val="-7"/>
        </w:rPr>
        <w:t> </w:t>
      </w:r>
      <w:r>
        <w:rPr/>
        <w:t>le</w:t>
      </w:r>
      <w:r>
        <w:rPr>
          <w:spacing w:val="-7"/>
        </w:rPr>
        <w:t> </w:t>
      </w:r>
      <w:r>
        <w:rPr/>
        <w:t>Banche</w:t>
      </w:r>
      <w:r>
        <w:rPr>
          <w:spacing w:val="-9"/>
        </w:rPr>
        <w:t> </w:t>
      </w:r>
      <w:r>
        <w:rPr/>
        <w:t>centrali</w:t>
      </w:r>
      <w:r>
        <w:rPr>
          <w:spacing w:val="-7"/>
        </w:rPr>
        <w:t> </w:t>
      </w:r>
      <w:r>
        <w:rPr/>
        <w:t>di</w:t>
      </w:r>
      <w:r>
        <w:rPr>
          <w:spacing w:val="-7"/>
        </w:rPr>
        <w:t> </w:t>
      </w:r>
      <w:r>
        <w:rPr/>
        <w:t>Cina</w:t>
      </w:r>
      <w:r>
        <w:rPr>
          <w:spacing w:val="-7"/>
        </w:rPr>
        <w:t> </w:t>
      </w:r>
      <w:r>
        <w:rPr/>
        <w:t>e</w:t>
      </w:r>
      <w:r>
        <w:rPr>
          <w:spacing w:val="-7"/>
        </w:rPr>
        <w:t> </w:t>
      </w:r>
      <w:r>
        <w:rPr/>
        <w:t>Giappone</w:t>
      </w:r>
      <w:r>
        <w:rPr>
          <w:spacing w:val="-7"/>
        </w:rPr>
        <w:t> </w:t>
      </w:r>
      <w:r>
        <w:rPr/>
        <w:t>si</w:t>
      </w:r>
      <w:r>
        <w:rPr>
          <w:spacing w:val="-7"/>
        </w:rPr>
        <w:t> </w:t>
      </w:r>
      <w:r>
        <w:rPr/>
        <w:t>sono</w:t>
      </w:r>
      <w:r>
        <w:rPr>
          <w:spacing w:val="-8"/>
        </w:rPr>
        <w:t> </w:t>
      </w:r>
      <w:r>
        <w:rPr/>
        <w:t>mostrate propense ad intervenire per contrastare l’indebolimento del ciclo economico. La Banca</w:t>
      </w:r>
      <w:r>
        <w:rPr>
          <w:spacing w:val="-16"/>
        </w:rPr>
        <w:t> </w:t>
      </w:r>
      <w:r>
        <w:rPr/>
        <w:t>Popolare</w:t>
      </w:r>
      <w:r>
        <w:rPr>
          <w:spacing w:val="-17"/>
        </w:rPr>
        <w:t> </w:t>
      </w:r>
      <w:r>
        <w:rPr/>
        <w:t>Cinese</w:t>
      </w:r>
      <w:r>
        <w:rPr>
          <w:spacing w:val="-14"/>
        </w:rPr>
        <w:t> </w:t>
      </w:r>
      <w:r>
        <w:rPr/>
        <w:t>finora</w:t>
      </w:r>
      <w:r>
        <w:rPr>
          <w:spacing w:val="-15"/>
        </w:rPr>
        <w:t> </w:t>
      </w:r>
      <w:r>
        <w:rPr/>
        <w:t>ha</w:t>
      </w:r>
      <w:r>
        <w:rPr>
          <w:spacing w:val="-17"/>
        </w:rPr>
        <w:t> </w:t>
      </w:r>
      <w:r>
        <w:rPr/>
        <w:t>limitato</w:t>
      </w:r>
      <w:r>
        <w:rPr>
          <w:spacing w:val="-15"/>
        </w:rPr>
        <w:t> </w:t>
      </w:r>
      <w:r>
        <w:rPr/>
        <w:t>il</w:t>
      </w:r>
      <w:r>
        <w:rPr>
          <w:spacing w:val="-15"/>
        </w:rPr>
        <w:t> </w:t>
      </w:r>
      <w:r>
        <w:rPr/>
        <w:t>proprio</w:t>
      </w:r>
      <w:r>
        <w:rPr>
          <w:spacing w:val="-15"/>
        </w:rPr>
        <w:t> </w:t>
      </w:r>
      <w:r>
        <w:rPr/>
        <w:t>intervento</w:t>
      </w:r>
      <w:r>
        <w:rPr>
          <w:spacing w:val="-16"/>
        </w:rPr>
        <w:t> </w:t>
      </w:r>
      <w:r>
        <w:rPr/>
        <w:t>ad</w:t>
      </w:r>
      <w:r>
        <w:rPr>
          <w:spacing w:val="-15"/>
        </w:rPr>
        <w:t> </w:t>
      </w:r>
      <w:r>
        <w:rPr/>
        <w:t>un</w:t>
      </w:r>
      <w:r>
        <w:rPr>
          <w:spacing w:val="-17"/>
        </w:rPr>
        <w:t> </w:t>
      </w:r>
      <w:r>
        <w:rPr/>
        <w:t>marginale</w:t>
      </w:r>
      <w:r>
        <w:rPr>
          <w:spacing w:val="-15"/>
        </w:rPr>
        <w:t> </w:t>
      </w:r>
      <w:r>
        <w:rPr/>
        <w:t>taglio dei soli tassi d'interesse ad un anno. La Banca del Giappone per il momento si è astenuta</w:t>
      </w:r>
      <w:r>
        <w:rPr>
          <w:spacing w:val="-4"/>
        </w:rPr>
        <w:t> </w:t>
      </w:r>
      <w:r>
        <w:rPr/>
        <w:t>da</w:t>
      </w:r>
      <w:r>
        <w:rPr>
          <w:spacing w:val="-4"/>
        </w:rPr>
        <w:t> </w:t>
      </w:r>
      <w:r>
        <w:rPr/>
        <w:t>un</w:t>
      </w:r>
      <w:r>
        <w:rPr>
          <w:spacing w:val="-4"/>
        </w:rPr>
        <w:t> </w:t>
      </w:r>
      <w:r>
        <w:rPr/>
        <w:t>intervento</w:t>
      </w:r>
      <w:r>
        <w:rPr>
          <w:spacing w:val="-4"/>
        </w:rPr>
        <w:t> </w:t>
      </w:r>
      <w:r>
        <w:rPr/>
        <w:t>sui</w:t>
      </w:r>
      <w:r>
        <w:rPr>
          <w:spacing w:val="-3"/>
        </w:rPr>
        <w:t> </w:t>
      </w:r>
      <w:r>
        <w:rPr/>
        <w:t>tassi</w:t>
      </w:r>
      <w:r>
        <w:rPr>
          <w:spacing w:val="-3"/>
        </w:rPr>
        <w:t> </w:t>
      </w:r>
      <w:r>
        <w:rPr/>
        <w:t>ma</w:t>
      </w:r>
      <w:r>
        <w:rPr>
          <w:spacing w:val="-4"/>
        </w:rPr>
        <w:t> </w:t>
      </w:r>
      <w:r>
        <w:rPr/>
        <w:t>ha</w:t>
      </w:r>
      <w:r>
        <w:rPr>
          <w:spacing w:val="-7"/>
        </w:rPr>
        <w:t> </w:t>
      </w:r>
      <w:r>
        <w:rPr/>
        <w:t>dichiarato</w:t>
      </w:r>
      <w:r>
        <w:rPr>
          <w:spacing w:val="-4"/>
        </w:rPr>
        <w:t> </w:t>
      </w:r>
      <w:r>
        <w:rPr/>
        <w:t>di</w:t>
      </w:r>
      <w:r>
        <w:rPr>
          <w:spacing w:val="-4"/>
        </w:rPr>
        <w:t> </w:t>
      </w:r>
      <w:r>
        <w:rPr/>
        <w:t>essere</w:t>
      </w:r>
      <w:r>
        <w:rPr>
          <w:spacing w:val="-4"/>
        </w:rPr>
        <w:t> </w:t>
      </w:r>
      <w:r>
        <w:rPr/>
        <w:t>pronta</w:t>
      </w:r>
      <w:r>
        <w:rPr>
          <w:spacing w:val="-4"/>
        </w:rPr>
        <w:t> </w:t>
      </w:r>
      <w:r>
        <w:rPr/>
        <w:t>a</w:t>
      </w:r>
      <w:r>
        <w:rPr>
          <w:spacing w:val="-4"/>
        </w:rPr>
        <w:t> </w:t>
      </w:r>
      <w:r>
        <w:rPr/>
        <w:t>un’ulteriore operazione di allentamento monetario se</w:t>
      </w:r>
      <w:r>
        <w:rPr>
          <w:spacing w:val="-7"/>
        </w:rPr>
        <w:t> </w:t>
      </w:r>
      <w:r>
        <w:rPr/>
        <w:t>necessario.</w:t>
      </w:r>
    </w:p>
    <w:p>
      <w:pPr>
        <w:pStyle w:val="BodyText"/>
        <w:spacing w:line="252" w:lineRule="auto"/>
        <w:ind w:left="1128" w:right="1414" w:firstLine="283"/>
        <w:jc w:val="both"/>
      </w:pPr>
      <w:r>
        <w:rPr/>
        <w:t>Nel</w:t>
      </w:r>
      <w:r>
        <w:rPr>
          <w:spacing w:val="-13"/>
        </w:rPr>
        <w:t> </w:t>
      </w:r>
      <w:r>
        <w:rPr/>
        <w:t>complesso,</w:t>
      </w:r>
      <w:r>
        <w:rPr>
          <w:spacing w:val="-11"/>
        </w:rPr>
        <w:t> </w:t>
      </w:r>
      <w:r>
        <w:rPr/>
        <w:t>più</w:t>
      </w:r>
      <w:r>
        <w:rPr>
          <w:spacing w:val="-11"/>
        </w:rPr>
        <w:t> </w:t>
      </w:r>
      <w:r>
        <w:rPr/>
        <w:t>di</w:t>
      </w:r>
      <w:r>
        <w:rPr>
          <w:spacing w:val="-12"/>
        </w:rPr>
        <w:t> </w:t>
      </w:r>
      <w:r>
        <w:rPr/>
        <w:t>trenta</w:t>
      </w:r>
      <w:r>
        <w:rPr>
          <w:spacing w:val="-12"/>
        </w:rPr>
        <w:t> </w:t>
      </w:r>
      <w:r>
        <w:rPr/>
        <w:t>banche</w:t>
      </w:r>
      <w:r>
        <w:rPr>
          <w:spacing w:val="-12"/>
        </w:rPr>
        <w:t> </w:t>
      </w:r>
      <w:r>
        <w:rPr/>
        <w:t>centrali</w:t>
      </w:r>
      <w:r>
        <w:rPr>
          <w:spacing w:val="-13"/>
        </w:rPr>
        <w:t> </w:t>
      </w:r>
      <w:r>
        <w:rPr/>
        <w:t>hanno</w:t>
      </w:r>
      <w:r>
        <w:rPr>
          <w:spacing w:val="-12"/>
        </w:rPr>
        <w:t> </w:t>
      </w:r>
      <w:r>
        <w:rPr/>
        <w:t>stabilito</w:t>
      </w:r>
      <w:r>
        <w:rPr>
          <w:spacing w:val="-12"/>
        </w:rPr>
        <w:t> </w:t>
      </w:r>
      <w:r>
        <w:rPr/>
        <w:t>la</w:t>
      </w:r>
      <w:r>
        <w:rPr>
          <w:spacing w:val="-12"/>
        </w:rPr>
        <w:t> </w:t>
      </w:r>
      <w:r>
        <w:rPr/>
        <w:t>riduzione</w:t>
      </w:r>
      <w:r>
        <w:rPr>
          <w:spacing w:val="-12"/>
        </w:rPr>
        <w:t> </w:t>
      </w:r>
      <w:r>
        <w:rPr/>
        <w:t>dei</w:t>
      </w:r>
      <w:r>
        <w:rPr>
          <w:spacing w:val="-12"/>
        </w:rPr>
        <w:t> </w:t>
      </w:r>
      <w:r>
        <w:rPr/>
        <w:t>tassi di</w:t>
      </w:r>
      <w:r>
        <w:rPr>
          <w:spacing w:val="-8"/>
        </w:rPr>
        <w:t> </w:t>
      </w:r>
      <w:r>
        <w:rPr/>
        <w:t>policy</w:t>
      </w:r>
      <w:r>
        <w:rPr>
          <w:spacing w:val="-8"/>
        </w:rPr>
        <w:t> </w:t>
      </w:r>
      <w:r>
        <w:rPr/>
        <w:t>dall’inizio</w:t>
      </w:r>
      <w:r>
        <w:rPr>
          <w:spacing w:val="-8"/>
        </w:rPr>
        <w:t> </w:t>
      </w:r>
      <w:r>
        <w:rPr/>
        <w:t>di</w:t>
      </w:r>
      <w:r>
        <w:rPr>
          <w:spacing w:val="-8"/>
        </w:rPr>
        <w:t> </w:t>
      </w:r>
      <w:r>
        <w:rPr/>
        <w:t>quest’anno:</w:t>
      </w:r>
      <w:r>
        <w:rPr>
          <w:spacing w:val="-7"/>
        </w:rPr>
        <w:t> </w:t>
      </w:r>
      <w:r>
        <w:rPr/>
        <w:t>ad</w:t>
      </w:r>
      <w:r>
        <w:rPr>
          <w:spacing w:val="-7"/>
        </w:rPr>
        <w:t> </w:t>
      </w:r>
      <w:r>
        <w:rPr/>
        <w:t>agosto</w:t>
      </w:r>
      <w:r>
        <w:rPr>
          <w:spacing w:val="-8"/>
        </w:rPr>
        <w:t> </w:t>
      </w:r>
      <w:r>
        <w:rPr/>
        <w:t>le</w:t>
      </w:r>
      <w:r>
        <w:rPr>
          <w:spacing w:val="-7"/>
        </w:rPr>
        <w:t> </w:t>
      </w:r>
      <w:r>
        <w:rPr/>
        <w:t>banche</w:t>
      </w:r>
      <w:r>
        <w:rPr>
          <w:spacing w:val="-8"/>
        </w:rPr>
        <w:t> </w:t>
      </w:r>
      <w:r>
        <w:rPr/>
        <w:t>centrali</w:t>
      </w:r>
      <w:r>
        <w:rPr>
          <w:spacing w:val="-8"/>
        </w:rPr>
        <w:t> </w:t>
      </w:r>
      <w:r>
        <w:rPr/>
        <w:t>di</w:t>
      </w:r>
      <w:r>
        <w:rPr>
          <w:spacing w:val="-10"/>
        </w:rPr>
        <w:t> </w:t>
      </w:r>
      <w:r>
        <w:rPr/>
        <w:t>India,</w:t>
      </w:r>
      <w:r>
        <w:rPr>
          <w:spacing w:val="-9"/>
        </w:rPr>
        <w:t> </w:t>
      </w:r>
      <w:r>
        <w:rPr/>
        <w:t>Tailandia</w:t>
      </w:r>
      <w:r>
        <w:rPr>
          <w:spacing w:val="-8"/>
        </w:rPr>
        <w:t> </w:t>
      </w:r>
      <w:r>
        <w:rPr/>
        <w:t>e Nuova Zelanda hanno abbassato i tassi spiazzando le aspettative di mercato o comunque in misura superiore alle attese; il Messico ha tagliato i costi di finanziamento per la prima volta dal 2014; la Banca centrale di Indonesia a settembre ha tagliato i tassi di riferimento per la terza volta in tre</w:t>
      </w:r>
      <w:r>
        <w:rPr>
          <w:spacing w:val="-20"/>
        </w:rPr>
        <w:t> </w:t>
      </w:r>
      <w:r>
        <w:rPr/>
        <w:t>mesi.</w:t>
      </w:r>
    </w:p>
    <w:p>
      <w:pPr>
        <w:pStyle w:val="BodyText"/>
        <w:spacing w:line="252" w:lineRule="auto"/>
        <w:ind w:left="1128" w:right="1414" w:firstLine="283"/>
        <w:jc w:val="both"/>
      </w:pPr>
      <w:r>
        <w:rPr/>
        <w:t>Eppure, i margini a disposizione delle banche centrali, soprattutto delle più rilevanti, sono più limitati di quanto non fossero all’indomani delle crisi finanziarie</w:t>
      </w:r>
    </w:p>
    <w:p>
      <w:pPr>
        <w:spacing w:after="0" w:line="252" w:lineRule="auto"/>
        <w:jc w:val="both"/>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278" w:right="2264"/>
        <w:jc w:val="both"/>
      </w:pPr>
      <w:r>
        <w:rPr/>
        <w:t>e il sostegno di cui l’economia ha bisogno potrebbe essere calibrato in maniera più efficace attraverso politiche fiscali mirate. Lo stesso Governatore della BCE, commentando le decisioni di politica monetaria ha ribadito l’importanza di un’iniziativa dei Governi nazionali per rimuovere gli ostacoli alle relazioni commerciali, attenuare le tensioni geopolitiche e sostenere l’attività produttiva e la domanda attraverso misure di politica fiscale.</w:t>
      </w:r>
    </w:p>
    <w:p>
      <w:pPr>
        <w:pStyle w:val="BodyText"/>
        <w:spacing w:line="252" w:lineRule="auto" w:before="1"/>
        <w:ind w:left="278" w:right="2263" w:firstLine="283"/>
        <w:jc w:val="both"/>
      </w:pPr>
      <w:r>
        <w:rPr/>
        <w:t>Per queste ultime, se gli spazi di manovra negli Stati Uniti appaiono meno evidenti data la forte espansione del deficit federale dal 2016 ad oggi, restano disponibili margini ben più ampi a livello europeo e cinese. Il Governo cinese ha disposto riduzioni di imposta per sostenere la domanda interna e sta promuovendo iniziative per favorire gli investimenti diretti dall’estero.</w:t>
      </w:r>
    </w:p>
    <w:p>
      <w:pPr>
        <w:pStyle w:val="BodyText"/>
        <w:rPr>
          <w:sz w:val="23"/>
        </w:rPr>
      </w:pPr>
    </w:p>
    <w:p>
      <w:pPr>
        <w:pStyle w:val="BodyText"/>
        <w:spacing w:line="252" w:lineRule="auto"/>
        <w:ind w:left="278" w:right="2262" w:firstLine="283"/>
        <w:jc w:val="both"/>
      </w:pPr>
      <w:r>
        <w:rPr/>
        <w:t>Sul fronte dei mercati finanziari, i rendimenti a lungo termine dei titoli sovrani dei Paesi dell’area dell’euro nel corso del 2019 hanno mostrato una tendenza al ribasso. Nel mese di agosto il rendimento medio (ponderato per il PIL) dei titoli sovrani a dieci anni dell’area dell’euro è risultato sostanzialmente nullo (-0,02 per cento). Un profilo discendente si è registrato anche per i rendimenti dei titoli di Stato a dieci anni di numerosi altri Paesi, tra cui gli Stati Uniti, il Giappone e il Regno</w:t>
      </w:r>
      <w:r>
        <w:rPr>
          <w:spacing w:val="-16"/>
        </w:rPr>
        <w:t> </w:t>
      </w:r>
      <w:r>
        <w:rPr/>
        <w:t>Unito.</w:t>
      </w:r>
      <w:r>
        <w:rPr>
          <w:spacing w:val="-13"/>
        </w:rPr>
        <w:t> </w:t>
      </w:r>
      <w:r>
        <w:rPr/>
        <w:t>Anche</w:t>
      </w:r>
      <w:r>
        <w:rPr>
          <w:spacing w:val="-15"/>
        </w:rPr>
        <w:t> </w:t>
      </w:r>
      <w:r>
        <w:rPr/>
        <w:t>i</w:t>
      </w:r>
      <w:r>
        <w:rPr>
          <w:spacing w:val="-14"/>
        </w:rPr>
        <w:t> </w:t>
      </w:r>
      <w:r>
        <w:rPr/>
        <w:t>differenziali</w:t>
      </w:r>
      <w:r>
        <w:rPr>
          <w:spacing w:val="-14"/>
        </w:rPr>
        <w:t> </w:t>
      </w:r>
      <w:r>
        <w:rPr/>
        <w:t>di</w:t>
      </w:r>
      <w:r>
        <w:rPr>
          <w:spacing w:val="-16"/>
        </w:rPr>
        <w:t> </w:t>
      </w:r>
      <w:r>
        <w:rPr/>
        <w:t>rendimento</w:t>
      </w:r>
      <w:r>
        <w:rPr>
          <w:spacing w:val="-14"/>
        </w:rPr>
        <w:t> </w:t>
      </w:r>
      <w:r>
        <w:rPr/>
        <w:t>sui</w:t>
      </w:r>
      <w:r>
        <w:rPr>
          <w:spacing w:val="-15"/>
        </w:rPr>
        <w:t> </w:t>
      </w:r>
      <w:r>
        <w:rPr/>
        <w:t>titoli</w:t>
      </w:r>
      <w:r>
        <w:rPr>
          <w:spacing w:val="-13"/>
        </w:rPr>
        <w:t> </w:t>
      </w:r>
      <w:r>
        <w:rPr/>
        <w:t>sovrani</w:t>
      </w:r>
      <w:r>
        <w:rPr>
          <w:spacing w:val="-14"/>
        </w:rPr>
        <w:t> </w:t>
      </w:r>
      <w:r>
        <w:rPr/>
        <w:t>dei</w:t>
      </w:r>
      <w:r>
        <w:rPr>
          <w:spacing w:val="-14"/>
        </w:rPr>
        <w:t> </w:t>
      </w:r>
      <w:r>
        <w:rPr/>
        <w:t>Paesi</w:t>
      </w:r>
      <w:r>
        <w:rPr>
          <w:spacing w:val="-13"/>
        </w:rPr>
        <w:t> </w:t>
      </w:r>
      <w:r>
        <w:rPr/>
        <w:t>dell’area dell’euro rispetto al Bund tedesco si sono in genere ridotti. Concorre a spiegare queste dinamiche anche l’intonazione espansiva nella politica monetaria delle principali banche centrali. Riguardo ai mercati azionari, i principali indici, tra cui l’Euro</w:t>
      </w:r>
      <w:r>
        <w:rPr>
          <w:spacing w:val="-14"/>
        </w:rPr>
        <w:t> </w:t>
      </w:r>
      <w:r>
        <w:rPr/>
        <w:t>Stoxx</w:t>
      </w:r>
      <w:r>
        <w:rPr>
          <w:spacing w:val="-13"/>
        </w:rPr>
        <w:t> </w:t>
      </w:r>
      <w:r>
        <w:rPr/>
        <w:t>50</w:t>
      </w:r>
      <w:r>
        <w:rPr>
          <w:spacing w:val="-15"/>
        </w:rPr>
        <w:t> </w:t>
      </w:r>
      <w:r>
        <w:rPr/>
        <w:t>e</w:t>
      </w:r>
      <w:r>
        <w:rPr>
          <w:spacing w:val="-13"/>
        </w:rPr>
        <w:t> </w:t>
      </w:r>
      <w:r>
        <w:rPr/>
        <w:t>lo</w:t>
      </w:r>
      <w:r>
        <w:rPr>
          <w:spacing w:val="-15"/>
        </w:rPr>
        <w:t> </w:t>
      </w:r>
      <w:r>
        <w:rPr/>
        <w:t>S&amp;P</w:t>
      </w:r>
      <w:r>
        <w:rPr>
          <w:spacing w:val="-16"/>
        </w:rPr>
        <w:t> </w:t>
      </w:r>
      <w:r>
        <w:rPr/>
        <w:t>500,</w:t>
      </w:r>
      <w:r>
        <w:rPr>
          <w:spacing w:val="-14"/>
        </w:rPr>
        <w:t> </w:t>
      </w:r>
      <w:r>
        <w:rPr/>
        <w:t>hanno</w:t>
      </w:r>
      <w:r>
        <w:rPr>
          <w:spacing w:val="-13"/>
        </w:rPr>
        <w:t> </w:t>
      </w:r>
      <w:r>
        <w:rPr/>
        <w:t>mostrato</w:t>
      </w:r>
      <w:r>
        <w:rPr>
          <w:spacing w:val="-14"/>
        </w:rPr>
        <w:t> </w:t>
      </w:r>
      <w:r>
        <w:rPr/>
        <w:t>una</w:t>
      </w:r>
      <w:r>
        <w:rPr>
          <w:spacing w:val="-11"/>
        </w:rPr>
        <w:t> </w:t>
      </w:r>
      <w:r>
        <w:rPr/>
        <w:t>ripresa</w:t>
      </w:r>
      <w:r>
        <w:rPr>
          <w:spacing w:val="-14"/>
        </w:rPr>
        <w:t> </w:t>
      </w:r>
      <w:r>
        <w:rPr/>
        <w:t>rispetto</w:t>
      </w:r>
      <w:r>
        <w:rPr>
          <w:spacing w:val="-13"/>
        </w:rPr>
        <w:t> </w:t>
      </w:r>
      <w:r>
        <w:rPr/>
        <w:t>all’inizio</w:t>
      </w:r>
      <w:r>
        <w:rPr>
          <w:spacing w:val="-15"/>
        </w:rPr>
        <w:t> </w:t>
      </w:r>
      <w:r>
        <w:rPr/>
        <w:t>del</w:t>
      </w:r>
      <w:r>
        <w:rPr>
          <w:spacing w:val="-13"/>
        </w:rPr>
        <w:t> </w:t>
      </w:r>
      <w:r>
        <w:rPr/>
        <w:t>2019. Questo riflette in parte la spinta degli investitori internazionali a rivolgersi verso attività più rischiose in concomitanza con la riduzione dei tassi di rendimento dei titoli privi di</w:t>
      </w:r>
      <w:r>
        <w:rPr>
          <w:spacing w:val="-3"/>
        </w:rPr>
        <w:t> </w:t>
      </w:r>
      <w:r>
        <w:rPr/>
        <w:t>rischio.</w:t>
      </w:r>
    </w:p>
    <w:p>
      <w:pPr>
        <w:pStyle w:val="BodyText"/>
        <w:spacing w:line="252" w:lineRule="auto" w:before="2"/>
        <w:ind w:left="278" w:right="2263" w:firstLine="283"/>
        <w:jc w:val="both"/>
      </w:pPr>
      <w:r>
        <w:rPr/>
        <w:t>Nel mercato dei cambi, nel corso del 2019 l’euro si è deprezzato nei confronti del dollaro e, marginalmente, su base ponderata verso le principali valute. Gli sviluppi più recenti segnalano un ulteriore indebolimento in risposta alle decisioni della BCE e a un peggioramento delle aspettative delle imprese, soprattutto nel manifatturiero.</w:t>
      </w:r>
    </w:p>
    <w:p>
      <w:pPr>
        <w:pStyle w:val="BodyText"/>
        <w:spacing w:line="252" w:lineRule="auto" w:before="1"/>
        <w:ind w:left="278" w:right="2262" w:firstLine="283"/>
        <w:jc w:val="both"/>
      </w:pPr>
      <w:r>
        <w:rPr/>
        <w:t>In media, il prezzo del Brent nei primi nove mesi dell’anno è risultato inferiore dell’11</w:t>
      </w:r>
      <w:r>
        <w:rPr>
          <w:spacing w:val="-20"/>
        </w:rPr>
        <w:t> </w:t>
      </w:r>
      <w:r>
        <w:rPr/>
        <w:t>per</w:t>
      </w:r>
      <w:r>
        <w:rPr>
          <w:spacing w:val="-21"/>
        </w:rPr>
        <w:t> </w:t>
      </w:r>
      <w:r>
        <w:rPr/>
        <w:t>cento</w:t>
      </w:r>
      <w:r>
        <w:rPr>
          <w:spacing w:val="-20"/>
        </w:rPr>
        <w:t> </w:t>
      </w:r>
      <w:r>
        <w:rPr/>
        <w:t>a</w:t>
      </w:r>
      <w:r>
        <w:rPr>
          <w:spacing w:val="-19"/>
        </w:rPr>
        <w:t> </w:t>
      </w:r>
      <w:r>
        <w:rPr/>
        <w:t>quello</w:t>
      </w:r>
      <w:r>
        <w:rPr>
          <w:spacing w:val="-21"/>
        </w:rPr>
        <w:t> </w:t>
      </w:r>
      <w:r>
        <w:rPr/>
        <w:t>del</w:t>
      </w:r>
      <w:r>
        <w:rPr>
          <w:spacing w:val="-20"/>
        </w:rPr>
        <w:t> </w:t>
      </w:r>
      <w:r>
        <w:rPr/>
        <w:t>corrispondente</w:t>
      </w:r>
      <w:r>
        <w:rPr>
          <w:spacing w:val="-19"/>
        </w:rPr>
        <w:t> </w:t>
      </w:r>
      <w:r>
        <w:rPr/>
        <w:t>periodo</w:t>
      </w:r>
      <w:r>
        <w:rPr>
          <w:spacing w:val="-21"/>
        </w:rPr>
        <w:t> </w:t>
      </w:r>
      <w:r>
        <w:rPr/>
        <w:t>del</w:t>
      </w:r>
      <w:r>
        <w:rPr>
          <w:spacing w:val="-20"/>
        </w:rPr>
        <w:t> </w:t>
      </w:r>
      <w:r>
        <w:rPr/>
        <w:t>2018.</w:t>
      </w:r>
      <w:r>
        <w:rPr>
          <w:spacing w:val="-17"/>
        </w:rPr>
        <w:t> </w:t>
      </w:r>
      <w:r>
        <w:rPr/>
        <w:t>Prima</w:t>
      </w:r>
      <w:r>
        <w:rPr>
          <w:spacing w:val="-20"/>
        </w:rPr>
        <w:t> </w:t>
      </w:r>
      <w:r>
        <w:rPr/>
        <w:t>della</w:t>
      </w:r>
      <w:r>
        <w:rPr>
          <w:spacing w:val="-20"/>
        </w:rPr>
        <w:t> </w:t>
      </w:r>
      <w:r>
        <w:rPr/>
        <w:t>volatilità registrata</w:t>
      </w:r>
      <w:r>
        <w:rPr>
          <w:spacing w:val="-11"/>
        </w:rPr>
        <w:t> </w:t>
      </w:r>
      <w:r>
        <w:rPr/>
        <w:t>in</w:t>
      </w:r>
      <w:r>
        <w:rPr>
          <w:spacing w:val="-10"/>
        </w:rPr>
        <w:t> </w:t>
      </w:r>
      <w:r>
        <w:rPr/>
        <w:t>seguito</w:t>
      </w:r>
      <w:r>
        <w:rPr>
          <w:spacing w:val="-10"/>
        </w:rPr>
        <w:t> </w:t>
      </w:r>
      <w:r>
        <w:rPr/>
        <w:t>all’attacco</w:t>
      </w:r>
      <w:r>
        <w:rPr>
          <w:spacing w:val="-10"/>
        </w:rPr>
        <w:t> </w:t>
      </w:r>
      <w:r>
        <w:rPr/>
        <w:t>ai</w:t>
      </w:r>
      <w:r>
        <w:rPr>
          <w:spacing w:val="-10"/>
        </w:rPr>
        <w:t> </w:t>
      </w:r>
      <w:r>
        <w:rPr/>
        <w:t>pozzi</w:t>
      </w:r>
      <w:r>
        <w:rPr>
          <w:spacing w:val="-12"/>
        </w:rPr>
        <w:t> </w:t>
      </w:r>
      <w:r>
        <w:rPr/>
        <w:t>sauditi</w:t>
      </w:r>
      <w:r>
        <w:rPr>
          <w:spacing w:val="-9"/>
        </w:rPr>
        <w:t> </w:t>
      </w:r>
      <w:r>
        <w:rPr/>
        <w:t>del</w:t>
      </w:r>
      <w:r>
        <w:rPr>
          <w:spacing w:val="-9"/>
        </w:rPr>
        <w:t> </w:t>
      </w:r>
      <w:r>
        <w:rPr/>
        <w:t>14</w:t>
      </w:r>
      <w:r>
        <w:rPr>
          <w:spacing w:val="-11"/>
        </w:rPr>
        <w:t> </w:t>
      </w:r>
      <w:r>
        <w:rPr/>
        <w:t>settembre,</w:t>
      </w:r>
      <w:r>
        <w:rPr>
          <w:spacing w:val="-9"/>
        </w:rPr>
        <w:t> </w:t>
      </w:r>
      <w:r>
        <w:rPr/>
        <w:t>il</w:t>
      </w:r>
      <w:r>
        <w:rPr>
          <w:spacing w:val="-9"/>
        </w:rPr>
        <w:t> </w:t>
      </w:r>
      <w:r>
        <w:rPr/>
        <w:t>moderato</w:t>
      </w:r>
      <w:r>
        <w:rPr>
          <w:spacing w:val="-10"/>
        </w:rPr>
        <w:t> </w:t>
      </w:r>
      <w:r>
        <w:rPr/>
        <w:t>trend rialzista del prezzo del petrolio si era interrotto in maggio e il prezzo del Brent aveva oscillato tra 55 e 67 dollari per barile durante l’estate. Grazie alle rassicurazioni</w:t>
      </w:r>
      <w:r>
        <w:rPr>
          <w:spacing w:val="-15"/>
        </w:rPr>
        <w:t> </w:t>
      </w:r>
      <w:r>
        <w:rPr/>
        <w:t>fornite</w:t>
      </w:r>
      <w:r>
        <w:rPr>
          <w:spacing w:val="-14"/>
        </w:rPr>
        <w:t> </w:t>
      </w:r>
      <w:r>
        <w:rPr/>
        <w:t>dalle</w:t>
      </w:r>
      <w:r>
        <w:rPr>
          <w:spacing w:val="-14"/>
        </w:rPr>
        <w:t> </w:t>
      </w:r>
      <w:r>
        <w:rPr/>
        <w:t>autorità</w:t>
      </w:r>
      <w:r>
        <w:rPr>
          <w:spacing w:val="-14"/>
        </w:rPr>
        <w:t> </w:t>
      </w:r>
      <w:r>
        <w:rPr/>
        <w:t>saudite</w:t>
      </w:r>
      <w:r>
        <w:rPr>
          <w:spacing w:val="-14"/>
        </w:rPr>
        <w:t> </w:t>
      </w:r>
      <w:r>
        <w:rPr/>
        <w:t>circa</w:t>
      </w:r>
      <w:r>
        <w:rPr>
          <w:spacing w:val="-14"/>
        </w:rPr>
        <w:t> </w:t>
      </w:r>
      <w:r>
        <w:rPr/>
        <w:t>la</w:t>
      </w:r>
      <w:r>
        <w:rPr>
          <w:spacing w:val="-15"/>
        </w:rPr>
        <w:t> </w:t>
      </w:r>
      <w:r>
        <w:rPr/>
        <w:t>disponibilità</w:t>
      </w:r>
      <w:r>
        <w:rPr>
          <w:spacing w:val="-14"/>
        </w:rPr>
        <w:t> </w:t>
      </w:r>
      <w:r>
        <w:rPr/>
        <w:t>di</w:t>
      </w:r>
      <w:r>
        <w:rPr>
          <w:spacing w:val="-15"/>
        </w:rPr>
        <w:t> </w:t>
      </w:r>
      <w:r>
        <w:rPr/>
        <w:t>scorte</w:t>
      </w:r>
      <w:r>
        <w:rPr>
          <w:spacing w:val="-12"/>
        </w:rPr>
        <w:t> </w:t>
      </w:r>
      <w:r>
        <w:rPr/>
        <w:t>e</w:t>
      </w:r>
      <w:r>
        <w:rPr>
          <w:spacing w:val="-14"/>
        </w:rPr>
        <w:t> </w:t>
      </w:r>
      <w:r>
        <w:rPr/>
        <w:t>il</w:t>
      </w:r>
      <w:r>
        <w:rPr>
          <w:spacing w:val="-14"/>
        </w:rPr>
        <w:t> </w:t>
      </w:r>
      <w:r>
        <w:rPr/>
        <w:t>rapido ripristino della capacità produttiva, le quotazioni dei principali benchmark petroliferi sono riscese negli ultimi giorni e sono solo marginalmente superiori ai livelli ipotizzati nelle previsioni del presente Documento. Sembra probabile che i timori di nuovi attacchi e di tensioni politiche nel Medio Oriente continuino a sostenere le quotazioni. Tuttavia, la crescita prevista della domanda globale di petrolio</w:t>
      </w:r>
      <w:r>
        <w:rPr>
          <w:spacing w:val="-8"/>
        </w:rPr>
        <w:t> </w:t>
      </w:r>
      <w:r>
        <w:rPr/>
        <w:t>è</w:t>
      </w:r>
      <w:r>
        <w:rPr>
          <w:spacing w:val="-6"/>
        </w:rPr>
        <w:t> </w:t>
      </w:r>
      <w:r>
        <w:rPr/>
        <w:t>moderata,</w:t>
      </w:r>
      <w:r>
        <w:rPr>
          <w:spacing w:val="-5"/>
        </w:rPr>
        <w:t> </w:t>
      </w:r>
      <w:r>
        <w:rPr/>
        <w:t>con</w:t>
      </w:r>
      <w:r>
        <w:rPr>
          <w:spacing w:val="-6"/>
        </w:rPr>
        <w:t> </w:t>
      </w:r>
      <w:r>
        <w:rPr/>
        <w:t>rischi</w:t>
      </w:r>
      <w:r>
        <w:rPr>
          <w:spacing w:val="-6"/>
        </w:rPr>
        <w:t> </w:t>
      </w:r>
      <w:r>
        <w:rPr/>
        <w:t>al</w:t>
      </w:r>
      <w:r>
        <w:rPr>
          <w:spacing w:val="-6"/>
        </w:rPr>
        <w:t> </w:t>
      </w:r>
      <w:r>
        <w:rPr/>
        <w:t>ribasso.</w:t>
      </w:r>
      <w:r>
        <w:rPr>
          <w:spacing w:val="-5"/>
        </w:rPr>
        <w:t> </w:t>
      </w:r>
      <w:r>
        <w:rPr/>
        <w:t>Se</w:t>
      </w:r>
      <w:r>
        <w:rPr>
          <w:spacing w:val="-6"/>
        </w:rPr>
        <w:t> </w:t>
      </w:r>
      <w:r>
        <w:rPr/>
        <w:t>non</w:t>
      </w:r>
      <w:r>
        <w:rPr>
          <w:spacing w:val="-6"/>
        </w:rPr>
        <w:t> </w:t>
      </w:r>
      <w:r>
        <w:rPr/>
        <w:t>si</w:t>
      </w:r>
      <w:r>
        <w:rPr>
          <w:spacing w:val="-6"/>
        </w:rPr>
        <w:t> </w:t>
      </w:r>
      <w:r>
        <w:rPr/>
        <w:t>verificheranno</w:t>
      </w:r>
      <w:r>
        <w:rPr>
          <w:spacing w:val="-7"/>
        </w:rPr>
        <w:t> </w:t>
      </w:r>
      <w:r>
        <w:rPr/>
        <w:t>shock</w:t>
      </w:r>
      <w:r>
        <w:rPr>
          <w:spacing w:val="-9"/>
        </w:rPr>
        <w:t> </w:t>
      </w:r>
      <w:r>
        <w:rPr/>
        <w:t>di</w:t>
      </w:r>
      <w:r>
        <w:rPr>
          <w:spacing w:val="-6"/>
        </w:rPr>
        <w:t> </w:t>
      </w:r>
      <w:r>
        <w:rPr/>
        <w:t>offerta, la tendenza del mercato indica un sostanziale eccesso di offerta a causa dell’aumento della produzione dei paesi</w:t>
      </w:r>
      <w:r>
        <w:rPr>
          <w:spacing w:val="-5"/>
        </w:rPr>
        <w:t> </w:t>
      </w:r>
      <w:r>
        <w:rPr/>
        <w:t>non-OPEC.</w:t>
      </w:r>
    </w:p>
    <w:p>
      <w:pPr>
        <w:spacing w:after="0" w:line="252" w:lineRule="auto"/>
        <w:jc w:val="both"/>
        <w:sectPr>
          <w:pgSz w:w="11910" w:h="16840"/>
          <w:pgMar w:header="838" w:footer="866" w:top="1100" w:bottom="1060" w:left="1140" w:right="0"/>
        </w:sectPr>
      </w:pPr>
    </w:p>
    <w:p>
      <w:pPr>
        <w:pStyle w:val="BodyText"/>
        <w:rPr>
          <w:sz w:val="20"/>
        </w:rPr>
      </w:pPr>
    </w:p>
    <w:p>
      <w:pPr>
        <w:pStyle w:val="BodyText"/>
        <w:rPr>
          <w:sz w:val="20"/>
        </w:rPr>
      </w:pPr>
    </w:p>
    <w:p>
      <w:pPr>
        <w:pStyle w:val="BodyText"/>
        <w:rPr>
          <w:sz w:val="20"/>
        </w:rPr>
      </w:pPr>
    </w:p>
    <w:p>
      <w:pPr>
        <w:pStyle w:val="BodyText"/>
        <w:spacing w:before="9" w:after="1"/>
        <w:rPr>
          <w:sz w:val="14"/>
        </w:rPr>
      </w:pPr>
    </w:p>
    <w:p>
      <w:pPr>
        <w:pStyle w:val="BodyText"/>
        <w:ind w:left="1128"/>
        <w:rPr>
          <w:sz w:val="20"/>
        </w:rPr>
      </w:pPr>
      <w:r>
        <w:rPr>
          <w:sz w:val="20"/>
        </w:rPr>
        <w:pict>
          <v:shape style="width:411.1pt;height:14.8pt;mso-position-horizontal-relative:char;mso-position-vertical-relative:line" type="#_x0000_t202" filled="true" fillcolor="#086d44" stroked="false">
            <w10:anchorlock/>
            <v:textbox inset="0,0,0,0">
              <w:txbxContent>
                <w:p>
                  <w:pPr>
                    <w:spacing w:before="45"/>
                    <w:ind w:left="28" w:right="0" w:firstLine="0"/>
                    <w:jc w:val="left"/>
                    <w:rPr>
                      <w:rFonts w:ascii="Franklin Gothic Heavy"/>
                      <w:b/>
                      <w:sz w:val="17"/>
                    </w:rPr>
                  </w:pPr>
                  <w:r>
                    <w:rPr>
                      <w:rFonts w:ascii="Franklin Gothic Heavy"/>
                      <w:b/>
                      <w:color w:val="EFEFEF"/>
                      <w:sz w:val="17"/>
                    </w:rPr>
                    <w:t>IGURA II.2: PROSPETTIVE SUL TASSO DI CAMBIO DOLLARO/EURO E PREZZO DEL BRENT</w:t>
                  </w:r>
                </w:p>
              </w:txbxContent>
            </v:textbox>
            <v:fill type="solid"/>
          </v:shape>
        </w:pict>
      </w:r>
      <w:r>
        <w:rPr>
          <w:sz w:val="20"/>
        </w:rPr>
      </w:r>
    </w:p>
    <w:p>
      <w:pPr>
        <w:spacing w:after="0"/>
        <w:rPr>
          <w:sz w:val="20"/>
        </w:rPr>
        <w:sectPr>
          <w:pgSz w:w="11910" w:h="16840"/>
          <w:pgMar w:header="838" w:footer="866" w:top="1100" w:bottom="1060" w:left="1140" w:right="0"/>
        </w:sectPr>
      </w:pPr>
    </w:p>
    <w:p>
      <w:pPr>
        <w:spacing w:before="29"/>
        <w:ind w:left="1286" w:right="0" w:firstLine="0"/>
        <w:jc w:val="left"/>
        <w:rPr>
          <w:rFonts w:ascii="Franklin Gothic Book"/>
          <w:sz w:val="16"/>
        </w:rPr>
      </w:pPr>
      <w:r>
        <w:rPr/>
        <w:pict>
          <v:group style="position:absolute;margin-left:113.419998pt;margin-top:-15.777993pt;width:411.1pt;height:2.9pt;mso-position-horizontal-relative:page;mso-position-vertical-relative:paragraph;z-index:-266303488" coordorigin="2268,-316" coordsize="8222,58">
            <v:rect style="position:absolute;left:2268;top:-316;width:8222;height:58" filled="true" fillcolor="#086d44" stroked="false">
              <v:fill type="solid"/>
            </v:rect>
            <v:rect style="position:absolute;left:2268;top:-316;width:8222;height:58" filled="true" fillcolor="#086d44" stroked="false">
              <v:fill type="solid"/>
            </v:rect>
            <w10:wrap type="none"/>
          </v:group>
        </w:pict>
      </w:r>
      <w:r>
        <w:rPr/>
        <w:pict>
          <v:group style="position:absolute;margin-left:135.190002pt;margin-top:5.867007pt;width:363.85pt;height:156.15pt;mso-position-horizontal-relative:page;mso-position-vertical-relative:paragraph;z-index:251706368" coordorigin="2704,117" coordsize="7277,3123">
            <v:rect style="position:absolute;left:2752;top:125;width:7179;height:3066" filled="false" stroked="true" strokeweight=".75pt" strokecolor="#000000">
              <v:stroke dashstyle="solid"/>
            </v:rect>
            <v:shape style="position:absolute;left:9931;top:124;width:49;height:3066" coordorigin="9932,125" coordsize="49,3066" path="m9932,3191l9932,125m9932,3191l9980,3191m9932,2883l9980,2883m9932,2578l9980,2578m9932,2271l9980,2271m9932,1964l9980,1964m9932,1657l9980,1657m9932,1352l9980,1352m9932,1045l9980,1045m9932,738l9980,738m9932,430l9980,430m9932,125l9980,125e" filled="false" stroked="true" strokeweight=".75pt" strokecolor="#858585">
              <v:path arrowok="t"/>
              <v:stroke dashstyle="solid"/>
            </v:shape>
            <v:shape style="position:absolute;left:2703;top:124;width:7228;height:3115" coordorigin="2704,125" coordsize="7228,3115" path="m2753,3191l2753,125m2704,3191l2753,3191m2704,2754l2753,2754m2704,2314l2753,2314m2704,1878l2753,1878m2704,1438l2753,1438m2704,1002l2753,1002m2704,562l2753,562m2704,125l2753,125m2753,3191l9932,3191m2753,3191l2753,3239m3377,3191l3377,3239m4001,3191l4001,3239m4625,3191l4625,3239m5249,3191l5249,3239m5873,3191l5873,3239m6499,3191l6499,3239m7123,3191l7123,3239m7747,3191l7747,3239m8371,3191l8371,3239m8995,3191l8995,3239m9619,3191l9619,3239e" filled="false" stroked="true" strokeweight=".5pt" strokecolor="#000000">
              <v:path arrowok="t"/>
              <v:stroke dashstyle="solid"/>
            </v:shape>
            <v:shape style="position:absolute;left:2750;top:604;width:3280;height:1187" coordorigin="2750,604" coordsize="3280,1187" path="m2750,1635l2909,1635,3012,1734,3118,1765,3221,1791,3324,1755,3430,1690,3533,1686,3636,1657,3742,1568,3845,1522,3950,1410,4054,1330,4157,1455,4262,1294,4366,1122,4469,894,4574,848,4678,896,4781,798,4886,604,4990,817,5093,1443,5198,1659,5302,1402,5405,1177,5510,1153,5614,982,5717,1410,5822,1249,5926,1218,6030,1438e" filled="false" stroked="true" strokeweight="2.5pt" strokecolor="#086939">
              <v:path arrowok="t"/>
              <v:stroke dashstyle="solid"/>
            </v:shape>
            <v:shape style="position:absolute;left:6134;top:1437;width:3746;height:195" coordorigin="6134,1437" coordsize="3746,195" path="m6134,1437l6238,1460,6343,1482,6446,1508,6550,1527,7382,1611,8630,1632,9880,1621e" filled="false" stroked="true" strokeweight="2.5pt" strokecolor="#086939">
              <v:path arrowok="t"/>
              <v:stroke dashstyle="dash"/>
            </v:shape>
            <v:shape style="position:absolute;left:2750;top:1710;width:3280;height:1135" coordorigin="2750,1710" coordsize="3280,1135" path="m2750,2845l2909,2838,3012,2790,3118,2641,3221,2427,3324,2317,3430,2060,3533,2019,3636,2079,3742,2182,3845,2024,3950,1962,4054,1710,4157,1846,4262,1765,4366,1916,4469,2154,4574,2158,4678,2154,4781,2209,4886,2206,4990,2386,5093,2384,5198,2290,5302,2302,5405,2350,5510,2444,5614,2446,5717,2473,5822,2348,5926,2530,6030,2523e" filled="false" stroked="true" strokeweight="2.5pt" strokecolor="#77923b">
              <v:path arrowok="t"/>
              <v:stroke dashstyle="solid"/>
            </v:shape>
            <v:shape style="position:absolute;left:6134;top:2049;width:3746;height:472" coordorigin="6134,2049" coordsize="3746,472" path="m6134,2521l6238,2506,6343,2478,6446,2461,6550,2442,7382,2348,8630,2197,9880,2049e" filled="false" stroked="true" strokeweight="2.5pt" strokecolor="#77923b">
              <v:path arrowok="t"/>
              <v:stroke dashstyle="dashdot"/>
            </v:shape>
            <w10:wrap type="none"/>
          </v:group>
        </w:pict>
      </w:r>
      <w:r>
        <w:rPr>
          <w:rFonts w:ascii="Franklin Gothic Book"/>
          <w:sz w:val="16"/>
        </w:rPr>
        <w:t>90</w:t>
      </w:r>
    </w:p>
    <w:p>
      <w:pPr>
        <w:pStyle w:val="BodyText"/>
        <w:spacing w:before="7"/>
        <w:rPr>
          <w:rFonts w:ascii="Franklin Gothic Book"/>
        </w:rPr>
      </w:pPr>
    </w:p>
    <w:p>
      <w:pPr>
        <w:spacing w:before="1"/>
        <w:ind w:left="1286" w:right="0" w:firstLine="0"/>
        <w:jc w:val="left"/>
        <w:rPr>
          <w:rFonts w:ascii="Franklin Gothic Book"/>
          <w:sz w:val="16"/>
        </w:rPr>
      </w:pPr>
      <w:r>
        <w:rPr>
          <w:rFonts w:ascii="Franklin Gothic Book"/>
          <w:sz w:val="16"/>
        </w:rPr>
        <w:t>80</w:t>
      </w:r>
    </w:p>
    <w:p>
      <w:pPr>
        <w:pStyle w:val="BodyText"/>
        <w:spacing w:before="6"/>
        <w:rPr>
          <w:rFonts w:ascii="Franklin Gothic Book"/>
        </w:rPr>
      </w:pPr>
    </w:p>
    <w:p>
      <w:pPr>
        <w:spacing w:before="1"/>
        <w:ind w:left="1286" w:right="0" w:firstLine="0"/>
        <w:jc w:val="left"/>
        <w:rPr>
          <w:rFonts w:ascii="Franklin Gothic Book"/>
          <w:sz w:val="16"/>
        </w:rPr>
      </w:pPr>
      <w:r>
        <w:rPr>
          <w:rFonts w:ascii="Franklin Gothic Book"/>
          <w:sz w:val="16"/>
        </w:rPr>
        <w:t>70</w:t>
      </w:r>
    </w:p>
    <w:p>
      <w:pPr>
        <w:pStyle w:val="BodyText"/>
        <w:spacing w:before="7"/>
        <w:rPr>
          <w:rFonts w:ascii="Franklin Gothic Book"/>
        </w:rPr>
      </w:pPr>
    </w:p>
    <w:p>
      <w:pPr>
        <w:spacing w:before="0"/>
        <w:ind w:left="1286" w:right="0" w:firstLine="0"/>
        <w:jc w:val="left"/>
        <w:rPr>
          <w:rFonts w:ascii="Franklin Gothic Book"/>
          <w:sz w:val="16"/>
        </w:rPr>
      </w:pPr>
      <w:r>
        <w:rPr>
          <w:rFonts w:ascii="Franklin Gothic Book"/>
          <w:sz w:val="16"/>
        </w:rPr>
        <w:t>60</w:t>
      </w:r>
    </w:p>
    <w:p>
      <w:pPr>
        <w:pStyle w:val="BodyText"/>
        <w:spacing w:before="7"/>
        <w:rPr>
          <w:rFonts w:ascii="Franklin Gothic Book"/>
        </w:rPr>
      </w:pPr>
    </w:p>
    <w:p>
      <w:pPr>
        <w:spacing w:before="0"/>
        <w:ind w:left="1286" w:right="0" w:firstLine="0"/>
        <w:jc w:val="left"/>
        <w:rPr>
          <w:rFonts w:ascii="Franklin Gothic Book"/>
          <w:sz w:val="16"/>
        </w:rPr>
      </w:pPr>
      <w:r>
        <w:rPr>
          <w:rFonts w:ascii="Franklin Gothic Book"/>
          <w:sz w:val="16"/>
        </w:rPr>
        <w:t>50</w:t>
      </w:r>
    </w:p>
    <w:p>
      <w:pPr>
        <w:pStyle w:val="BodyText"/>
        <w:spacing w:before="7"/>
        <w:rPr>
          <w:rFonts w:ascii="Franklin Gothic Book"/>
        </w:rPr>
      </w:pPr>
    </w:p>
    <w:p>
      <w:pPr>
        <w:spacing w:before="0"/>
        <w:ind w:left="1286" w:right="0" w:firstLine="0"/>
        <w:jc w:val="left"/>
        <w:rPr>
          <w:rFonts w:ascii="Franklin Gothic Book"/>
          <w:sz w:val="16"/>
        </w:rPr>
      </w:pPr>
      <w:r>
        <w:rPr>
          <w:rFonts w:ascii="Franklin Gothic Book"/>
          <w:sz w:val="16"/>
        </w:rPr>
        <w:t>40</w:t>
      </w:r>
    </w:p>
    <w:p>
      <w:pPr>
        <w:pStyle w:val="BodyText"/>
        <w:spacing w:before="7"/>
        <w:rPr>
          <w:rFonts w:ascii="Franklin Gothic Book"/>
        </w:rPr>
      </w:pPr>
    </w:p>
    <w:p>
      <w:pPr>
        <w:spacing w:before="0"/>
        <w:ind w:left="1286" w:right="0" w:firstLine="0"/>
        <w:jc w:val="left"/>
        <w:rPr>
          <w:rFonts w:ascii="Franklin Gothic Book"/>
          <w:sz w:val="16"/>
        </w:rPr>
      </w:pPr>
      <w:r>
        <w:rPr>
          <w:rFonts w:ascii="Franklin Gothic Book"/>
          <w:sz w:val="16"/>
        </w:rPr>
        <w:t>30</w:t>
      </w:r>
    </w:p>
    <w:p>
      <w:pPr>
        <w:pStyle w:val="BodyText"/>
        <w:spacing w:before="7"/>
        <w:rPr>
          <w:rFonts w:ascii="Franklin Gothic Book"/>
        </w:rPr>
      </w:pPr>
    </w:p>
    <w:p>
      <w:pPr>
        <w:spacing w:before="1"/>
        <w:ind w:left="1286" w:right="0" w:firstLine="0"/>
        <w:jc w:val="left"/>
        <w:rPr>
          <w:rFonts w:ascii="Franklin Gothic Book"/>
          <w:sz w:val="16"/>
        </w:rPr>
      </w:pPr>
      <w:r>
        <w:rPr>
          <w:rFonts w:ascii="Franklin Gothic Book"/>
          <w:sz w:val="16"/>
        </w:rPr>
        <w:t>20</w:t>
      </w:r>
    </w:p>
    <w:p>
      <w:pPr>
        <w:spacing w:before="12"/>
        <w:ind w:left="1427" w:right="0" w:firstLine="0"/>
        <w:jc w:val="left"/>
        <w:rPr>
          <w:rFonts w:ascii="Franklin Gothic Book"/>
          <w:sz w:val="16"/>
        </w:rPr>
      </w:pPr>
      <w:r>
        <w:rPr>
          <w:rFonts w:ascii="Franklin Gothic Book"/>
          <w:sz w:val="16"/>
        </w:rPr>
        <w:t>gen-17 lug-17 gen-18 lug-18 gen-19 lug-19 gen-20 lug-20 gen-21 lug-21 gen-22 lug-22</w:t>
      </w:r>
    </w:p>
    <w:p>
      <w:pPr>
        <w:spacing w:before="29"/>
        <w:ind w:left="144" w:right="0" w:firstLine="0"/>
        <w:jc w:val="left"/>
        <w:rPr>
          <w:rFonts w:ascii="Franklin Gothic Book"/>
          <w:sz w:val="16"/>
        </w:rPr>
      </w:pPr>
      <w:r>
        <w:rPr/>
        <w:br w:type="column"/>
      </w:r>
      <w:r>
        <w:rPr>
          <w:rFonts w:ascii="Franklin Gothic Book"/>
          <w:sz w:val="16"/>
        </w:rPr>
        <w:t>1,50</w:t>
      </w:r>
    </w:p>
    <w:p>
      <w:pPr>
        <w:spacing w:before="125"/>
        <w:ind w:left="144" w:right="0" w:firstLine="0"/>
        <w:jc w:val="left"/>
        <w:rPr>
          <w:rFonts w:ascii="Franklin Gothic Book"/>
          <w:sz w:val="16"/>
        </w:rPr>
      </w:pPr>
      <w:r>
        <w:rPr>
          <w:rFonts w:ascii="Franklin Gothic Book"/>
          <w:sz w:val="16"/>
        </w:rPr>
        <w:t>1,45</w:t>
      </w:r>
    </w:p>
    <w:p>
      <w:pPr>
        <w:spacing w:before="126"/>
        <w:ind w:left="144" w:right="0" w:firstLine="0"/>
        <w:jc w:val="left"/>
        <w:rPr>
          <w:rFonts w:ascii="Franklin Gothic Book"/>
          <w:sz w:val="16"/>
        </w:rPr>
      </w:pPr>
      <w:r>
        <w:rPr>
          <w:rFonts w:ascii="Franklin Gothic Book"/>
          <w:sz w:val="16"/>
        </w:rPr>
        <w:t>1,40</w:t>
      </w:r>
    </w:p>
    <w:p>
      <w:pPr>
        <w:spacing w:before="125"/>
        <w:ind w:left="144" w:right="0" w:firstLine="0"/>
        <w:jc w:val="left"/>
        <w:rPr>
          <w:rFonts w:ascii="Franklin Gothic Book"/>
          <w:sz w:val="16"/>
        </w:rPr>
      </w:pPr>
      <w:r>
        <w:rPr>
          <w:rFonts w:ascii="Franklin Gothic Book"/>
          <w:sz w:val="16"/>
        </w:rPr>
        <w:t>1,35</w:t>
      </w:r>
    </w:p>
    <w:p>
      <w:pPr>
        <w:spacing w:before="125"/>
        <w:ind w:left="144" w:right="0" w:firstLine="0"/>
        <w:jc w:val="left"/>
        <w:rPr>
          <w:rFonts w:ascii="Franklin Gothic Book"/>
          <w:sz w:val="16"/>
        </w:rPr>
      </w:pPr>
      <w:r>
        <w:rPr>
          <w:rFonts w:ascii="Franklin Gothic Book"/>
          <w:sz w:val="16"/>
        </w:rPr>
        <w:t>1,30</w:t>
      </w:r>
    </w:p>
    <w:p>
      <w:pPr>
        <w:spacing w:before="125"/>
        <w:ind w:left="144" w:right="0" w:firstLine="0"/>
        <w:jc w:val="left"/>
        <w:rPr>
          <w:rFonts w:ascii="Franklin Gothic Book"/>
          <w:sz w:val="16"/>
        </w:rPr>
      </w:pPr>
      <w:r>
        <w:rPr>
          <w:rFonts w:ascii="Franklin Gothic Book"/>
          <w:sz w:val="16"/>
        </w:rPr>
        <w:t>1,25</w:t>
      </w:r>
    </w:p>
    <w:p>
      <w:pPr>
        <w:spacing w:before="126"/>
        <w:ind w:left="144" w:right="0" w:firstLine="0"/>
        <w:jc w:val="left"/>
        <w:rPr>
          <w:rFonts w:ascii="Franklin Gothic Book"/>
          <w:sz w:val="16"/>
        </w:rPr>
      </w:pPr>
      <w:r>
        <w:rPr>
          <w:rFonts w:ascii="Franklin Gothic Book"/>
          <w:sz w:val="16"/>
        </w:rPr>
        <w:t>1,20</w:t>
      </w:r>
    </w:p>
    <w:p>
      <w:pPr>
        <w:spacing w:before="124"/>
        <w:ind w:left="144" w:right="0" w:firstLine="0"/>
        <w:jc w:val="left"/>
        <w:rPr>
          <w:rFonts w:ascii="Franklin Gothic Book"/>
          <w:sz w:val="16"/>
        </w:rPr>
      </w:pPr>
      <w:r>
        <w:rPr>
          <w:rFonts w:ascii="Franklin Gothic Book"/>
          <w:sz w:val="16"/>
        </w:rPr>
        <w:t>1,15</w:t>
      </w:r>
    </w:p>
    <w:p>
      <w:pPr>
        <w:spacing w:before="126"/>
        <w:ind w:left="144" w:right="0" w:firstLine="0"/>
        <w:jc w:val="left"/>
        <w:rPr>
          <w:rFonts w:ascii="Franklin Gothic Book"/>
          <w:sz w:val="16"/>
        </w:rPr>
      </w:pPr>
      <w:r>
        <w:rPr>
          <w:rFonts w:ascii="Franklin Gothic Book"/>
          <w:sz w:val="16"/>
        </w:rPr>
        <w:t>1,10</w:t>
      </w:r>
    </w:p>
    <w:p>
      <w:pPr>
        <w:spacing w:before="125"/>
        <w:ind w:left="144" w:right="0" w:firstLine="0"/>
        <w:jc w:val="left"/>
        <w:rPr>
          <w:rFonts w:ascii="Franklin Gothic Book"/>
          <w:sz w:val="16"/>
        </w:rPr>
      </w:pPr>
      <w:r>
        <w:rPr>
          <w:rFonts w:ascii="Franklin Gothic Book"/>
          <w:sz w:val="16"/>
        </w:rPr>
        <w:t>1,05</w:t>
      </w:r>
    </w:p>
    <w:p>
      <w:pPr>
        <w:spacing w:before="125"/>
        <w:ind w:left="144" w:right="0" w:firstLine="0"/>
        <w:jc w:val="left"/>
        <w:rPr>
          <w:rFonts w:ascii="Franklin Gothic Book"/>
          <w:sz w:val="16"/>
        </w:rPr>
      </w:pPr>
      <w:r>
        <w:rPr>
          <w:rFonts w:ascii="Franklin Gothic Book"/>
          <w:sz w:val="16"/>
        </w:rPr>
        <w:t>1,00</w:t>
      </w:r>
    </w:p>
    <w:p>
      <w:pPr>
        <w:spacing w:after="0"/>
        <w:jc w:val="left"/>
        <w:rPr>
          <w:rFonts w:ascii="Franklin Gothic Book"/>
          <w:sz w:val="16"/>
        </w:rPr>
        <w:sectPr>
          <w:type w:val="continuous"/>
          <w:pgSz w:w="11910" w:h="16840"/>
          <w:pgMar w:top="1580" w:bottom="280" w:left="1140" w:right="0"/>
          <w:cols w:num="2" w:equalWidth="0">
            <w:col w:w="8749" w:space="40"/>
            <w:col w:w="1981"/>
          </w:cols>
        </w:sectPr>
      </w:pPr>
    </w:p>
    <w:p>
      <w:pPr>
        <w:pStyle w:val="BodyText"/>
        <w:spacing w:before="5"/>
        <w:rPr>
          <w:rFonts w:ascii="Franklin Gothic Book"/>
          <w:sz w:val="11"/>
        </w:rPr>
      </w:pPr>
    </w:p>
    <w:p>
      <w:pPr>
        <w:tabs>
          <w:tab w:pos="4379" w:val="left" w:leader="none"/>
          <w:tab w:pos="6046" w:val="left" w:leader="none"/>
          <w:tab w:pos="7978" w:val="left" w:leader="none"/>
        </w:tabs>
        <w:spacing w:before="101"/>
        <w:ind w:left="2499" w:right="0" w:firstLine="0"/>
        <w:jc w:val="left"/>
        <w:rPr>
          <w:rFonts w:ascii="Franklin Gothic Book" w:hAnsi="Franklin Gothic Book"/>
          <w:sz w:val="16"/>
        </w:rPr>
      </w:pPr>
      <w:r>
        <w:rPr/>
        <w:pict>
          <v:line style="position:absolute;mso-position-horizontal-relative:page;mso-position-vertical-relative:paragraph;z-index:251707392" from="153.990005pt,9.822012pt" to="179.190005pt,9.822012pt" stroked="true" strokeweight="2.5pt" strokecolor="#086939">
            <v:stroke dashstyle="solid"/>
            <w10:wrap type="none"/>
          </v:line>
        </w:pict>
      </w:r>
      <w:r>
        <w:rPr/>
        <w:pict>
          <v:line style="position:absolute;mso-position-horizontal-relative:page;mso-position-vertical-relative:paragraph;z-index:-266299392" from="247.949997pt,9.822012pt" to="273.149997pt,9.822012pt" stroked="true" strokeweight="2.5pt" strokecolor="#086939">
            <v:stroke dashstyle="dash"/>
            <w10:wrap type="none"/>
          </v:line>
        </w:pict>
      </w:r>
      <w:r>
        <w:rPr/>
        <w:pict>
          <v:line style="position:absolute;mso-position-horizontal-relative:page;mso-position-vertical-relative:paragraph;z-index:-266298368" from="331.320007pt,9.822012pt" to="356.520007pt,9.822012pt" stroked="true" strokeweight="2.5pt" strokecolor="#77923b">
            <v:stroke dashstyle="solid"/>
            <w10:wrap type="none"/>
          </v:line>
        </w:pict>
      </w:r>
      <w:r>
        <w:rPr/>
        <w:pict>
          <v:line style="position:absolute;mso-position-horizontal-relative:page;mso-position-vertical-relative:paragraph;z-index:-266297344" from="427.890015pt,9.822012pt" to="453.090015pt,9.822012pt" stroked="true" strokeweight="2.5pt" strokecolor="#77923b">
            <v:stroke dashstyle="dashdot"/>
            <w10:wrap type="none"/>
          </v:line>
        </w:pict>
      </w:r>
      <w:r>
        <w:rPr>
          <w:rFonts w:ascii="Franklin Gothic Book" w:hAnsi="Franklin Gothic Book"/>
          <w:sz w:val="16"/>
        </w:rPr>
        <w:t>Brent</w:t>
      </w:r>
      <w:r>
        <w:rPr>
          <w:rFonts w:ascii="Franklin Gothic Book" w:hAnsi="Franklin Gothic Book"/>
          <w:spacing w:val="-2"/>
          <w:sz w:val="16"/>
        </w:rPr>
        <w:t> </w:t>
      </w:r>
      <w:r>
        <w:rPr>
          <w:rFonts w:ascii="Franklin Gothic Book" w:hAnsi="Franklin Gothic Book"/>
          <w:sz w:val="16"/>
        </w:rPr>
        <w:t>($/barile)</w:t>
        <w:tab/>
        <w:t>Future</w:t>
      </w:r>
      <w:r>
        <w:rPr>
          <w:rFonts w:ascii="Franklin Gothic Book" w:hAnsi="Franklin Gothic Book"/>
          <w:spacing w:val="-3"/>
          <w:sz w:val="16"/>
        </w:rPr>
        <w:t> </w:t>
      </w:r>
      <w:r>
        <w:rPr>
          <w:rFonts w:ascii="Franklin Gothic Book" w:hAnsi="Franklin Gothic Book"/>
          <w:sz w:val="16"/>
        </w:rPr>
        <w:t>brent</w:t>
        <w:tab/>
        <w:t>Cambio</w:t>
      </w:r>
      <w:r>
        <w:rPr>
          <w:rFonts w:ascii="Franklin Gothic Book" w:hAnsi="Franklin Gothic Book"/>
          <w:spacing w:val="-5"/>
          <w:sz w:val="16"/>
        </w:rPr>
        <w:t> </w:t>
      </w:r>
      <w:r>
        <w:rPr>
          <w:rFonts w:ascii="Franklin Gothic Book" w:hAnsi="Franklin Gothic Book"/>
          <w:sz w:val="16"/>
        </w:rPr>
        <w:t>$/€</w:t>
      </w:r>
      <w:r>
        <w:rPr>
          <w:rFonts w:ascii="Franklin Gothic Book" w:hAnsi="Franklin Gothic Book"/>
          <w:spacing w:val="1"/>
          <w:sz w:val="16"/>
        </w:rPr>
        <w:t> </w:t>
      </w:r>
      <w:r>
        <w:rPr>
          <w:rFonts w:ascii="Franklin Gothic Book" w:hAnsi="Franklin Gothic Book"/>
          <w:sz w:val="16"/>
        </w:rPr>
        <w:t>(dx)</w:t>
        <w:tab/>
        <w:t>Forward $/€</w:t>
      </w:r>
      <w:r>
        <w:rPr>
          <w:rFonts w:ascii="Franklin Gothic Book" w:hAnsi="Franklin Gothic Book"/>
          <w:spacing w:val="-2"/>
          <w:sz w:val="16"/>
        </w:rPr>
        <w:t> </w:t>
      </w:r>
      <w:r>
        <w:rPr>
          <w:rFonts w:ascii="Franklin Gothic Book" w:hAnsi="Franklin Gothic Book"/>
          <w:sz w:val="16"/>
        </w:rPr>
        <w:t>(dx)</w:t>
      </w:r>
    </w:p>
    <w:p>
      <w:pPr>
        <w:pStyle w:val="BodyText"/>
        <w:spacing w:before="1"/>
        <w:rPr>
          <w:rFonts w:ascii="Franklin Gothic Book"/>
          <w:sz w:val="10"/>
        </w:rPr>
      </w:pPr>
      <w:r>
        <w:rPr/>
        <w:pict>
          <v:line style="position:absolute;mso-position-horizontal-relative:page;mso-position-vertical-relative:paragraph;z-index:-251616256;mso-wrap-distance-left:0;mso-wrap-distance-right:0" from="113.419998pt,7.939272pt" to="524.489998pt,7.939272pt" stroked="true" strokeweight=".48001pt" strokecolor="#000000">
            <v:stroke dashstyle="solid"/>
            <w10:wrap type="topAndBottom"/>
          </v:line>
        </w:pict>
      </w:r>
    </w:p>
    <w:p>
      <w:pPr>
        <w:spacing w:before="0" w:after="27"/>
        <w:ind w:left="1128" w:right="0" w:firstLine="0"/>
        <w:jc w:val="left"/>
        <w:rPr>
          <w:rFonts w:ascii="Franklin Gothic Book"/>
          <w:sz w:val="16"/>
        </w:rPr>
      </w:pPr>
      <w:r>
        <w:rPr>
          <w:rFonts w:ascii="Franklin Gothic Book"/>
          <w:sz w:val="16"/>
        </w:rPr>
        <w:t>Fonte: Bloomberg.</w:t>
      </w:r>
    </w:p>
    <w:p>
      <w:pPr>
        <w:pStyle w:val="BodyText"/>
        <w:spacing w:line="30" w:lineRule="exact"/>
        <w:ind w:left="1099"/>
        <w:rPr>
          <w:rFonts w:ascii="Franklin Gothic Book"/>
          <w:sz w:val="3"/>
        </w:rPr>
      </w:pPr>
      <w:r>
        <w:rPr>
          <w:rFonts w:ascii="Franklin Gothic Book"/>
          <w:position w:val="0"/>
          <w:sz w:val="3"/>
        </w:rPr>
        <w:pict>
          <v:group style="width:411.8pt;height:1.45pt;mso-position-horizontal-relative:char;mso-position-vertical-relative:line" coordorigin="0,0" coordsize="8236,29">
            <v:line style="position:absolute" from="0,14" to="8236,14" stroked="true" strokeweight="1.44pt" strokecolor="#086d44">
              <v:stroke dashstyle="solid"/>
            </v:line>
          </v:group>
        </w:pict>
      </w:r>
      <w:r>
        <w:rPr>
          <w:rFonts w:ascii="Franklin Gothic Book"/>
          <w:position w:val="0"/>
          <w:sz w:val="3"/>
        </w:rPr>
      </w:r>
    </w:p>
    <w:p>
      <w:pPr>
        <w:pStyle w:val="BodyText"/>
        <w:spacing w:before="7"/>
        <w:rPr>
          <w:rFonts w:ascii="Franklin Gothic Book"/>
          <w:sz w:val="13"/>
        </w:rPr>
      </w:pPr>
    </w:p>
    <w:p>
      <w:pPr>
        <w:pStyle w:val="BodyText"/>
        <w:spacing w:line="252" w:lineRule="auto" w:before="101"/>
        <w:ind w:left="1128" w:right="1411" w:firstLine="283"/>
        <w:jc w:val="both"/>
      </w:pPr>
      <w:r>
        <w:rPr/>
        <w:pict>
          <v:group style="position:absolute;margin-left:113.419998pt;margin-top:99.378616pt;width:411.1pt;height:3pt;mso-position-horizontal-relative:page;mso-position-vertical-relative:paragraph;z-index:251705344" coordorigin="2268,1988" coordsize="8222,60">
            <v:rect style="position:absolute;left:2268;top:1987;width:8222;height:58" filled="true" fillcolor="#086d44" stroked="false">
              <v:fill type="solid"/>
            </v:rect>
            <v:rect style="position:absolute;left:2268;top:1989;width:8222;height:58" filled="true" fillcolor="#086d44" stroked="false">
              <v:fill type="solid"/>
            </v:rect>
            <w10:wrap type="none"/>
          </v:group>
        </w:pict>
      </w:r>
      <w:r>
        <w:rPr/>
        <w:t>Il quadro internazionale è dunque cambiato sotto diversi aspetti in confronto al DEF di aprile. Il rallentamento del commercio mondiale nel corso di quest’anno è stato più marcato del previsto. Ciò ha determinato una revisione al ribasso della crescita ipotizzata per il commercio internazionale su tutto il periodo di previsione e,</w:t>
      </w:r>
      <w:r>
        <w:rPr>
          <w:spacing w:val="-5"/>
        </w:rPr>
        <w:t> </w:t>
      </w:r>
      <w:r>
        <w:rPr/>
        <w:t>in</w:t>
      </w:r>
      <w:r>
        <w:rPr>
          <w:spacing w:val="-5"/>
        </w:rPr>
        <w:t> </w:t>
      </w:r>
      <w:r>
        <w:rPr/>
        <w:t>misura</w:t>
      </w:r>
      <w:r>
        <w:rPr>
          <w:spacing w:val="-7"/>
        </w:rPr>
        <w:t> </w:t>
      </w:r>
      <w:r>
        <w:rPr/>
        <w:t>più</w:t>
      </w:r>
      <w:r>
        <w:rPr>
          <w:spacing w:val="-5"/>
        </w:rPr>
        <w:t> </w:t>
      </w:r>
      <w:r>
        <w:rPr/>
        <w:t>marcata,</w:t>
      </w:r>
      <w:r>
        <w:rPr>
          <w:spacing w:val="-4"/>
        </w:rPr>
        <w:t> </w:t>
      </w:r>
      <w:r>
        <w:rPr/>
        <w:t>sui</w:t>
      </w:r>
      <w:r>
        <w:rPr>
          <w:spacing w:val="-5"/>
        </w:rPr>
        <w:t> </w:t>
      </w:r>
      <w:r>
        <w:rPr/>
        <w:t>primi</w:t>
      </w:r>
      <w:r>
        <w:rPr>
          <w:spacing w:val="-5"/>
        </w:rPr>
        <w:t> </w:t>
      </w:r>
      <w:r>
        <w:rPr/>
        <w:t>due</w:t>
      </w:r>
      <w:r>
        <w:rPr>
          <w:spacing w:val="-7"/>
        </w:rPr>
        <w:t> </w:t>
      </w:r>
      <w:r>
        <w:rPr/>
        <w:t>anni</w:t>
      </w:r>
      <w:r>
        <w:rPr>
          <w:spacing w:val="-5"/>
        </w:rPr>
        <w:t> </w:t>
      </w:r>
      <w:r>
        <w:rPr/>
        <w:t>(per</w:t>
      </w:r>
      <w:r>
        <w:rPr>
          <w:spacing w:val="-8"/>
        </w:rPr>
        <w:t> </w:t>
      </w:r>
      <w:r>
        <w:rPr/>
        <w:t>circa</w:t>
      </w:r>
      <w:r>
        <w:rPr>
          <w:spacing w:val="-7"/>
        </w:rPr>
        <w:t> </w:t>
      </w:r>
      <w:r>
        <w:rPr/>
        <w:t>due</w:t>
      </w:r>
      <w:r>
        <w:rPr>
          <w:spacing w:val="-5"/>
        </w:rPr>
        <w:t> </w:t>
      </w:r>
      <w:r>
        <w:rPr/>
        <w:t>punti</w:t>
      </w:r>
      <w:r>
        <w:rPr>
          <w:spacing w:val="-5"/>
        </w:rPr>
        <w:t> </w:t>
      </w:r>
      <w:r>
        <w:rPr/>
        <w:t>percentuali</w:t>
      </w:r>
      <w:r>
        <w:rPr>
          <w:spacing w:val="-4"/>
        </w:rPr>
        <w:t> </w:t>
      </w:r>
      <w:r>
        <w:rPr/>
        <w:t>sia</w:t>
      </w:r>
      <w:r>
        <w:rPr>
          <w:spacing w:val="-5"/>
        </w:rPr>
        <w:t> </w:t>
      </w:r>
      <w:r>
        <w:rPr/>
        <w:t>nel 2019 che nel</w:t>
      </w:r>
      <w:r>
        <w:rPr>
          <w:spacing w:val="-1"/>
        </w:rPr>
        <w:t> </w:t>
      </w:r>
      <w:r>
        <w:rPr/>
        <w:t>2020).</w:t>
      </w:r>
    </w:p>
    <w:p>
      <w:pPr>
        <w:pStyle w:val="BodyText"/>
        <w:spacing w:before="10"/>
        <w:rPr>
          <w:sz w:val="21"/>
        </w:rPr>
      </w:pPr>
      <w:r>
        <w:rPr/>
        <w:pict>
          <v:shape style="position:absolute;margin-left:113.419998pt;margin-top:13.893867pt;width:411.1pt;height:14.8pt;mso-position-horizontal-relative:page;mso-position-vertical-relative:paragraph;z-index:-251614208;mso-wrap-distance-left:0;mso-wrap-distance-right:0" type="#_x0000_t202" filled="true" fillcolor="#086d44" stroked="false">
            <v:textbox inset="0,0,0,0">
              <w:txbxContent>
                <w:p>
                  <w:pPr>
                    <w:spacing w:before="45"/>
                    <w:ind w:left="28" w:right="0" w:firstLine="0"/>
                    <w:jc w:val="left"/>
                    <w:rPr>
                      <w:rFonts w:ascii="Franklin Gothic Heavy"/>
                      <w:b/>
                      <w:sz w:val="17"/>
                    </w:rPr>
                  </w:pPr>
                  <w:r>
                    <w:rPr>
                      <w:rFonts w:ascii="Franklin Gothic Heavy"/>
                      <w:b/>
                      <w:color w:val="EFEFEF"/>
                      <w:sz w:val="17"/>
                    </w:rPr>
                    <w:t>TAVOLA II.1: ESOGENE INTERNAZIONALI</w:t>
                  </w:r>
                </w:p>
              </w:txbxContent>
            </v:textbox>
            <v:fill type="solid"/>
            <w10:wrap type="topAndBottom"/>
          </v:shape>
        </w:pict>
      </w:r>
    </w:p>
    <w:p>
      <w:pPr>
        <w:tabs>
          <w:tab w:pos="6162" w:val="left" w:leader="none"/>
          <w:tab w:pos="7938" w:val="left" w:leader="none"/>
        </w:tabs>
        <w:spacing w:line="190" w:lineRule="exact" w:before="0" w:after="25"/>
        <w:ind w:left="4035" w:right="0" w:firstLine="0"/>
        <w:jc w:val="left"/>
        <w:rPr>
          <w:rFonts w:ascii="Franklin Gothic Book"/>
          <w:sz w:val="17"/>
        </w:rPr>
      </w:pPr>
      <w:r>
        <w:rPr>
          <w:rFonts w:ascii="Franklin Gothic Book"/>
          <w:sz w:val="17"/>
        </w:rPr>
        <w:t>2019</w:t>
        <w:tab/>
        <w:t>2020</w:t>
        <w:tab/>
        <w:t>2021-2022</w:t>
      </w:r>
    </w:p>
    <w:tbl>
      <w:tblPr>
        <w:tblW w:w="0" w:type="auto"/>
        <w:jc w:val="left"/>
        <w:tblInd w:w="1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93"/>
        <w:gridCol w:w="1106"/>
        <w:gridCol w:w="1123"/>
        <w:gridCol w:w="1005"/>
        <w:gridCol w:w="1033"/>
        <w:gridCol w:w="965"/>
        <w:gridCol w:w="1007"/>
      </w:tblGrid>
      <w:tr>
        <w:trPr>
          <w:trHeight w:val="218" w:hRule="atLeast"/>
        </w:trPr>
        <w:tc>
          <w:tcPr>
            <w:tcW w:w="1993" w:type="dxa"/>
            <w:tcBorders>
              <w:bottom w:val="single" w:sz="4" w:space="0" w:color="000000"/>
            </w:tcBorders>
          </w:tcPr>
          <w:p>
            <w:pPr>
              <w:pStyle w:val="TableParagraph"/>
              <w:jc w:val="left"/>
              <w:rPr>
                <w:rFonts w:ascii="Times New Roman"/>
                <w:sz w:val="14"/>
              </w:rPr>
            </w:pPr>
          </w:p>
        </w:tc>
        <w:tc>
          <w:tcPr>
            <w:tcW w:w="1106" w:type="dxa"/>
            <w:tcBorders>
              <w:top w:val="single" w:sz="4" w:space="0" w:color="000000"/>
              <w:bottom w:val="single" w:sz="4" w:space="0" w:color="000000"/>
            </w:tcBorders>
          </w:tcPr>
          <w:p>
            <w:pPr>
              <w:pStyle w:val="TableParagraph"/>
              <w:spacing w:before="2"/>
              <w:ind w:left="173" w:right="161"/>
              <w:jc w:val="center"/>
              <w:rPr>
                <w:sz w:val="17"/>
              </w:rPr>
            </w:pPr>
            <w:r>
              <w:rPr>
                <w:sz w:val="17"/>
              </w:rPr>
              <w:t>DEF 2019</w:t>
            </w:r>
          </w:p>
        </w:tc>
        <w:tc>
          <w:tcPr>
            <w:tcW w:w="1123" w:type="dxa"/>
            <w:tcBorders>
              <w:top w:val="single" w:sz="4" w:space="0" w:color="000000"/>
              <w:bottom w:val="single" w:sz="4" w:space="0" w:color="000000"/>
            </w:tcBorders>
          </w:tcPr>
          <w:p>
            <w:pPr>
              <w:pStyle w:val="TableParagraph"/>
              <w:spacing w:before="2"/>
              <w:ind w:left="161" w:right="133"/>
              <w:jc w:val="center"/>
              <w:rPr>
                <w:sz w:val="17"/>
              </w:rPr>
            </w:pPr>
            <w:r>
              <w:rPr>
                <w:sz w:val="17"/>
              </w:rPr>
              <w:t>NOTA AGG.</w:t>
            </w:r>
          </w:p>
        </w:tc>
        <w:tc>
          <w:tcPr>
            <w:tcW w:w="1005" w:type="dxa"/>
            <w:tcBorders>
              <w:top w:val="single" w:sz="4" w:space="0" w:color="000000"/>
              <w:bottom w:val="single" w:sz="4" w:space="0" w:color="000000"/>
            </w:tcBorders>
          </w:tcPr>
          <w:p>
            <w:pPr>
              <w:pStyle w:val="TableParagraph"/>
              <w:spacing w:before="2"/>
              <w:ind w:left="129" w:right="105"/>
              <w:jc w:val="center"/>
              <w:rPr>
                <w:sz w:val="17"/>
              </w:rPr>
            </w:pPr>
            <w:r>
              <w:rPr>
                <w:sz w:val="17"/>
              </w:rPr>
              <w:t>DEF 2019</w:t>
            </w:r>
          </w:p>
        </w:tc>
        <w:tc>
          <w:tcPr>
            <w:tcW w:w="1033" w:type="dxa"/>
            <w:tcBorders>
              <w:top w:val="single" w:sz="4" w:space="0" w:color="000000"/>
              <w:bottom w:val="single" w:sz="4" w:space="0" w:color="000000"/>
            </w:tcBorders>
          </w:tcPr>
          <w:p>
            <w:pPr>
              <w:pStyle w:val="TableParagraph"/>
              <w:spacing w:before="2"/>
              <w:ind w:left="102" w:right="102"/>
              <w:jc w:val="center"/>
              <w:rPr>
                <w:sz w:val="17"/>
              </w:rPr>
            </w:pPr>
            <w:r>
              <w:rPr>
                <w:sz w:val="17"/>
              </w:rPr>
              <w:t>NOTA AGG.</w:t>
            </w:r>
          </w:p>
        </w:tc>
        <w:tc>
          <w:tcPr>
            <w:tcW w:w="965" w:type="dxa"/>
            <w:tcBorders>
              <w:top w:val="single" w:sz="4" w:space="0" w:color="000000"/>
              <w:bottom w:val="single" w:sz="4" w:space="0" w:color="000000"/>
            </w:tcBorders>
          </w:tcPr>
          <w:p>
            <w:pPr>
              <w:pStyle w:val="TableParagraph"/>
              <w:spacing w:before="2"/>
              <w:ind w:left="96" w:right="97"/>
              <w:jc w:val="center"/>
              <w:rPr>
                <w:sz w:val="17"/>
              </w:rPr>
            </w:pPr>
            <w:r>
              <w:rPr>
                <w:sz w:val="17"/>
              </w:rPr>
              <w:t>DEF 2019</w:t>
            </w:r>
          </w:p>
        </w:tc>
        <w:tc>
          <w:tcPr>
            <w:tcW w:w="1007" w:type="dxa"/>
            <w:tcBorders>
              <w:top w:val="single" w:sz="4" w:space="0" w:color="000000"/>
              <w:bottom w:val="single" w:sz="4" w:space="0" w:color="000000"/>
            </w:tcBorders>
          </w:tcPr>
          <w:p>
            <w:pPr>
              <w:pStyle w:val="TableParagraph"/>
              <w:spacing w:before="2"/>
              <w:ind w:left="94" w:right="83"/>
              <w:jc w:val="center"/>
              <w:rPr>
                <w:sz w:val="17"/>
              </w:rPr>
            </w:pPr>
            <w:r>
              <w:rPr>
                <w:sz w:val="17"/>
              </w:rPr>
              <w:t>NOTA AGG.</w:t>
            </w:r>
          </w:p>
        </w:tc>
      </w:tr>
      <w:tr>
        <w:trPr>
          <w:trHeight w:val="398" w:hRule="atLeast"/>
        </w:trPr>
        <w:tc>
          <w:tcPr>
            <w:tcW w:w="1993" w:type="dxa"/>
            <w:tcBorders>
              <w:top w:val="single" w:sz="4" w:space="0" w:color="000000"/>
            </w:tcBorders>
          </w:tcPr>
          <w:p>
            <w:pPr>
              <w:pStyle w:val="TableParagraph"/>
              <w:spacing w:line="180" w:lineRule="exact" w:before="21"/>
              <w:ind w:left="7" w:right="90"/>
              <w:jc w:val="left"/>
              <w:rPr>
                <w:sz w:val="17"/>
              </w:rPr>
            </w:pPr>
            <w:r>
              <w:rPr>
                <w:sz w:val="17"/>
              </w:rPr>
              <w:t>Commercio internazionale (Variazioni percentuali)</w:t>
            </w:r>
          </w:p>
        </w:tc>
        <w:tc>
          <w:tcPr>
            <w:tcW w:w="1106" w:type="dxa"/>
            <w:tcBorders>
              <w:top w:val="single" w:sz="4" w:space="0" w:color="000000"/>
            </w:tcBorders>
          </w:tcPr>
          <w:p>
            <w:pPr>
              <w:pStyle w:val="TableParagraph"/>
              <w:spacing w:before="9"/>
              <w:ind w:left="173" w:right="158"/>
              <w:jc w:val="center"/>
              <w:rPr>
                <w:sz w:val="17"/>
              </w:rPr>
            </w:pPr>
            <w:r>
              <w:rPr>
                <w:sz w:val="17"/>
              </w:rPr>
              <w:t>2,5</w:t>
            </w:r>
          </w:p>
        </w:tc>
        <w:tc>
          <w:tcPr>
            <w:tcW w:w="1123" w:type="dxa"/>
            <w:tcBorders>
              <w:top w:val="single" w:sz="4" w:space="0" w:color="000000"/>
            </w:tcBorders>
          </w:tcPr>
          <w:p>
            <w:pPr>
              <w:pStyle w:val="TableParagraph"/>
              <w:spacing w:before="9"/>
              <w:ind w:left="160" w:right="133"/>
              <w:jc w:val="center"/>
              <w:rPr>
                <w:sz w:val="17"/>
              </w:rPr>
            </w:pPr>
            <w:r>
              <w:rPr>
                <w:sz w:val="17"/>
              </w:rPr>
              <w:t>0,6</w:t>
            </w:r>
          </w:p>
        </w:tc>
        <w:tc>
          <w:tcPr>
            <w:tcW w:w="1005" w:type="dxa"/>
            <w:tcBorders>
              <w:top w:val="single" w:sz="4" w:space="0" w:color="000000"/>
            </w:tcBorders>
          </w:tcPr>
          <w:p>
            <w:pPr>
              <w:pStyle w:val="TableParagraph"/>
              <w:spacing w:before="9"/>
              <w:ind w:left="122" w:right="105"/>
              <w:jc w:val="center"/>
              <w:rPr>
                <w:sz w:val="17"/>
              </w:rPr>
            </w:pPr>
            <w:r>
              <w:rPr>
                <w:sz w:val="17"/>
              </w:rPr>
              <w:t>3,7</w:t>
            </w:r>
          </w:p>
        </w:tc>
        <w:tc>
          <w:tcPr>
            <w:tcW w:w="1033" w:type="dxa"/>
            <w:tcBorders>
              <w:top w:val="single" w:sz="4" w:space="0" w:color="000000"/>
            </w:tcBorders>
          </w:tcPr>
          <w:p>
            <w:pPr>
              <w:pStyle w:val="TableParagraph"/>
              <w:spacing w:before="9"/>
              <w:ind w:left="81" w:right="102"/>
              <w:jc w:val="center"/>
              <w:rPr>
                <w:sz w:val="17"/>
              </w:rPr>
            </w:pPr>
            <w:r>
              <w:rPr>
                <w:sz w:val="17"/>
              </w:rPr>
              <w:t>1,7</w:t>
            </w:r>
          </w:p>
        </w:tc>
        <w:tc>
          <w:tcPr>
            <w:tcW w:w="965" w:type="dxa"/>
            <w:tcBorders>
              <w:top w:val="single" w:sz="4" w:space="0" w:color="000000"/>
            </w:tcBorders>
          </w:tcPr>
          <w:p>
            <w:pPr>
              <w:pStyle w:val="TableParagraph"/>
              <w:spacing w:before="9"/>
              <w:ind w:left="75" w:right="97"/>
              <w:jc w:val="center"/>
              <w:rPr>
                <w:sz w:val="17"/>
              </w:rPr>
            </w:pPr>
            <w:r>
              <w:rPr>
                <w:sz w:val="17"/>
              </w:rPr>
              <w:t>3,8</w:t>
            </w:r>
          </w:p>
        </w:tc>
        <w:tc>
          <w:tcPr>
            <w:tcW w:w="1007" w:type="dxa"/>
            <w:tcBorders>
              <w:top w:val="single" w:sz="4" w:space="0" w:color="000000"/>
            </w:tcBorders>
          </w:tcPr>
          <w:p>
            <w:pPr>
              <w:pStyle w:val="TableParagraph"/>
              <w:spacing w:before="9"/>
              <w:ind w:left="84" w:right="83"/>
              <w:jc w:val="center"/>
              <w:rPr>
                <w:sz w:val="17"/>
              </w:rPr>
            </w:pPr>
            <w:r>
              <w:rPr>
                <w:sz w:val="17"/>
              </w:rPr>
              <w:t>3,3</w:t>
            </w:r>
          </w:p>
        </w:tc>
      </w:tr>
      <w:tr>
        <w:trPr>
          <w:trHeight w:val="406" w:hRule="atLeast"/>
        </w:trPr>
        <w:tc>
          <w:tcPr>
            <w:tcW w:w="1993" w:type="dxa"/>
          </w:tcPr>
          <w:p>
            <w:pPr>
              <w:pStyle w:val="TableParagraph"/>
              <w:spacing w:line="223" w:lineRule="auto" w:before="27"/>
              <w:ind w:left="7" w:right="2"/>
              <w:jc w:val="left"/>
              <w:rPr>
                <w:sz w:val="17"/>
              </w:rPr>
            </w:pPr>
            <w:r>
              <w:rPr>
                <w:sz w:val="17"/>
              </w:rPr>
              <w:t>Prezzo del petrolio (USD/barile, futures, Brent)</w:t>
            </w:r>
          </w:p>
        </w:tc>
        <w:tc>
          <w:tcPr>
            <w:tcW w:w="1106" w:type="dxa"/>
          </w:tcPr>
          <w:p>
            <w:pPr>
              <w:pStyle w:val="TableParagraph"/>
              <w:spacing w:before="16"/>
              <w:ind w:left="173" w:right="161"/>
              <w:jc w:val="center"/>
              <w:rPr>
                <w:sz w:val="17"/>
              </w:rPr>
            </w:pPr>
            <w:r>
              <w:rPr>
                <w:sz w:val="17"/>
              </w:rPr>
              <w:t>64,8</w:t>
            </w:r>
          </w:p>
        </w:tc>
        <w:tc>
          <w:tcPr>
            <w:tcW w:w="1123" w:type="dxa"/>
          </w:tcPr>
          <w:p>
            <w:pPr>
              <w:pStyle w:val="TableParagraph"/>
              <w:spacing w:before="16"/>
              <w:ind w:left="158" w:right="133"/>
              <w:jc w:val="center"/>
              <w:rPr>
                <w:sz w:val="17"/>
              </w:rPr>
            </w:pPr>
            <w:r>
              <w:rPr>
                <w:sz w:val="17"/>
              </w:rPr>
              <w:t>63,3</w:t>
            </w:r>
          </w:p>
        </w:tc>
        <w:tc>
          <w:tcPr>
            <w:tcW w:w="1005" w:type="dxa"/>
          </w:tcPr>
          <w:p>
            <w:pPr>
              <w:pStyle w:val="TableParagraph"/>
              <w:spacing w:before="16"/>
              <w:ind w:left="124" w:right="105"/>
              <w:jc w:val="center"/>
              <w:rPr>
                <w:sz w:val="17"/>
              </w:rPr>
            </w:pPr>
            <w:r>
              <w:rPr>
                <w:sz w:val="17"/>
              </w:rPr>
              <w:t>64,6</w:t>
            </w:r>
          </w:p>
        </w:tc>
        <w:tc>
          <w:tcPr>
            <w:tcW w:w="1033" w:type="dxa"/>
          </w:tcPr>
          <w:p>
            <w:pPr>
              <w:pStyle w:val="TableParagraph"/>
              <w:spacing w:before="16"/>
              <w:ind w:left="83" w:right="102"/>
              <w:jc w:val="center"/>
              <w:rPr>
                <w:sz w:val="17"/>
              </w:rPr>
            </w:pPr>
            <w:r>
              <w:rPr>
                <w:sz w:val="17"/>
              </w:rPr>
              <w:t>57,3</w:t>
            </w:r>
          </w:p>
        </w:tc>
        <w:tc>
          <w:tcPr>
            <w:tcW w:w="965" w:type="dxa"/>
          </w:tcPr>
          <w:p>
            <w:pPr>
              <w:pStyle w:val="TableParagraph"/>
              <w:spacing w:before="16"/>
              <w:ind w:left="77" w:right="97"/>
              <w:jc w:val="center"/>
              <w:rPr>
                <w:sz w:val="17"/>
              </w:rPr>
            </w:pPr>
            <w:r>
              <w:rPr>
                <w:sz w:val="17"/>
              </w:rPr>
              <w:t>62,9</w:t>
            </w:r>
          </w:p>
        </w:tc>
        <w:tc>
          <w:tcPr>
            <w:tcW w:w="1007" w:type="dxa"/>
          </w:tcPr>
          <w:p>
            <w:pPr>
              <w:pStyle w:val="TableParagraph"/>
              <w:spacing w:before="16"/>
              <w:ind w:left="86" w:right="83"/>
              <w:jc w:val="center"/>
              <w:rPr>
                <w:sz w:val="17"/>
              </w:rPr>
            </w:pPr>
            <w:r>
              <w:rPr>
                <w:sz w:val="17"/>
              </w:rPr>
              <w:t>56,3</w:t>
            </w:r>
          </w:p>
        </w:tc>
      </w:tr>
      <w:tr>
        <w:trPr>
          <w:trHeight w:val="232" w:hRule="atLeast"/>
        </w:trPr>
        <w:tc>
          <w:tcPr>
            <w:tcW w:w="1993" w:type="dxa"/>
            <w:tcBorders>
              <w:bottom w:val="single" w:sz="12" w:space="0" w:color="086D44"/>
            </w:tcBorders>
          </w:tcPr>
          <w:p>
            <w:pPr>
              <w:pStyle w:val="TableParagraph"/>
              <w:spacing w:before="17"/>
              <w:ind w:left="7"/>
              <w:jc w:val="left"/>
              <w:rPr>
                <w:sz w:val="17"/>
              </w:rPr>
            </w:pPr>
            <w:r>
              <w:rPr>
                <w:sz w:val="17"/>
              </w:rPr>
              <w:t>Cambio dollaro/euro</w:t>
            </w:r>
          </w:p>
        </w:tc>
        <w:tc>
          <w:tcPr>
            <w:tcW w:w="1106" w:type="dxa"/>
            <w:tcBorders>
              <w:bottom w:val="single" w:sz="12" w:space="0" w:color="086D44"/>
            </w:tcBorders>
          </w:tcPr>
          <w:p>
            <w:pPr>
              <w:pStyle w:val="TableParagraph"/>
              <w:spacing w:before="17"/>
              <w:ind w:left="173" w:right="161"/>
              <w:jc w:val="center"/>
              <w:rPr>
                <w:sz w:val="17"/>
              </w:rPr>
            </w:pPr>
            <w:r>
              <w:rPr>
                <w:sz w:val="17"/>
              </w:rPr>
              <w:t>1,13</w:t>
            </w:r>
          </w:p>
        </w:tc>
        <w:tc>
          <w:tcPr>
            <w:tcW w:w="1123" w:type="dxa"/>
            <w:tcBorders>
              <w:bottom w:val="single" w:sz="12" w:space="0" w:color="086D44"/>
            </w:tcBorders>
          </w:tcPr>
          <w:p>
            <w:pPr>
              <w:pStyle w:val="TableParagraph"/>
              <w:spacing w:before="17"/>
              <w:ind w:left="158" w:right="133"/>
              <w:jc w:val="center"/>
              <w:rPr>
                <w:sz w:val="17"/>
              </w:rPr>
            </w:pPr>
            <w:r>
              <w:rPr>
                <w:sz w:val="17"/>
              </w:rPr>
              <w:t>1,12</w:t>
            </w:r>
          </w:p>
        </w:tc>
        <w:tc>
          <w:tcPr>
            <w:tcW w:w="1005" w:type="dxa"/>
            <w:tcBorders>
              <w:bottom w:val="single" w:sz="12" w:space="0" w:color="086D44"/>
            </w:tcBorders>
          </w:tcPr>
          <w:p>
            <w:pPr>
              <w:pStyle w:val="TableParagraph"/>
              <w:spacing w:before="17"/>
              <w:ind w:left="124" w:right="105"/>
              <w:jc w:val="center"/>
              <w:rPr>
                <w:sz w:val="17"/>
              </w:rPr>
            </w:pPr>
            <w:r>
              <w:rPr>
                <w:sz w:val="17"/>
              </w:rPr>
              <w:t>1,13</w:t>
            </w:r>
          </w:p>
        </w:tc>
        <w:tc>
          <w:tcPr>
            <w:tcW w:w="1033" w:type="dxa"/>
            <w:tcBorders>
              <w:bottom w:val="single" w:sz="12" w:space="0" w:color="086D44"/>
            </w:tcBorders>
          </w:tcPr>
          <w:p>
            <w:pPr>
              <w:pStyle w:val="TableParagraph"/>
              <w:spacing w:before="17"/>
              <w:ind w:left="83" w:right="102"/>
              <w:jc w:val="center"/>
              <w:rPr>
                <w:sz w:val="17"/>
              </w:rPr>
            </w:pPr>
            <w:r>
              <w:rPr>
                <w:sz w:val="17"/>
              </w:rPr>
              <w:t>1,11</w:t>
            </w:r>
          </w:p>
        </w:tc>
        <w:tc>
          <w:tcPr>
            <w:tcW w:w="965" w:type="dxa"/>
            <w:tcBorders>
              <w:bottom w:val="single" w:sz="12" w:space="0" w:color="086D44"/>
            </w:tcBorders>
          </w:tcPr>
          <w:p>
            <w:pPr>
              <w:pStyle w:val="TableParagraph"/>
              <w:spacing w:before="17"/>
              <w:ind w:left="77" w:right="97"/>
              <w:jc w:val="center"/>
              <w:rPr>
                <w:sz w:val="17"/>
              </w:rPr>
            </w:pPr>
            <w:r>
              <w:rPr>
                <w:sz w:val="17"/>
              </w:rPr>
              <w:t>1,13</w:t>
            </w:r>
          </w:p>
        </w:tc>
        <w:tc>
          <w:tcPr>
            <w:tcW w:w="1007" w:type="dxa"/>
            <w:tcBorders>
              <w:bottom w:val="single" w:sz="12" w:space="0" w:color="086D44"/>
            </w:tcBorders>
          </w:tcPr>
          <w:p>
            <w:pPr>
              <w:pStyle w:val="TableParagraph"/>
              <w:spacing w:before="17"/>
              <w:ind w:left="86" w:right="83"/>
              <w:jc w:val="center"/>
              <w:rPr>
                <w:sz w:val="17"/>
              </w:rPr>
            </w:pPr>
            <w:r>
              <w:rPr>
                <w:sz w:val="17"/>
              </w:rPr>
              <w:t>1,11</w:t>
            </w:r>
          </w:p>
        </w:tc>
      </w:tr>
    </w:tbl>
    <w:p>
      <w:pPr>
        <w:pStyle w:val="BodyText"/>
        <w:spacing w:before="4"/>
        <w:rPr>
          <w:rFonts w:ascii="Franklin Gothic Book"/>
          <w:sz w:val="21"/>
        </w:rPr>
      </w:pPr>
    </w:p>
    <w:p>
      <w:pPr>
        <w:pStyle w:val="BodyText"/>
        <w:spacing w:line="252" w:lineRule="auto"/>
        <w:ind w:left="1128" w:right="1412" w:firstLine="283"/>
        <w:jc w:val="both"/>
      </w:pPr>
      <w:r>
        <w:rPr/>
        <w:t>Sul mercato valutario, secondo l’ipotesi tecnica</w:t>
      </w:r>
      <w:r>
        <w:rPr>
          <w:vertAlign w:val="superscript"/>
        </w:rPr>
        <w:t>4</w:t>
      </w:r>
      <w:r>
        <w:rPr>
          <w:vertAlign w:val="baseline"/>
        </w:rPr>
        <w:t>, il tasso di cambio dell’euro rispetto</w:t>
      </w:r>
      <w:r>
        <w:rPr>
          <w:spacing w:val="-12"/>
          <w:vertAlign w:val="baseline"/>
        </w:rPr>
        <w:t> </w:t>
      </w:r>
      <w:r>
        <w:rPr>
          <w:vertAlign w:val="baseline"/>
        </w:rPr>
        <w:t>al</w:t>
      </w:r>
      <w:r>
        <w:rPr>
          <w:spacing w:val="-12"/>
          <w:vertAlign w:val="baseline"/>
        </w:rPr>
        <w:t> </w:t>
      </w:r>
      <w:r>
        <w:rPr>
          <w:vertAlign w:val="baseline"/>
        </w:rPr>
        <w:t>dollaro</w:t>
      </w:r>
      <w:r>
        <w:rPr>
          <w:spacing w:val="-11"/>
          <w:vertAlign w:val="baseline"/>
        </w:rPr>
        <w:t> </w:t>
      </w:r>
      <w:r>
        <w:rPr>
          <w:vertAlign w:val="baseline"/>
        </w:rPr>
        <w:t>utilizzato</w:t>
      </w:r>
      <w:r>
        <w:rPr>
          <w:spacing w:val="-12"/>
          <w:vertAlign w:val="baseline"/>
        </w:rPr>
        <w:t> </w:t>
      </w:r>
      <w:r>
        <w:rPr>
          <w:vertAlign w:val="baseline"/>
        </w:rPr>
        <w:t>per</w:t>
      </w:r>
      <w:r>
        <w:rPr>
          <w:spacing w:val="-12"/>
          <w:vertAlign w:val="baseline"/>
        </w:rPr>
        <w:t> </w:t>
      </w:r>
      <w:r>
        <w:rPr>
          <w:vertAlign w:val="baseline"/>
        </w:rPr>
        <w:t>la</w:t>
      </w:r>
      <w:r>
        <w:rPr>
          <w:spacing w:val="-12"/>
          <w:vertAlign w:val="baseline"/>
        </w:rPr>
        <w:t> </w:t>
      </w:r>
      <w:r>
        <w:rPr>
          <w:vertAlign w:val="baseline"/>
        </w:rPr>
        <w:t>previsione,</w:t>
      </w:r>
      <w:r>
        <w:rPr>
          <w:spacing w:val="-12"/>
          <w:vertAlign w:val="baseline"/>
        </w:rPr>
        <w:t> </w:t>
      </w:r>
      <w:r>
        <w:rPr>
          <w:vertAlign w:val="baseline"/>
        </w:rPr>
        <w:t>pari</w:t>
      </w:r>
      <w:r>
        <w:rPr>
          <w:spacing w:val="-11"/>
          <w:vertAlign w:val="baseline"/>
        </w:rPr>
        <w:t> </w:t>
      </w:r>
      <w:r>
        <w:rPr>
          <w:vertAlign w:val="baseline"/>
        </w:rPr>
        <w:t>a</w:t>
      </w:r>
      <w:r>
        <w:rPr>
          <w:spacing w:val="-12"/>
          <w:vertAlign w:val="baseline"/>
        </w:rPr>
        <w:t> </w:t>
      </w:r>
      <w:r>
        <w:rPr>
          <w:vertAlign w:val="baseline"/>
        </w:rPr>
        <w:t>1,12</w:t>
      </w:r>
      <w:r>
        <w:rPr>
          <w:spacing w:val="-15"/>
          <w:vertAlign w:val="baseline"/>
        </w:rPr>
        <w:t> </w:t>
      </w:r>
      <w:r>
        <w:rPr>
          <w:vertAlign w:val="baseline"/>
        </w:rPr>
        <w:t>nel</w:t>
      </w:r>
      <w:r>
        <w:rPr>
          <w:spacing w:val="-12"/>
          <w:vertAlign w:val="baseline"/>
        </w:rPr>
        <w:t> </w:t>
      </w:r>
      <w:r>
        <w:rPr>
          <w:vertAlign w:val="baseline"/>
        </w:rPr>
        <w:t>2019</w:t>
      </w:r>
      <w:r>
        <w:rPr>
          <w:spacing w:val="-15"/>
          <w:vertAlign w:val="baseline"/>
        </w:rPr>
        <w:t> </w:t>
      </w:r>
      <w:r>
        <w:rPr>
          <w:vertAlign w:val="baseline"/>
        </w:rPr>
        <w:t>e</w:t>
      </w:r>
      <w:r>
        <w:rPr>
          <w:spacing w:val="-12"/>
          <w:vertAlign w:val="baseline"/>
        </w:rPr>
        <w:t> </w:t>
      </w:r>
      <w:r>
        <w:rPr>
          <w:vertAlign w:val="baseline"/>
        </w:rPr>
        <w:t>a</w:t>
      </w:r>
      <w:r>
        <w:rPr>
          <w:spacing w:val="-14"/>
          <w:vertAlign w:val="baseline"/>
        </w:rPr>
        <w:t> </w:t>
      </w:r>
      <w:r>
        <w:rPr>
          <w:vertAlign w:val="baseline"/>
        </w:rPr>
        <w:t>1,11</w:t>
      </w:r>
      <w:r>
        <w:rPr>
          <w:spacing w:val="-12"/>
          <w:vertAlign w:val="baseline"/>
        </w:rPr>
        <w:t> </w:t>
      </w:r>
      <w:r>
        <w:rPr>
          <w:vertAlign w:val="baseline"/>
        </w:rPr>
        <w:t>a</w:t>
      </w:r>
      <w:r>
        <w:rPr>
          <w:spacing w:val="-12"/>
          <w:vertAlign w:val="baseline"/>
        </w:rPr>
        <w:t> </w:t>
      </w:r>
      <w:r>
        <w:rPr>
          <w:vertAlign w:val="baseline"/>
        </w:rPr>
        <w:t>partire dal</w:t>
      </w:r>
      <w:r>
        <w:rPr>
          <w:spacing w:val="-4"/>
          <w:vertAlign w:val="baseline"/>
        </w:rPr>
        <w:t> </w:t>
      </w:r>
      <w:r>
        <w:rPr>
          <w:vertAlign w:val="baseline"/>
        </w:rPr>
        <w:t>2020,</w:t>
      </w:r>
      <w:r>
        <w:rPr>
          <w:spacing w:val="-4"/>
          <w:vertAlign w:val="baseline"/>
        </w:rPr>
        <w:t> </w:t>
      </w:r>
      <w:r>
        <w:rPr>
          <w:vertAlign w:val="baseline"/>
        </w:rPr>
        <w:t>è</w:t>
      </w:r>
      <w:r>
        <w:rPr>
          <w:spacing w:val="-6"/>
          <w:vertAlign w:val="baseline"/>
        </w:rPr>
        <w:t> </w:t>
      </w:r>
      <w:r>
        <w:rPr>
          <w:vertAlign w:val="baseline"/>
        </w:rPr>
        <w:t>più</w:t>
      </w:r>
      <w:r>
        <w:rPr>
          <w:spacing w:val="-7"/>
          <w:vertAlign w:val="baseline"/>
        </w:rPr>
        <w:t> </w:t>
      </w:r>
      <w:r>
        <w:rPr>
          <w:vertAlign w:val="baseline"/>
        </w:rPr>
        <w:t>debole</w:t>
      </w:r>
      <w:r>
        <w:rPr>
          <w:spacing w:val="-5"/>
          <w:vertAlign w:val="baseline"/>
        </w:rPr>
        <w:t> </w:t>
      </w:r>
      <w:r>
        <w:rPr>
          <w:vertAlign w:val="baseline"/>
        </w:rPr>
        <w:t>in</w:t>
      </w:r>
      <w:r>
        <w:rPr>
          <w:spacing w:val="-8"/>
          <w:vertAlign w:val="baseline"/>
        </w:rPr>
        <w:t> </w:t>
      </w:r>
      <w:r>
        <w:rPr>
          <w:vertAlign w:val="baseline"/>
        </w:rPr>
        <w:t>confronto</w:t>
      </w:r>
      <w:r>
        <w:rPr>
          <w:spacing w:val="-5"/>
          <w:vertAlign w:val="baseline"/>
        </w:rPr>
        <w:t> </w:t>
      </w:r>
      <w:r>
        <w:rPr>
          <w:vertAlign w:val="baseline"/>
        </w:rPr>
        <w:t>al</w:t>
      </w:r>
      <w:r>
        <w:rPr>
          <w:spacing w:val="-4"/>
          <w:vertAlign w:val="baseline"/>
        </w:rPr>
        <w:t> </w:t>
      </w:r>
      <w:r>
        <w:rPr>
          <w:vertAlign w:val="baseline"/>
        </w:rPr>
        <w:t>DEF.</w:t>
      </w:r>
      <w:r>
        <w:rPr>
          <w:spacing w:val="-6"/>
          <w:vertAlign w:val="baseline"/>
        </w:rPr>
        <w:t> </w:t>
      </w:r>
      <w:r>
        <w:rPr>
          <w:vertAlign w:val="baseline"/>
        </w:rPr>
        <w:t>D’altra</w:t>
      </w:r>
      <w:r>
        <w:rPr>
          <w:spacing w:val="-5"/>
          <w:vertAlign w:val="baseline"/>
        </w:rPr>
        <w:t> </w:t>
      </w:r>
      <w:r>
        <w:rPr>
          <w:vertAlign w:val="baseline"/>
        </w:rPr>
        <w:t>parte,</w:t>
      </w:r>
      <w:r>
        <w:rPr>
          <w:spacing w:val="-2"/>
          <w:vertAlign w:val="baseline"/>
        </w:rPr>
        <w:t> </w:t>
      </w:r>
      <w:r>
        <w:rPr>
          <w:vertAlign w:val="baseline"/>
        </w:rPr>
        <w:t>ai</w:t>
      </w:r>
      <w:r>
        <w:rPr>
          <w:spacing w:val="-7"/>
          <w:vertAlign w:val="baseline"/>
        </w:rPr>
        <w:t> </w:t>
      </w:r>
      <w:r>
        <w:rPr>
          <w:vertAlign w:val="baseline"/>
        </w:rPr>
        <w:t>fini</w:t>
      </w:r>
      <w:r>
        <w:rPr>
          <w:spacing w:val="-5"/>
          <w:vertAlign w:val="baseline"/>
        </w:rPr>
        <w:t> </w:t>
      </w:r>
      <w:r>
        <w:rPr>
          <w:vertAlign w:val="baseline"/>
        </w:rPr>
        <w:t>del</w:t>
      </w:r>
      <w:r>
        <w:rPr>
          <w:spacing w:val="-7"/>
          <w:vertAlign w:val="baseline"/>
        </w:rPr>
        <w:t> </w:t>
      </w:r>
      <w:r>
        <w:rPr>
          <w:vertAlign w:val="baseline"/>
        </w:rPr>
        <w:t>tasso</w:t>
      </w:r>
      <w:r>
        <w:rPr>
          <w:spacing w:val="-7"/>
          <w:vertAlign w:val="baseline"/>
        </w:rPr>
        <w:t> </w:t>
      </w:r>
      <w:r>
        <w:rPr>
          <w:vertAlign w:val="baseline"/>
        </w:rPr>
        <w:t>di</w:t>
      </w:r>
      <w:r>
        <w:rPr>
          <w:spacing w:val="-5"/>
          <w:vertAlign w:val="baseline"/>
        </w:rPr>
        <w:t> </w:t>
      </w:r>
      <w:r>
        <w:rPr>
          <w:vertAlign w:val="baseline"/>
        </w:rPr>
        <w:t>cambio effettivo nominale, l’apprezzamento dell’euro nei confronti di sterlina e Yuan più che compensa il deprezzamento dell’euro rispetto al</w:t>
      </w:r>
      <w:r>
        <w:rPr>
          <w:spacing w:val="-12"/>
          <w:vertAlign w:val="baseline"/>
        </w:rPr>
        <w:t> </w:t>
      </w:r>
      <w:r>
        <w:rPr>
          <w:vertAlign w:val="baseline"/>
        </w:rPr>
        <w:t>dollaro.</w:t>
      </w:r>
    </w:p>
    <w:p>
      <w:pPr>
        <w:pStyle w:val="BodyText"/>
        <w:spacing w:line="252" w:lineRule="auto"/>
        <w:ind w:left="1128" w:right="1413" w:firstLine="283"/>
        <w:jc w:val="both"/>
      </w:pPr>
      <w:r>
        <w:rPr/>
        <w:t>Le proiezioni per la dinamica del prezzo del petrolio risultano invece più basse rispetto al DEF per i motivi sopra illustrati. Tale previsione si basa sull’andamento dei</w:t>
      </w:r>
      <w:r>
        <w:rPr>
          <w:spacing w:val="-14"/>
        </w:rPr>
        <w:t> </w:t>
      </w:r>
      <w:r>
        <w:rPr/>
        <w:t>futures</w:t>
      </w:r>
      <w:r>
        <w:rPr>
          <w:spacing w:val="-15"/>
        </w:rPr>
        <w:t> </w:t>
      </w:r>
      <w:r>
        <w:rPr/>
        <w:t>sul</w:t>
      </w:r>
      <w:r>
        <w:rPr>
          <w:spacing w:val="-13"/>
        </w:rPr>
        <w:t> </w:t>
      </w:r>
      <w:r>
        <w:rPr/>
        <w:t>greggio</w:t>
      </w:r>
      <w:r>
        <w:rPr>
          <w:spacing w:val="-14"/>
        </w:rPr>
        <w:t> </w:t>
      </w:r>
      <w:r>
        <w:rPr/>
        <w:t>rilevati</w:t>
      </w:r>
      <w:r>
        <w:rPr>
          <w:spacing w:val="-14"/>
        </w:rPr>
        <w:t> </w:t>
      </w:r>
      <w:r>
        <w:rPr/>
        <w:t>nei</w:t>
      </w:r>
      <w:r>
        <w:rPr>
          <w:spacing w:val="-13"/>
        </w:rPr>
        <w:t> </w:t>
      </w:r>
      <w:r>
        <w:rPr/>
        <w:t>dieci</w:t>
      </w:r>
      <w:r>
        <w:rPr>
          <w:spacing w:val="-14"/>
        </w:rPr>
        <w:t> </w:t>
      </w:r>
      <w:r>
        <w:rPr/>
        <w:t>giorni</w:t>
      </w:r>
      <w:r>
        <w:rPr>
          <w:spacing w:val="-13"/>
        </w:rPr>
        <w:t> </w:t>
      </w:r>
      <w:r>
        <w:rPr/>
        <w:t>lavorativi</w:t>
      </w:r>
      <w:r>
        <w:rPr>
          <w:spacing w:val="-14"/>
        </w:rPr>
        <w:t> </w:t>
      </w:r>
      <w:r>
        <w:rPr/>
        <w:t>precedenti</w:t>
      </w:r>
      <w:r>
        <w:rPr>
          <w:spacing w:val="-14"/>
        </w:rPr>
        <w:t> </w:t>
      </w:r>
      <w:r>
        <w:rPr/>
        <w:t>l’avvio</w:t>
      </w:r>
      <w:r>
        <w:rPr>
          <w:spacing w:val="-13"/>
        </w:rPr>
        <w:t> </w:t>
      </w:r>
      <w:r>
        <w:rPr/>
        <w:t>dei</w:t>
      </w:r>
      <w:r>
        <w:rPr>
          <w:spacing w:val="-14"/>
        </w:rPr>
        <w:t> </w:t>
      </w:r>
      <w:r>
        <w:rPr/>
        <w:t>lavori per la predisposizione di questa</w:t>
      </w:r>
      <w:r>
        <w:rPr>
          <w:spacing w:val="-7"/>
        </w:rPr>
        <w:t> </w:t>
      </w:r>
      <w:r>
        <w:rPr/>
        <w:t>Nota</w:t>
      </w:r>
      <w:r>
        <w:rPr>
          <w:vertAlign w:val="superscript"/>
        </w:rPr>
        <w:t>5</w:t>
      </w:r>
      <w:r>
        <w:rPr>
          <w:vertAlign w:val="baseline"/>
        </w:rPr>
        <w:t>.</w:t>
      </w:r>
    </w:p>
    <w:p>
      <w:pPr>
        <w:pStyle w:val="BodyText"/>
        <w:rPr>
          <w:sz w:val="20"/>
        </w:rPr>
      </w:pPr>
    </w:p>
    <w:p>
      <w:pPr>
        <w:pStyle w:val="BodyText"/>
        <w:rPr>
          <w:sz w:val="20"/>
        </w:rPr>
      </w:pPr>
    </w:p>
    <w:p>
      <w:pPr>
        <w:pStyle w:val="BodyText"/>
        <w:spacing w:before="1"/>
        <w:rPr>
          <w:sz w:val="11"/>
        </w:rPr>
      </w:pPr>
      <w:r>
        <w:rPr/>
        <w:pict>
          <v:group style="position:absolute;margin-left:136.100006pt;margin-top:8.412803pt;width:21.4pt;height:2.15pt;mso-position-horizontal-relative:page;mso-position-vertical-relative:paragraph;z-index:-251613184;mso-wrap-distance-left:0;mso-wrap-distance-right:0" coordorigin="2722,168" coordsize="428,43">
            <v:line style="position:absolute" from="2722,189" to="3149,189" stroked="true" strokeweight="2.050pt" strokecolor="#aaaaaa">
              <v:stroke dashstyle="solid"/>
            </v:line>
            <v:rect style="position:absolute;left:2722;top:170;width:5;height:5" filled="true" fillcolor="#9f9f9f" stroked="false">
              <v:fill type="solid"/>
            </v:rect>
            <v:rect style="position:absolute;left:2722;top:170;width:5;height:5" filled="true" fillcolor="#9f9f9f" stroked="false">
              <v:fill type="solid"/>
            </v:rect>
            <v:line style="position:absolute" from="2727,173" to="3144,173" stroked="true" strokeweight=".23999pt" strokecolor="#9f9f9f">
              <v:stroke dashstyle="solid"/>
            </v:line>
            <v:rect style="position:absolute;left:3144;top:170;width:5;height:5" filled="true" fillcolor="#e2e2e2" stroked="false">
              <v:fill type="solid"/>
            </v:rect>
            <v:rect style="position:absolute;left:3144;top:170;width:5;height:5" filled="true" fillcolor="#9f9f9f" stroked="false">
              <v:fill type="solid"/>
            </v:rect>
            <v:rect style="position:absolute;left:2722;top:175;width:5;height:32" filled="true" fillcolor="#9f9f9f" stroked="false">
              <v:fill type="solid"/>
            </v:rect>
            <v:rect style="position:absolute;left:3144;top:175;width:5;height:32" filled="true" fillcolor="#e2e2e2" stroked="false">
              <v:fill type="solid"/>
            </v:rect>
            <v:rect style="position:absolute;left:2722;top:206;width:5;height:5" filled="true" fillcolor="#9f9f9f" stroked="false">
              <v:fill type="solid"/>
            </v:rect>
            <v:rect style="position:absolute;left:2722;top:206;width:5;height:5" filled="true" fillcolor="#e2e2e2" stroked="false">
              <v:fill type="solid"/>
            </v:rect>
            <v:line style="position:absolute" from="2727,209" to="3144,209" stroked="true" strokeweight=".23999pt" strokecolor="#e2e2e2">
              <v:stroke dashstyle="solid"/>
            </v:line>
            <v:rect style="position:absolute;left:3144;top:206;width:5;height:5" filled="true" fillcolor="#e2e2e2" stroked="false">
              <v:fill type="solid"/>
            </v:rect>
            <v:rect style="position:absolute;left:3144;top:206;width:5;height:5" filled="true" fillcolor="#e2e2e2" stroked="false">
              <v:fill type="solid"/>
            </v:rect>
            <w10:wrap type="topAndBottom"/>
          </v:group>
        </w:pict>
      </w:r>
    </w:p>
    <w:p>
      <w:pPr>
        <w:spacing w:before="18"/>
        <w:ind w:left="1128" w:right="1413" w:firstLine="0"/>
        <w:jc w:val="both"/>
        <w:rPr>
          <w:sz w:val="16"/>
        </w:rPr>
      </w:pPr>
      <w:r>
        <w:rPr>
          <w:position w:val="6"/>
          <w:sz w:val="10"/>
        </w:rPr>
        <w:t>4 </w:t>
      </w:r>
      <w:r>
        <w:rPr>
          <w:sz w:val="16"/>
        </w:rPr>
        <w:t>Per il tasso di cambio dollaro/euro si fa riferimento all’ipotesi tecnica della media dei dieci giorni lavorativi terminanti</w:t>
      </w:r>
      <w:r>
        <w:rPr>
          <w:spacing w:val="-5"/>
          <w:sz w:val="16"/>
        </w:rPr>
        <w:t> </w:t>
      </w:r>
      <w:r>
        <w:rPr>
          <w:sz w:val="16"/>
        </w:rPr>
        <w:t>il</w:t>
      </w:r>
      <w:r>
        <w:rPr>
          <w:spacing w:val="-5"/>
          <w:sz w:val="16"/>
        </w:rPr>
        <w:t> </w:t>
      </w:r>
      <w:r>
        <w:rPr>
          <w:sz w:val="16"/>
        </w:rPr>
        <w:t>30</w:t>
      </w:r>
      <w:r>
        <w:rPr>
          <w:spacing w:val="-6"/>
          <w:sz w:val="16"/>
        </w:rPr>
        <w:t> </w:t>
      </w:r>
      <w:r>
        <w:rPr>
          <w:sz w:val="16"/>
        </w:rPr>
        <w:t>agosto</w:t>
      </w:r>
      <w:r>
        <w:rPr>
          <w:spacing w:val="-4"/>
          <w:sz w:val="16"/>
        </w:rPr>
        <w:t> </w:t>
      </w:r>
      <w:r>
        <w:rPr>
          <w:sz w:val="16"/>
        </w:rPr>
        <w:t>2018.</w:t>
      </w:r>
      <w:r>
        <w:rPr>
          <w:spacing w:val="-4"/>
          <w:sz w:val="16"/>
        </w:rPr>
        <w:t> </w:t>
      </w:r>
      <w:r>
        <w:rPr>
          <w:sz w:val="16"/>
        </w:rPr>
        <w:t>Per</w:t>
      </w:r>
      <w:r>
        <w:rPr>
          <w:spacing w:val="-5"/>
          <w:sz w:val="16"/>
        </w:rPr>
        <w:t> </w:t>
      </w:r>
      <w:r>
        <w:rPr>
          <w:sz w:val="16"/>
        </w:rPr>
        <w:t>il</w:t>
      </w:r>
      <w:r>
        <w:rPr>
          <w:spacing w:val="-5"/>
          <w:sz w:val="16"/>
        </w:rPr>
        <w:t> </w:t>
      </w:r>
      <w:r>
        <w:rPr>
          <w:sz w:val="16"/>
        </w:rPr>
        <w:t>prezzo</w:t>
      </w:r>
      <w:r>
        <w:rPr>
          <w:spacing w:val="-3"/>
          <w:sz w:val="16"/>
        </w:rPr>
        <w:t> </w:t>
      </w:r>
      <w:r>
        <w:rPr>
          <w:sz w:val="16"/>
        </w:rPr>
        <w:t>del</w:t>
      </w:r>
      <w:r>
        <w:rPr>
          <w:spacing w:val="-5"/>
          <w:sz w:val="16"/>
        </w:rPr>
        <w:t> </w:t>
      </w:r>
      <w:r>
        <w:rPr>
          <w:sz w:val="16"/>
        </w:rPr>
        <w:t>petrolio,</w:t>
      </w:r>
      <w:r>
        <w:rPr>
          <w:spacing w:val="-4"/>
          <w:sz w:val="16"/>
        </w:rPr>
        <w:t> </w:t>
      </w:r>
      <w:r>
        <w:rPr>
          <w:sz w:val="16"/>
        </w:rPr>
        <w:t>si</w:t>
      </w:r>
      <w:r>
        <w:rPr>
          <w:spacing w:val="-4"/>
          <w:sz w:val="16"/>
        </w:rPr>
        <w:t> </w:t>
      </w:r>
      <w:r>
        <w:rPr>
          <w:sz w:val="16"/>
        </w:rPr>
        <w:t>fa</w:t>
      </w:r>
      <w:r>
        <w:rPr>
          <w:spacing w:val="-6"/>
          <w:sz w:val="16"/>
        </w:rPr>
        <w:t> </w:t>
      </w:r>
      <w:r>
        <w:rPr>
          <w:sz w:val="16"/>
        </w:rPr>
        <w:t>riferimento</w:t>
      </w:r>
      <w:r>
        <w:rPr>
          <w:spacing w:val="-5"/>
          <w:sz w:val="16"/>
        </w:rPr>
        <w:t> </w:t>
      </w:r>
      <w:r>
        <w:rPr>
          <w:sz w:val="16"/>
        </w:rPr>
        <w:t>alla</w:t>
      </w:r>
      <w:r>
        <w:rPr>
          <w:spacing w:val="-6"/>
          <w:sz w:val="16"/>
        </w:rPr>
        <w:t> </w:t>
      </w:r>
      <w:r>
        <w:rPr>
          <w:sz w:val="16"/>
        </w:rPr>
        <w:t>media</w:t>
      </w:r>
      <w:r>
        <w:rPr>
          <w:spacing w:val="-5"/>
          <w:sz w:val="16"/>
        </w:rPr>
        <w:t> </w:t>
      </w:r>
      <w:r>
        <w:rPr>
          <w:sz w:val="16"/>
        </w:rPr>
        <w:t>dei</w:t>
      </w:r>
      <w:r>
        <w:rPr>
          <w:spacing w:val="-5"/>
          <w:sz w:val="16"/>
        </w:rPr>
        <w:t> </w:t>
      </w:r>
      <w:r>
        <w:rPr>
          <w:sz w:val="16"/>
        </w:rPr>
        <w:t>prezzi</w:t>
      </w:r>
      <w:r>
        <w:rPr>
          <w:spacing w:val="-5"/>
          <w:sz w:val="16"/>
        </w:rPr>
        <w:t> </w:t>
      </w:r>
      <w:r>
        <w:rPr>
          <w:sz w:val="16"/>
        </w:rPr>
        <w:t>dei</w:t>
      </w:r>
      <w:r>
        <w:rPr>
          <w:spacing w:val="-3"/>
          <w:sz w:val="16"/>
        </w:rPr>
        <w:t> </w:t>
      </w:r>
      <w:r>
        <w:rPr>
          <w:i/>
          <w:sz w:val="16"/>
        </w:rPr>
        <w:t>futures</w:t>
      </w:r>
      <w:r>
        <w:rPr>
          <w:i/>
          <w:spacing w:val="-5"/>
          <w:sz w:val="16"/>
        </w:rPr>
        <w:t> </w:t>
      </w:r>
      <w:r>
        <w:rPr>
          <w:sz w:val="16"/>
        </w:rPr>
        <w:t>sul</w:t>
      </w:r>
      <w:r>
        <w:rPr>
          <w:spacing w:val="-5"/>
          <w:sz w:val="16"/>
        </w:rPr>
        <w:t> </w:t>
      </w:r>
      <w:r>
        <w:rPr>
          <w:sz w:val="16"/>
        </w:rPr>
        <w:t>Brent nei dieci giorni lavorativi terminanti il 30</w:t>
      </w:r>
      <w:r>
        <w:rPr>
          <w:spacing w:val="-5"/>
          <w:sz w:val="16"/>
        </w:rPr>
        <w:t> </w:t>
      </w:r>
      <w:r>
        <w:rPr>
          <w:sz w:val="16"/>
        </w:rPr>
        <w:t>agosto.</w:t>
      </w:r>
    </w:p>
    <w:p>
      <w:pPr>
        <w:spacing w:before="0"/>
        <w:ind w:left="1128" w:right="1420" w:firstLine="0"/>
        <w:jc w:val="both"/>
        <w:rPr>
          <w:sz w:val="16"/>
        </w:rPr>
      </w:pPr>
      <w:r>
        <w:rPr>
          <w:position w:val="6"/>
          <w:sz w:val="10"/>
        </w:rPr>
        <w:t>5 </w:t>
      </w:r>
      <w:r>
        <w:rPr>
          <w:sz w:val="16"/>
        </w:rPr>
        <w:t>Sul punto si vedano anche gli approfondimenti illustrati nel Riquadro sugli scenari di sensitività delle variabili esogene internazionali.</w:t>
      </w:r>
    </w:p>
    <w:p>
      <w:pPr>
        <w:spacing w:after="0"/>
        <w:jc w:val="both"/>
        <w:rPr>
          <w:sz w:val="16"/>
        </w:rPr>
        <w:sectPr>
          <w:type w:val="continuous"/>
          <w:pgSz w:w="11910" w:h="16840"/>
          <w:pgMar w:top="1580" w:bottom="280" w:left="1140" w:right="0"/>
        </w:sectPr>
      </w:pPr>
    </w:p>
    <w:p>
      <w:pPr>
        <w:pStyle w:val="BodyText"/>
        <w:rPr>
          <w:sz w:val="20"/>
        </w:rPr>
      </w:pPr>
    </w:p>
    <w:p>
      <w:pPr>
        <w:pStyle w:val="BodyText"/>
        <w:rPr>
          <w:sz w:val="20"/>
        </w:rPr>
      </w:pPr>
    </w:p>
    <w:p>
      <w:pPr>
        <w:pStyle w:val="BodyText"/>
        <w:spacing w:before="4"/>
        <w:rPr>
          <w:sz w:val="24"/>
        </w:rPr>
      </w:pPr>
    </w:p>
    <w:p>
      <w:pPr>
        <w:pStyle w:val="Heading2"/>
        <w:numPr>
          <w:ilvl w:val="1"/>
          <w:numId w:val="2"/>
        </w:numPr>
        <w:tabs>
          <w:tab w:pos="735" w:val="left" w:leader="none"/>
        </w:tabs>
        <w:spacing w:line="240" w:lineRule="auto" w:before="99" w:after="0"/>
        <w:ind w:left="734" w:right="0" w:hanging="457"/>
        <w:jc w:val="left"/>
      </w:pPr>
      <w:r>
        <w:rPr>
          <w:color w:val="086D44"/>
        </w:rPr>
        <w:t>L’ECONOMIA</w:t>
      </w:r>
      <w:r>
        <w:rPr>
          <w:color w:val="086D44"/>
          <w:spacing w:val="-1"/>
        </w:rPr>
        <w:t> </w:t>
      </w:r>
      <w:r>
        <w:rPr>
          <w:color w:val="086D44"/>
        </w:rPr>
        <w:t>ITALIANA</w:t>
      </w:r>
    </w:p>
    <w:p>
      <w:pPr>
        <w:pStyle w:val="BodyText"/>
        <w:spacing w:before="9"/>
        <w:rPr>
          <w:rFonts w:ascii="Franklin Gothic Heavy"/>
          <w:b/>
        </w:rPr>
      </w:pPr>
    </w:p>
    <w:p>
      <w:pPr>
        <w:pStyle w:val="BodyText"/>
        <w:spacing w:line="252" w:lineRule="auto"/>
        <w:ind w:left="278" w:right="2263" w:firstLine="453"/>
        <w:jc w:val="both"/>
      </w:pPr>
      <w:r>
        <w:rPr/>
        <w:t>Nel primo semestre del 2019 la dinamica congiunturale del PIL è stata lievemente positiva e si è dimostrata nel complesso in linea con le previsioni del DEF. Nel primo trimestre 2019 il PIL è aumentato dello 0,1 per cento t/t per poi decelerare allo 0,03 per cento t/t nel 2T.</w:t>
      </w:r>
    </w:p>
    <w:p>
      <w:pPr>
        <w:pStyle w:val="BodyText"/>
        <w:spacing w:line="252" w:lineRule="auto"/>
        <w:ind w:left="278" w:right="2264" w:firstLine="453"/>
        <w:jc w:val="both"/>
      </w:pPr>
      <w:r>
        <w:rPr/>
        <w:t>La domanda interna, pur restando debole, ha apportato un contributo positivo alla</w:t>
      </w:r>
      <w:r>
        <w:rPr>
          <w:spacing w:val="-8"/>
        </w:rPr>
        <w:t> </w:t>
      </w:r>
      <w:r>
        <w:rPr/>
        <w:t>crescita</w:t>
      </w:r>
      <w:r>
        <w:rPr>
          <w:spacing w:val="-7"/>
        </w:rPr>
        <w:t> </w:t>
      </w:r>
      <w:r>
        <w:rPr/>
        <w:t>del</w:t>
      </w:r>
      <w:r>
        <w:rPr>
          <w:spacing w:val="-7"/>
        </w:rPr>
        <w:t> </w:t>
      </w:r>
      <w:r>
        <w:rPr/>
        <w:t>PIL,</w:t>
      </w:r>
      <w:r>
        <w:rPr>
          <w:spacing w:val="-8"/>
        </w:rPr>
        <w:t> </w:t>
      </w:r>
      <w:r>
        <w:rPr/>
        <w:t>cui</w:t>
      </w:r>
      <w:r>
        <w:rPr>
          <w:spacing w:val="-12"/>
        </w:rPr>
        <w:t> </w:t>
      </w:r>
      <w:r>
        <w:rPr/>
        <w:t>si</w:t>
      </w:r>
      <w:r>
        <w:rPr>
          <w:spacing w:val="-8"/>
        </w:rPr>
        <w:t> </w:t>
      </w:r>
      <w:r>
        <w:rPr/>
        <w:t>è</w:t>
      </w:r>
      <w:r>
        <w:rPr>
          <w:spacing w:val="-7"/>
        </w:rPr>
        <w:t> </w:t>
      </w:r>
      <w:r>
        <w:rPr/>
        <w:t>aggiunto</w:t>
      </w:r>
      <w:r>
        <w:rPr>
          <w:spacing w:val="-7"/>
        </w:rPr>
        <w:t> </w:t>
      </w:r>
      <w:r>
        <w:rPr/>
        <w:t>quello</w:t>
      </w:r>
      <w:r>
        <w:rPr>
          <w:spacing w:val="-8"/>
        </w:rPr>
        <w:t> </w:t>
      </w:r>
      <w:r>
        <w:rPr/>
        <w:t>delle</w:t>
      </w:r>
      <w:r>
        <w:rPr>
          <w:spacing w:val="-7"/>
        </w:rPr>
        <w:t> </w:t>
      </w:r>
      <w:r>
        <w:rPr/>
        <w:t>esportazioni</w:t>
      </w:r>
      <w:r>
        <w:rPr>
          <w:spacing w:val="-7"/>
        </w:rPr>
        <w:t> </w:t>
      </w:r>
      <w:r>
        <w:rPr/>
        <w:t>nette,</w:t>
      </w:r>
      <w:r>
        <w:rPr>
          <w:spacing w:val="-7"/>
        </w:rPr>
        <w:t> </w:t>
      </w:r>
      <w:r>
        <w:rPr/>
        <w:t>in</w:t>
      </w:r>
      <w:r>
        <w:rPr>
          <w:spacing w:val="-10"/>
        </w:rPr>
        <w:t> </w:t>
      </w:r>
      <w:r>
        <w:rPr/>
        <w:t>particolare nel</w:t>
      </w:r>
      <w:r>
        <w:rPr>
          <w:spacing w:val="-8"/>
        </w:rPr>
        <w:t> </w:t>
      </w:r>
      <w:r>
        <w:rPr/>
        <w:t>primo</w:t>
      </w:r>
      <w:r>
        <w:rPr>
          <w:spacing w:val="-7"/>
        </w:rPr>
        <w:t> </w:t>
      </w:r>
      <w:r>
        <w:rPr/>
        <w:t>trimestre</w:t>
      </w:r>
      <w:r>
        <w:rPr>
          <w:spacing w:val="-6"/>
        </w:rPr>
        <w:t> </w:t>
      </w:r>
      <w:r>
        <w:rPr/>
        <w:t>dell’anno.</w:t>
      </w:r>
      <w:r>
        <w:rPr>
          <w:spacing w:val="-6"/>
        </w:rPr>
        <w:t> </w:t>
      </w:r>
      <w:r>
        <w:rPr/>
        <w:t>Per</w:t>
      </w:r>
      <w:r>
        <w:rPr>
          <w:spacing w:val="-6"/>
        </w:rPr>
        <w:t> </w:t>
      </w:r>
      <w:r>
        <w:rPr/>
        <w:t>le</w:t>
      </w:r>
      <w:r>
        <w:rPr>
          <w:spacing w:val="-7"/>
        </w:rPr>
        <w:t> </w:t>
      </w:r>
      <w:r>
        <w:rPr/>
        <w:t>scorte</w:t>
      </w:r>
      <w:r>
        <w:rPr>
          <w:spacing w:val="-7"/>
        </w:rPr>
        <w:t> </w:t>
      </w:r>
      <w:r>
        <w:rPr/>
        <w:t>si</w:t>
      </w:r>
      <w:r>
        <w:rPr>
          <w:spacing w:val="-8"/>
        </w:rPr>
        <w:t> </w:t>
      </w:r>
      <w:r>
        <w:rPr/>
        <w:t>è</w:t>
      </w:r>
      <w:r>
        <w:rPr>
          <w:spacing w:val="-9"/>
        </w:rPr>
        <w:t> </w:t>
      </w:r>
      <w:r>
        <w:rPr/>
        <w:t>accentuato</w:t>
      </w:r>
      <w:r>
        <w:rPr>
          <w:spacing w:val="-7"/>
        </w:rPr>
        <w:t> </w:t>
      </w:r>
      <w:r>
        <w:rPr/>
        <w:t>il</w:t>
      </w:r>
      <w:r>
        <w:rPr>
          <w:spacing w:val="-7"/>
        </w:rPr>
        <w:t> </w:t>
      </w:r>
      <w:r>
        <w:rPr/>
        <w:t>processo</w:t>
      </w:r>
      <w:r>
        <w:rPr>
          <w:spacing w:val="-8"/>
        </w:rPr>
        <w:t> </w:t>
      </w:r>
      <w:r>
        <w:rPr/>
        <w:t>di</w:t>
      </w:r>
      <w:r>
        <w:rPr>
          <w:spacing w:val="-12"/>
        </w:rPr>
        <w:t> </w:t>
      </w:r>
      <w:r>
        <w:rPr/>
        <w:t>decumulo già in atto dal secondo trimestre</w:t>
      </w:r>
      <w:r>
        <w:rPr>
          <w:spacing w:val="-6"/>
        </w:rPr>
        <w:t> </w:t>
      </w:r>
      <w:r>
        <w:rPr/>
        <w:t>2018.</w:t>
      </w:r>
    </w:p>
    <w:p>
      <w:pPr>
        <w:pStyle w:val="BodyText"/>
        <w:spacing w:line="252" w:lineRule="auto"/>
        <w:ind w:left="278" w:right="2260" w:firstLine="453"/>
        <w:jc w:val="both"/>
      </w:pPr>
      <w:r>
        <w:rPr/>
        <w:t>Nei</w:t>
      </w:r>
      <w:r>
        <w:rPr>
          <w:spacing w:val="-8"/>
        </w:rPr>
        <w:t> </w:t>
      </w:r>
      <w:r>
        <w:rPr/>
        <w:t>primi</w:t>
      </w:r>
      <w:r>
        <w:rPr>
          <w:spacing w:val="-10"/>
        </w:rPr>
        <w:t> </w:t>
      </w:r>
      <w:r>
        <w:rPr/>
        <w:t>due</w:t>
      </w:r>
      <w:r>
        <w:rPr>
          <w:spacing w:val="-8"/>
        </w:rPr>
        <w:t> </w:t>
      </w:r>
      <w:r>
        <w:rPr/>
        <w:t>trimestri</w:t>
      </w:r>
      <w:r>
        <w:rPr>
          <w:spacing w:val="-9"/>
        </w:rPr>
        <w:t> </w:t>
      </w:r>
      <w:r>
        <w:rPr/>
        <w:t>dell’anno</w:t>
      </w:r>
      <w:r>
        <w:rPr>
          <w:spacing w:val="-9"/>
        </w:rPr>
        <w:t> </w:t>
      </w:r>
      <w:r>
        <w:rPr/>
        <w:t>i</w:t>
      </w:r>
      <w:r>
        <w:rPr>
          <w:spacing w:val="-10"/>
        </w:rPr>
        <w:t> </w:t>
      </w:r>
      <w:r>
        <w:rPr/>
        <w:t>consumi</w:t>
      </w:r>
      <w:r>
        <w:rPr>
          <w:spacing w:val="-8"/>
        </w:rPr>
        <w:t> </w:t>
      </w:r>
      <w:r>
        <w:rPr/>
        <w:t>sono</w:t>
      </w:r>
      <w:r>
        <w:rPr>
          <w:spacing w:val="-8"/>
        </w:rPr>
        <w:t> </w:t>
      </w:r>
      <w:r>
        <w:rPr/>
        <w:t>rimasti</w:t>
      </w:r>
      <w:r>
        <w:rPr>
          <w:spacing w:val="-8"/>
        </w:rPr>
        <w:t> </w:t>
      </w:r>
      <w:r>
        <w:rPr/>
        <w:t>deboli,</w:t>
      </w:r>
      <w:r>
        <w:rPr>
          <w:spacing w:val="-7"/>
        </w:rPr>
        <w:t> </w:t>
      </w:r>
      <w:r>
        <w:rPr/>
        <w:t>oltre</w:t>
      </w:r>
      <w:r>
        <w:rPr>
          <w:spacing w:val="-7"/>
        </w:rPr>
        <w:t> </w:t>
      </w:r>
      <w:r>
        <w:rPr/>
        <w:t>le</w:t>
      </w:r>
      <w:r>
        <w:rPr>
          <w:spacing w:val="-10"/>
        </w:rPr>
        <w:t> </w:t>
      </w:r>
      <w:r>
        <w:rPr/>
        <w:t>attese. Nel</w:t>
      </w:r>
      <w:r>
        <w:rPr>
          <w:spacing w:val="-13"/>
        </w:rPr>
        <w:t> </w:t>
      </w:r>
      <w:r>
        <w:rPr/>
        <w:t>primo</w:t>
      </w:r>
      <w:r>
        <w:rPr>
          <w:spacing w:val="-12"/>
        </w:rPr>
        <w:t> </w:t>
      </w:r>
      <w:r>
        <w:rPr/>
        <w:t>trimestre</w:t>
      </w:r>
      <w:r>
        <w:rPr>
          <w:spacing w:val="-12"/>
        </w:rPr>
        <w:t> </w:t>
      </w:r>
      <w:r>
        <w:rPr/>
        <w:t>2019,</w:t>
      </w:r>
      <w:r>
        <w:rPr>
          <w:spacing w:val="-11"/>
        </w:rPr>
        <w:t> </w:t>
      </w:r>
      <w:r>
        <w:rPr/>
        <w:t>a</w:t>
      </w:r>
      <w:r>
        <w:rPr>
          <w:spacing w:val="-14"/>
        </w:rPr>
        <w:t> </w:t>
      </w:r>
      <w:r>
        <w:rPr/>
        <w:t>fronte</w:t>
      </w:r>
      <w:r>
        <w:rPr>
          <w:spacing w:val="-12"/>
        </w:rPr>
        <w:t> </w:t>
      </w:r>
      <w:r>
        <w:rPr/>
        <w:t>di</w:t>
      </w:r>
      <w:r>
        <w:rPr>
          <w:spacing w:val="-16"/>
        </w:rPr>
        <w:t> </w:t>
      </w:r>
      <w:r>
        <w:rPr/>
        <w:t>una</w:t>
      </w:r>
      <w:r>
        <w:rPr>
          <w:spacing w:val="-14"/>
        </w:rPr>
        <w:t> </w:t>
      </w:r>
      <w:r>
        <w:rPr/>
        <w:t>crescita</w:t>
      </w:r>
      <w:r>
        <w:rPr>
          <w:spacing w:val="-12"/>
        </w:rPr>
        <w:t> </w:t>
      </w:r>
      <w:r>
        <w:rPr/>
        <w:t>del</w:t>
      </w:r>
      <w:r>
        <w:rPr>
          <w:spacing w:val="-14"/>
        </w:rPr>
        <w:t> </w:t>
      </w:r>
      <w:r>
        <w:rPr/>
        <w:t>reddito</w:t>
      </w:r>
      <w:r>
        <w:rPr>
          <w:spacing w:val="-13"/>
        </w:rPr>
        <w:t> </w:t>
      </w:r>
      <w:r>
        <w:rPr/>
        <w:t>disponibile</w:t>
      </w:r>
      <w:r>
        <w:rPr>
          <w:spacing w:val="-12"/>
        </w:rPr>
        <w:t> </w:t>
      </w:r>
      <w:r>
        <w:rPr/>
        <w:t>reale</w:t>
      </w:r>
      <w:r>
        <w:rPr>
          <w:spacing w:val="-12"/>
        </w:rPr>
        <w:t> </w:t>
      </w:r>
      <w:r>
        <w:rPr/>
        <w:t>dello 0,9 per cento t/t, i consumi sono risultati solo lievemente positivi e la propensione al risparmio è aumentata all’8,4 per cento. Nei mesi primaverili la crescita dei consumi è risultata piatta. Sulle decisioni di spesa delle famiglie pesa anche la maggiore</w:t>
      </w:r>
      <w:r>
        <w:rPr>
          <w:spacing w:val="-13"/>
        </w:rPr>
        <w:t> </w:t>
      </w:r>
      <w:r>
        <w:rPr/>
        <w:t>incertezza</w:t>
      </w:r>
      <w:r>
        <w:rPr>
          <w:spacing w:val="-15"/>
        </w:rPr>
        <w:t> </w:t>
      </w:r>
      <w:r>
        <w:rPr/>
        <w:t>sulle</w:t>
      </w:r>
      <w:r>
        <w:rPr>
          <w:spacing w:val="-13"/>
        </w:rPr>
        <w:t> </w:t>
      </w:r>
      <w:r>
        <w:rPr/>
        <w:t>prospettive</w:t>
      </w:r>
      <w:r>
        <w:rPr>
          <w:spacing w:val="-13"/>
        </w:rPr>
        <w:t> </w:t>
      </w:r>
      <w:r>
        <w:rPr/>
        <w:t>economiche</w:t>
      </w:r>
      <w:r>
        <w:rPr>
          <w:spacing w:val="-13"/>
        </w:rPr>
        <w:t> </w:t>
      </w:r>
      <w:r>
        <w:rPr/>
        <w:t>segnalata</w:t>
      </w:r>
      <w:r>
        <w:rPr>
          <w:spacing w:val="-13"/>
        </w:rPr>
        <w:t> </w:t>
      </w:r>
      <w:r>
        <w:rPr/>
        <w:t>dalle</w:t>
      </w:r>
      <w:r>
        <w:rPr>
          <w:spacing w:val="-13"/>
        </w:rPr>
        <w:t> </w:t>
      </w:r>
      <w:r>
        <w:rPr/>
        <w:t>indagini</w:t>
      </w:r>
      <w:r>
        <w:rPr>
          <w:spacing w:val="-13"/>
        </w:rPr>
        <w:t> </w:t>
      </w:r>
      <w:r>
        <w:rPr/>
        <w:t>sul</w:t>
      </w:r>
      <w:r>
        <w:rPr>
          <w:spacing w:val="-12"/>
        </w:rPr>
        <w:t> </w:t>
      </w:r>
      <w:r>
        <w:rPr/>
        <w:t>clima di fiducia. Riguardo le tipologie di consumo, la spesa per beni è risultata debole o in calo nel primo semestre rispetto alla seconda metà dell’anno precedente; i servizi, che rappresentano più della metà dei consumi, hanno mostrato un ritmo di crescita moderato. Nella prima metà dell’anno anche i consumi in Italia dei residenti all’estero hanno registrato un</w:t>
      </w:r>
      <w:r>
        <w:rPr>
          <w:spacing w:val="-6"/>
        </w:rPr>
        <w:t> </w:t>
      </w:r>
      <w:r>
        <w:rPr/>
        <w:t>rallentamento.</w:t>
      </w:r>
    </w:p>
    <w:p>
      <w:pPr>
        <w:pStyle w:val="BodyText"/>
        <w:spacing w:line="252" w:lineRule="auto" w:before="2"/>
        <w:ind w:left="278" w:right="2260" w:firstLine="453"/>
        <w:jc w:val="both"/>
      </w:pPr>
      <w:r>
        <w:rPr/>
        <w:t>Con</w:t>
      </w:r>
      <w:r>
        <w:rPr>
          <w:spacing w:val="-6"/>
        </w:rPr>
        <w:t> </w:t>
      </w:r>
      <w:r>
        <w:rPr/>
        <w:t>riferimento</w:t>
      </w:r>
      <w:r>
        <w:rPr>
          <w:spacing w:val="-5"/>
        </w:rPr>
        <w:t> </w:t>
      </w:r>
      <w:r>
        <w:rPr/>
        <w:t>all’accumulazione</w:t>
      </w:r>
      <w:r>
        <w:rPr>
          <w:spacing w:val="-6"/>
        </w:rPr>
        <w:t> </w:t>
      </w:r>
      <w:r>
        <w:rPr/>
        <w:t>di</w:t>
      </w:r>
      <w:r>
        <w:rPr>
          <w:spacing w:val="-5"/>
        </w:rPr>
        <w:t> </w:t>
      </w:r>
      <w:r>
        <w:rPr/>
        <w:t>capitale,</w:t>
      </w:r>
      <w:r>
        <w:rPr>
          <w:spacing w:val="-4"/>
        </w:rPr>
        <w:t> </w:t>
      </w:r>
      <w:r>
        <w:rPr/>
        <w:t>dopo</w:t>
      </w:r>
      <w:r>
        <w:rPr>
          <w:spacing w:val="-6"/>
        </w:rPr>
        <w:t> </w:t>
      </w:r>
      <w:r>
        <w:rPr/>
        <w:t>il</w:t>
      </w:r>
      <w:r>
        <w:rPr>
          <w:spacing w:val="-5"/>
        </w:rPr>
        <w:t> </w:t>
      </w:r>
      <w:r>
        <w:rPr/>
        <w:t>calo</w:t>
      </w:r>
      <w:r>
        <w:rPr>
          <w:spacing w:val="-6"/>
        </w:rPr>
        <w:t> </w:t>
      </w:r>
      <w:r>
        <w:rPr/>
        <w:t>del</w:t>
      </w:r>
      <w:r>
        <w:rPr>
          <w:spacing w:val="-4"/>
        </w:rPr>
        <w:t> </w:t>
      </w:r>
      <w:r>
        <w:rPr/>
        <w:t>1T</w:t>
      </w:r>
      <w:r>
        <w:rPr>
          <w:spacing w:val="-8"/>
        </w:rPr>
        <w:t> </w:t>
      </w:r>
      <w:r>
        <w:rPr/>
        <w:t>del</w:t>
      </w:r>
      <w:r>
        <w:rPr>
          <w:spacing w:val="-5"/>
        </w:rPr>
        <w:t> </w:t>
      </w:r>
      <w:r>
        <w:rPr/>
        <w:t>2019,</w:t>
      </w:r>
      <w:r>
        <w:rPr>
          <w:spacing w:val="-3"/>
        </w:rPr>
        <w:t> </w:t>
      </w:r>
      <w:r>
        <w:rPr/>
        <w:t>gli investimenti hanno mostrato una sensibile ripresa nei mesi primaverili, in particolare, quelli in impianti e in macchinari che hanno più che compensato la contrazione d’inizio anno. Nonostante il rimbalzo del 2T del 2019, gli investimenti nel settore manifatturiero restano deboli come segnalato anche dall’ultima indagine della Banca d’Italia secondo la quale le imprese esprimono giudizi ancora negativi sulla situazione economica corrente. Secondo le imprese, le vendite risentono</w:t>
      </w:r>
      <w:r>
        <w:rPr>
          <w:spacing w:val="-14"/>
        </w:rPr>
        <w:t> </w:t>
      </w:r>
      <w:r>
        <w:rPr/>
        <w:t>in</w:t>
      </w:r>
      <w:r>
        <w:rPr>
          <w:spacing w:val="-13"/>
        </w:rPr>
        <w:t> </w:t>
      </w:r>
      <w:r>
        <w:rPr/>
        <w:t>particolare</w:t>
      </w:r>
      <w:r>
        <w:rPr>
          <w:spacing w:val="-11"/>
        </w:rPr>
        <w:t> </w:t>
      </w:r>
      <w:r>
        <w:rPr/>
        <w:t>del</w:t>
      </w:r>
      <w:r>
        <w:rPr>
          <w:spacing w:val="-13"/>
        </w:rPr>
        <w:t> </w:t>
      </w:r>
      <w:r>
        <w:rPr/>
        <w:t>deterioramento</w:t>
      </w:r>
      <w:r>
        <w:rPr>
          <w:spacing w:val="-13"/>
        </w:rPr>
        <w:t> </w:t>
      </w:r>
      <w:r>
        <w:rPr/>
        <w:t>delle</w:t>
      </w:r>
      <w:r>
        <w:rPr>
          <w:spacing w:val="-13"/>
        </w:rPr>
        <w:t> </w:t>
      </w:r>
      <w:r>
        <w:rPr/>
        <w:t>aspettative</w:t>
      </w:r>
      <w:r>
        <w:rPr>
          <w:spacing w:val="-13"/>
        </w:rPr>
        <w:t> </w:t>
      </w:r>
      <w:r>
        <w:rPr/>
        <w:t>sulla</w:t>
      </w:r>
      <w:r>
        <w:rPr>
          <w:spacing w:val="-13"/>
        </w:rPr>
        <w:t> </w:t>
      </w:r>
      <w:r>
        <w:rPr/>
        <w:t>domanda</w:t>
      </w:r>
      <w:r>
        <w:rPr>
          <w:spacing w:val="-13"/>
        </w:rPr>
        <w:t> </w:t>
      </w:r>
      <w:r>
        <w:rPr/>
        <w:t>estera. Su quest’ultima soprattutto a livello europeo sta incidendo il rallentamento dell’industria tedesca, specialmente nella filiera dell’auto. Sugli investimenti influisce negativamente anche la riduzione dei profitti: sulla base dei dati diffusi dall’Istat, nel primo trimestre del 2019 la quota dei profitti delle imprese (definita dal rapporto tra risultato lordo di gestione e valore aggiunto) è diminuita in confronto al periodo precedente risentendo dell’aumento del costo del lavoro</w:t>
      </w:r>
      <w:r>
        <w:rPr>
          <w:vertAlign w:val="superscript"/>
        </w:rPr>
        <w:t>6</w:t>
      </w:r>
      <w:r>
        <w:rPr>
          <w:vertAlign w:val="baseline"/>
        </w:rPr>
        <w:t>. Anche</w:t>
      </w:r>
      <w:r>
        <w:rPr>
          <w:spacing w:val="-4"/>
          <w:vertAlign w:val="baseline"/>
        </w:rPr>
        <w:t> </w:t>
      </w:r>
      <w:r>
        <w:rPr>
          <w:vertAlign w:val="baseline"/>
        </w:rPr>
        <w:t>la</w:t>
      </w:r>
      <w:r>
        <w:rPr>
          <w:spacing w:val="-5"/>
          <w:vertAlign w:val="baseline"/>
        </w:rPr>
        <w:t> </w:t>
      </w:r>
      <w:r>
        <w:rPr>
          <w:vertAlign w:val="baseline"/>
        </w:rPr>
        <w:t>capacità</w:t>
      </w:r>
      <w:r>
        <w:rPr>
          <w:spacing w:val="-5"/>
          <w:vertAlign w:val="baseline"/>
        </w:rPr>
        <w:t> </w:t>
      </w:r>
      <w:r>
        <w:rPr>
          <w:vertAlign w:val="baseline"/>
        </w:rPr>
        <w:t>di</w:t>
      </w:r>
      <w:r>
        <w:rPr>
          <w:spacing w:val="-5"/>
          <w:vertAlign w:val="baseline"/>
        </w:rPr>
        <w:t> </w:t>
      </w:r>
      <w:r>
        <w:rPr>
          <w:vertAlign w:val="baseline"/>
        </w:rPr>
        <w:t>autofinanziamento</w:t>
      </w:r>
      <w:r>
        <w:rPr>
          <w:spacing w:val="-4"/>
          <w:vertAlign w:val="baseline"/>
        </w:rPr>
        <w:t> </w:t>
      </w:r>
      <w:r>
        <w:rPr>
          <w:vertAlign w:val="baseline"/>
        </w:rPr>
        <w:t>(definita</w:t>
      </w:r>
      <w:r>
        <w:rPr>
          <w:spacing w:val="-3"/>
          <w:vertAlign w:val="baseline"/>
        </w:rPr>
        <w:t> </w:t>
      </w:r>
      <w:r>
        <w:rPr>
          <w:vertAlign w:val="baseline"/>
        </w:rPr>
        <w:t>dal</w:t>
      </w:r>
      <w:r>
        <w:rPr>
          <w:spacing w:val="-4"/>
          <w:vertAlign w:val="baseline"/>
        </w:rPr>
        <w:t> </w:t>
      </w:r>
      <w:r>
        <w:rPr>
          <w:vertAlign w:val="baseline"/>
        </w:rPr>
        <w:t>rapporto</w:t>
      </w:r>
      <w:r>
        <w:rPr>
          <w:spacing w:val="-6"/>
          <w:vertAlign w:val="baseline"/>
        </w:rPr>
        <w:t> </w:t>
      </w:r>
      <w:r>
        <w:rPr>
          <w:vertAlign w:val="baseline"/>
        </w:rPr>
        <w:t>tra</w:t>
      </w:r>
      <w:r>
        <w:rPr>
          <w:spacing w:val="-3"/>
          <w:vertAlign w:val="baseline"/>
        </w:rPr>
        <w:t> </w:t>
      </w:r>
      <w:r>
        <w:rPr>
          <w:vertAlign w:val="baseline"/>
        </w:rPr>
        <w:t>risparmio</w:t>
      </w:r>
      <w:r>
        <w:rPr>
          <w:spacing w:val="-6"/>
          <w:vertAlign w:val="baseline"/>
        </w:rPr>
        <w:t> </w:t>
      </w:r>
      <w:r>
        <w:rPr>
          <w:vertAlign w:val="baseline"/>
        </w:rPr>
        <w:t>lordo</w:t>
      </w:r>
      <w:r>
        <w:rPr>
          <w:spacing w:val="-5"/>
          <w:vertAlign w:val="baseline"/>
        </w:rPr>
        <w:t> </w:t>
      </w:r>
      <w:r>
        <w:rPr>
          <w:vertAlign w:val="baseline"/>
        </w:rPr>
        <w:t>e valore aggiunto) si è</w:t>
      </w:r>
      <w:r>
        <w:rPr>
          <w:spacing w:val="-1"/>
          <w:vertAlign w:val="baseline"/>
        </w:rPr>
        <w:t> </w:t>
      </w:r>
      <w:r>
        <w:rPr>
          <w:vertAlign w:val="baseline"/>
        </w:rPr>
        <w:t>ridotta.</w:t>
      </w:r>
    </w:p>
    <w:p>
      <w:pPr>
        <w:pStyle w:val="BodyText"/>
        <w:spacing w:line="252" w:lineRule="auto"/>
        <w:ind w:left="278" w:right="2264" w:firstLine="453"/>
        <w:jc w:val="both"/>
      </w:pPr>
      <w:r>
        <w:rPr/>
        <w:t>Nonostante l’avanzo finanziario in rapporto al valore aggiunto si sia ridotto, il debito complessivo delle imprese in percentuale del PIL ha registrato un ulteriore calo, collocandosi al 68,7 per cento nel primo trimestre</w:t>
      </w:r>
      <w:r>
        <w:rPr>
          <w:vertAlign w:val="superscript"/>
        </w:rPr>
        <w:t>7</w:t>
      </w:r>
      <w:r>
        <w:rPr>
          <w:vertAlign w:val="baseline"/>
        </w:rPr>
        <w:t>. Le condizioni di accesso al credito sono risultate meno favorevoli e i dati sui nuovi prestiti alle imprese riferiti</w:t>
      </w:r>
      <w:r>
        <w:rPr>
          <w:spacing w:val="-6"/>
          <w:vertAlign w:val="baseline"/>
        </w:rPr>
        <w:t> </w:t>
      </w:r>
      <w:r>
        <w:rPr>
          <w:vertAlign w:val="baseline"/>
        </w:rPr>
        <w:t>a</w:t>
      </w:r>
      <w:r>
        <w:rPr>
          <w:spacing w:val="-6"/>
          <w:vertAlign w:val="baseline"/>
        </w:rPr>
        <w:t> </w:t>
      </w:r>
      <w:r>
        <w:rPr>
          <w:vertAlign w:val="baseline"/>
        </w:rPr>
        <w:t>luglio</w:t>
      </w:r>
      <w:r>
        <w:rPr>
          <w:spacing w:val="-6"/>
          <w:vertAlign w:val="baseline"/>
        </w:rPr>
        <w:t> </w:t>
      </w:r>
      <w:r>
        <w:rPr>
          <w:vertAlign w:val="baseline"/>
        </w:rPr>
        <w:t>hanno</w:t>
      </w:r>
      <w:r>
        <w:rPr>
          <w:spacing w:val="-6"/>
          <w:vertAlign w:val="baseline"/>
        </w:rPr>
        <w:t> </w:t>
      </w:r>
      <w:r>
        <w:rPr>
          <w:vertAlign w:val="baseline"/>
        </w:rPr>
        <w:t>mostrato</w:t>
      </w:r>
      <w:r>
        <w:rPr>
          <w:spacing w:val="-5"/>
          <w:vertAlign w:val="baseline"/>
        </w:rPr>
        <w:t> </w:t>
      </w:r>
      <w:r>
        <w:rPr>
          <w:vertAlign w:val="baseline"/>
        </w:rPr>
        <w:t>un</w:t>
      </w:r>
      <w:r>
        <w:rPr>
          <w:spacing w:val="-6"/>
          <w:vertAlign w:val="baseline"/>
        </w:rPr>
        <w:t> </w:t>
      </w:r>
      <w:r>
        <w:rPr>
          <w:vertAlign w:val="baseline"/>
        </w:rPr>
        <w:t>ulteriore</w:t>
      </w:r>
      <w:r>
        <w:rPr>
          <w:spacing w:val="-6"/>
          <w:vertAlign w:val="baseline"/>
        </w:rPr>
        <w:t> </w:t>
      </w:r>
      <w:r>
        <w:rPr>
          <w:vertAlign w:val="baseline"/>
        </w:rPr>
        <w:t>calo</w:t>
      </w:r>
      <w:r>
        <w:rPr>
          <w:spacing w:val="-6"/>
          <w:vertAlign w:val="baseline"/>
        </w:rPr>
        <w:t> </w:t>
      </w:r>
      <w:r>
        <w:rPr>
          <w:vertAlign w:val="baseline"/>
        </w:rPr>
        <w:t>rispetto</w:t>
      </w:r>
      <w:r>
        <w:rPr>
          <w:spacing w:val="-5"/>
          <w:vertAlign w:val="baseline"/>
        </w:rPr>
        <w:t> </w:t>
      </w:r>
      <w:r>
        <w:rPr>
          <w:vertAlign w:val="baseline"/>
        </w:rPr>
        <w:t>allo</w:t>
      </w:r>
      <w:r>
        <w:rPr>
          <w:spacing w:val="-6"/>
          <w:vertAlign w:val="baseline"/>
        </w:rPr>
        <w:t> </w:t>
      </w:r>
      <w:r>
        <w:rPr>
          <w:vertAlign w:val="baseline"/>
        </w:rPr>
        <w:t>stesso</w:t>
      </w:r>
      <w:r>
        <w:rPr>
          <w:spacing w:val="-6"/>
          <w:vertAlign w:val="baseline"/>
        </w:rPr>
        <w:t> </w:t>
      </w:r>
      <w:r>
        <w:rPr>
          <w:vertAlign w:val="baseline"/>
        </w:rPr>
        <w:t>mese</w:t>
      </w:r>
      <w:r>
        <w:rPr>
          <w:spacing w:val="-5"/>
          <w:vertAlign w:val="baseline"/>
        </w:rPr>
        <w:t> </w:t>
      </w:r>
      <w:r>
        <w:rPr>
          <w:vertAlign w:val="baseline"/>
        </w:rPr>
        <w:t>dell’anno precedente.</w:t>
      </w:r>
    </w:p>
    <w:p>
      <w:pPr>
        <w:pStyle w:val="BodyText"/>
        <w:rPr>
          <w:sz w:val="20"/>
        </w:rPr>
      </w:pPr>
    </w:p>
    <w:p>
      <w:pPr>
        <w:pStyle w:val="BodyText"/>
        <w:rPr>
          <w:sz w:val="20"/>
        </w:rPr>
      </w:pPr>
    </w:p>
    <w:p>
      <w:pPr>
        <w:pStyle w:val="BodyText"/>
        <w:rPr>
          <w:sz w:val="20"/>
        </w:rPr>
      </w:pPr>
      <w:r>
        <w:rPr/>
        <w:pict>
          <v:group style="position:absolute;margin-left:93.599998pt;margin-top:13.605713pt;width:21.4pt;height:2.15pt;mso-position-horizontal-relative:page;mso-position-vertical-relative:paragraph;z-index:-251604992;mso-wrap-distance-left:0;mso-wrap-distance-right:0" coordorigin="1872,272" coordsize="428,43">
            <v:line style="position:absolute" from="1872,293" to="2299,293" stroked="true" strokeweight="2.050pt" strokecolor="#aaaaaa">
              <v:stroke dashstyle="solid"/>
            </v:line>
            <v:rect style="position:absolute;left:1872;top:274;width:5;height:5" filled="true" fillcolor="#9f9f9f" stroked="false">
              <v:fill type="solid"/>
            </v:rect>
            <v:rect style="position:absolute;left:1872;top:274;width:5;height:5" filled="true" fillcolor="#9f9f9f" stroked="false">
              <v:fill type="solid"/>
            </v:rect>
            <v:line style="position:absolute" from="1877,277" to="2295,277" stroked="true" strokeweight=".23999pt" strokecolor="#9f9f9f">
              <v:stroke dashstyle="solid"/>
            </v:line>
            <v:rect style="position:absolute;left:2294;top:274;width:5;height:5" filled="true" fillcolor="#e2e2e2" stroked="false">
              <v:fill type="solid"/>
            </v:rect>
            <v:rect style="position:absolute;left:2294;top:274;width:5;height:5" filled="true" fillcolor="#9f9f9f" stroked="false">
              <v:fill type="solid"/>
            </v:rect>
            <v:rect style="position:absolute;left:1872;top:279;width:5;height:32" filled="true" fillcolor="#9f9f9f" stroked="false">
              <v:fill type="solid"/>
            </v:rect>
            <v:rect style="position:absolute;left:2294;top:279;width:5;height:32" filled="true" fillcolor="#e2e2e2" stroked="false">
              <v:fill type="solid"/>
            </v:rect>
            <v:rect style="position:absolute;left:1872;top:310;width:5;height:5" filled="true" fillcolor="#9f9f9f" stroked="false">
              <v:fill type="solid"/>
            </v:rect>
            <v:rect style="position:absolute;left:1872;top:310;width:5;height:5" filled="true" fillcolor="#e2e2e2" stroked="false">
              <v:fill type="solid"/>
            </v:rect>
            <v:line style="position:absolute" from="1877,313" to="2295,313" stroked="true" strokeweight=".23999pt" strokecolor="#e2e2e2">
              <v:stroke dashstyle="solid"/>
            </v:line>
            <v:rect style="position:absolute;left:2294;top:310;width:5;height:5" filled="true" fillcolor="#e2e2e2" stroked="false">
              <v:fill type="solid"/>
            </v:rect>
            <v:rect style="position:absolute;left:2294;top:310;width:5;height:5" filled="true" fillcolor="#e2e2e2" stroked="false">
              <v:fill type="solid"/>
            </v:rect>
            <w10:wrap type="topAndBottom"/>
          </v:group>
        </w:pict>
      </w:r>
    </w:p>
    <w:p>
      <w:pPr>
        <w:spacing w:before="18"/>
        <w:ind w:left="278" w:right="2187" w:firstLine="453"/>
        <w:jc w:val="left"/>
        <w:rPr>
          <w:sz w:val="16"/>
        </w:rPr>
      </w:pPr>
      <w:r>
        <w:rPr>
          <w:position w:val="6"/>
          <w:sz w:val="10"/>
        </w:rPr>
        <w:t>6 </w:t>
      </w:r>
      <w:r>
        <w:rPr>
          <w:sz w:val="16"/>
        </w:rPr>
        <w:t>ISTAT, Conto trimestrale delle amministrazioni pubbliche, reddito e risparmio delle famiglie e profitti delle società, giugno 2019.</w:t>
      </w:r>
    </w:p>
    <w:p>
      <w:pPr>
        <w:spacing w:line="186" w:lineRule="exact" w:before="0"/>
        <w:ind w:left="732" w:right="0" w:firstLine="0"/>
        <w:jc w:val="left"/>
        <w:rPr>
          <w:sz w:val="16"/>
        </w:rPr>
      </w:pPr>
      <w:r>
        <w:rPr>
          <w:position w:val="6"/>
          <w:sz w:val="10"/>
        </w:rPr>
        <w:t>7 </w:t>
      </w:r>
      <w:r>
        <w:rPr>
          <w:sz w:val="16"/>
        </w:rPr>
        <w:t>Banca d’Italia, Bollettino economico, luglio 2019.</w:t>
      </w:r>
    </w:p>
    <w:p>
      <w:pPr>
        <w:spacing w:after="0" w:line="186" w:lineRule="exact"/>
        <w:jc w:val="left"/>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1128" w:right="1414" w:firstLine="453"/>
        <w:jc w:val="both"/>
      </w:pPr>
      <w:r>
        <w:rPr/>
        <w:t>Gli</w:t>
      </w:r>
      <w:r>
        <w:rPr>
          <w:spacing w:val="-8"/>
        </w:rPr>
        <w:t> </w:t>
      </w:r>
      <w:r>
        <w:rPr/>
        <w:t>investimenti</w:t>
      </w:r>
      <w:r>
        <w:rPr>
          <w:spacing w:val="-6"/>
        </w:rPr>
        <w:t> </w:t>
      </w:r>
      <w:r>
        <w:rPr/>
        <w:t>in</w:t>
      </w:r>
      <w:r>
        <w:rPr>
          <w:spacing w:val="-7"/>
        </w:rPr>
        <w:t> </w:t>
      </w:r>
      <w:r>
        <w:rPr/>
        <w:t>costruzioni</w:t>
      </w:r>
      <w:r>
        <w:rPr>
          <w:spacing w:val="-8"/>
        </w:rPr>
        <w:t> </w:t>
      </w:r>
      <w:r>
        <w:rPr/>
        <w:t>hanno</w:t>
      </w:r>
      <w:r>
        <w:rPr>
          <w:spacing w:val="-8"/>
        </w:rPr>
        <w:t> </w:t>
      </w:r>
      <w:r>
        <w:rPr/>
        <w:t>registrato</w:t>
      </w:r>
      <w:r>
        <w:rPr>
          <w:spacing w:val="-7"/>
        </w:rPr>
        <w:t> </w:t>
      </w:r>
      <w:r>
        <w:rPr/>
        <w:t>un</w:t>
      </w:r>
      <w:r>
        <w:rPr>
          <w:spacing w:val="-8"/>
        </w:rPr>
        <w:t> </w:t>
      </w:r>
      <w:r>
        <w:rPr/>
        <w:t>notevole</w:t>
      </w:r>
      <w:r>
        <w:rPr>
          <w:spacing w:val="-7"/>
        </w:rPr>
        <w:t> </w:t>
      </w:r>
      <w:r>
        <w:rPr/>
        <w:t>rimbalzo</w:t>
      </w:r>
      <w:r>
        <w:rPr>
          <w:spacing w:val="-8"/>
        </w:rPr>
        <w:t> </w:t>
      </w:r>
      <w:r>
        <w:rPr/>
        <w:t>nel</w:t>
      </w:r>
      <w:r>
        <w:rPr>
          <w:spacing w:val="-8"/>
        </w:rPr>
        <w:t> </w:t>
      </w:r>
      <w:r>
        <w:rPr/>
        <w:t>primo trimestre</w:t>
      </w:r>
      <w:r>
        <w:rPr>
          <w:spacing w:val="-5"/>
        </w:rPr>
        <w:t> </w:t>
      </w:r>
      <w:r>
        <w:rPr/>
        <w:t>del</w:t>
      </w:r>
      <w:r>
        <w:rPr>
          <w:spacing w:val="-5"/>
        </w:rPr>
        <w:t> </w:t>
      </w:r>
      <w:r>
        <w:rPr/>
        <w:t>2019</w:t>
      </w:r>
      <w:r>
        <w:rPr>
          <w:spacing w:val="-6"/>
        </w:rPr>
        <w:t> </w:t>
      </w:r>
      <w:r>
        <w:rPr/>
        <w:t>e,</w:t>
      </w:r>
      <w:r>
        <w:rPr>
          <w:spacing w:val="-5"/>
        </w:rPr>
        <w:t> </w:t>
      </w:r>
      <w:r>
        <w:rPr/>
        <w:t>pur</w:t>
      </w:r>
      <w:r>
        <w:rPr>
          <w:spacing w:val="-4"/>
        </w:rPr>
        <w:t> </w:t>
      </w:r>
      <w:r>
        <w:rPr/>
        <w:t>con</w:t>
      </w:r>
      <w:r>
        <w:rPr>
          <w:spacing w:val="-6"/>
        </w:rPr>
        <w:t> </w:t>
      </w:r>
      <w:r>
        <w:rPr/>
        <w:t>una</w:t>
      </w:r>
      <w:r>
        <w:rPr>
          <w:spacing w:val="-6"/>
        </w:rPr>
        <w:t> </w:t>
      </w:r>
      <w:r>
        <w:rPr/>
        <w:t>decelerazione</w:t>
      </w:r>
      <w:r>
        <w:rPr>
          <w:spacing w:val="-8"/>
        </w:rPr>
        <w:t> </w:t>
      </w:r>
      <w:r>
        <w:rPr/>
        <w:t>nel</w:t>
      </w:r>
      <w:r>
        <w:rPr>
          <w:spacing w:val="-5"/>
        </w:rPr>
        <w:t> </w:t>
      </w:r>
      <w:r>
        <w:rPr/>
        <w:t>secondo</w:t>
      </w:r>
      <w:r>
        <w:rPr>
          <w:spacing w:val="-5"/>
        </w:rPr>
        <w:t> </w:t>
      </w:r>
      <w:r>
        <w:rPr/>
        <w:t>trimestre,</w:t>
      </w:r>
      <w:r>
        <w:rPr>
          <w:spacing w:val="-5"/>
        </w:rPr>
        <w:t> </w:t>
      </w:r>
      <w:r>
        <w:rPr/>
        <w:t>risultano</w:t>
      </w:r>
      <w:r>
        <w:rPr>
          <w:spacing w:val="-7"/>
        </w:rPr>
        <w:t> </w:t>
      </w:r>
      <w:r>
        <w:rPr/>
        <w:t>in crescita del 3,9 per cento nel primo semestre in confronto allo stesso periodo dell’anno scorso. Nel settore immobiliare, nello stesso periodo le compravendite continuano</w:t>
      </w:r>
      <w:r>
        <w:rPr>
          <w:spacing w:val="-14"/>
        </w:rPr>
        <w:t> </w:t>
      </w:r>
      <w:r>
        <w:rPr/>
        <w:t>a</w:t>
      </w:r>
      <w:r>
        <w:rPr>
          <w:spacing w:val="-13"/>
        </w:rPr>
        <w:t> </w:t>
      </w:r>
      <w:r>
        <w:rPr/>
        <w:t>crescere</w:t>
      </w:r>
      <w:r>
        <w:rPr>
          <w:spacing w:val="-15"/>
        </w:rPr>
        <w:t> </w:t>
      </w:r>
      <w:r>
        <w:rPr/>
        <w:t>moderatamente,</w:t>
      </w:r>
      <w:r>
        <w:rPr>
          <w:spacing w:val="-11"/>
        </w:rPr>
        <w:t> </w:t>
      </w:r>
      <w:r>
        <w:rPr/>
        <w:t>mentre</w:t>
      </w:r>
      <w:r>
        <w:rPr>
          <w:spacing w:val="-12"/>
        </w:rPr>
        <w:t> </w:t>
      </w:r>
      <w:r>
        <w:rPr/>
        <w:t>i</w:t>
      </w:r>
      <w:r>
        <w:rPr>
          <w:spacing w:val="-15"/>
        </w:rPr>
        <w:t> </w:t>
      </w:r>
      <w:r>
        <w:rPr/>
        <w:t>prezzi</w:t>
      </w:r>
      <w:r>
        <w:rPr>
          <w:spacing w:val="-14"/>
        </w:rPr>
        <w:t> </w:t>
      </w:r>
      <w:r>
        <w:rPr/>
        <w:t>salgono</w:t>
      </w:r>
      <w:r>
        <w:rPr>
          <w:spacing w:val="-14"/>
        </w:rPr>
        <w:t> </w:t>
      </w:r>
      <w:r>
        <w:rPr/>
        <w:t>lievemente</w:t>
      </w:r>
      <w:r>
        <w:rPr>
          <w:spacing w:val="-13"/>
        </w:rPr>
        <w:t> </w:t>
      </w:r>
      <w:r>
        <w:rPr/>
        <w:t>nel</w:t>
      </w:r>
      <w:r>
        <w:rPr>
          <w:spacing w:val="-15"/>
        </w:rPr>
        <w:t> </w:t>
      </w:r>
      <w:r>
        <w:rPr/>
        <w:t>caso delle</w:t>
      </w:r>
      <w:r>
        <w:rPr>
          <w:spacing w:val="-9"/>
        </w:rPr>
        <w:t> </w:t>
      </w:r>
      <w:r>
        <w:rPr/>
        <w:t>abitazioni</w:t>
      </w:r>
      <w:r>
        <w:rPr>
          <w:spacing w:val="-10"/>
        </w:rPr>
        <w:t> </w:t>
      </w:r>
      <w:r>
        <w:rPr/>
        <w:t>di</w:t>
      </w:r>
      <w:r>
        <w:rPr>
          <w:spacing w:val="-9"/>
        </w:rPr>
        <w:t> </w:t>
      </w:r>
      <w:r>
        <w:rPr/>
        <w:t>nuova</w:t>
      </w:r>
      <w:r>
        <w:rPr>
          <w:spacing w:val="-7"/>
        </w:rPr>
        <w:t> </w:t>
      </w:r>
      <w:r>
        <w:rPr/>
        <w:t>costruzione</w:t>
      </w:r>
      <w:r>
        <w:rPr>
          <w:spacing w:val="-10"/>
        </w:rPr>
        <w:t> </w:t>
      </w:r>
      <w:r>
        <w:rPr/>
        <w:t>(0,8</w:t>
      </w:r>
      <w:r>
        <w:rPr>
          <w:spacing w:val="-9"/>
        </w:rPr>
        <w:t> </w:t>
      </w:r>
      <w:r>
        <w:rPr/>
        <w:t>per</w:t>
      </w:r>
      <w:r>
        <w:rPr>
          <w:spacing w:val="-8"/>
        </w:rPr>
        <w:t> </w:t>
      </w:r>
      <w:r>
        <w:rPr/>
        <w:t>cento</w:t>
      </w:r>
      <w:r>
        <w:rPr>
          <w:spacing w:val="-10"/>
        </w:rPr>
        <w:t> </w:t>
      </w:r>
      <w:r>
        <w:rPr/>
        <w:t>tendenziale)</w:t>
      </w:r>
      <w:r>
        <w:rPr>
          <w:spacing w:val="-8"/>
        </w:rPr>
        <w:t> </w:t>
      </w:r>
      <w:r>
        <w:rPr/>
        <w:t>e</w:t>
      </w:r>
      <w:r>
        <w:rPr>
          <w:spacing w:val="-9"/>
        </w:rPr>
        <w:t> </w:t>
      </w:r>
      <w:r>
        <w:rPr/>
        <w:t>si</w:t>
      </w:r>
      <w:r>
        <w:rPr>
          <w:spacing w:val="-10"/>
        </w:rPr>
        <w:t> </w:t>
      </w:r>
      <w:r>
        <w:rPr/>
        <w:t>riducono</w:t>
      </w:r>
      <w:r>
        <w:rPr>
          <w:spacing w:val="-10"/>
        </w:rPr>
        <w:t> </w:t>
      </w:r>
      <w:r>
        <w:rPr/>
        <w:t>dello 0,9 per cento per quelle</w:t>
      </w:r>
      <w:r>
        <w:rPr>
          <w:spacing w:val="-6"/>
        </w:rPr>
        <w:t> </w:t>
      </w:r>
      <w:r>
        <w:rPr/>
        <w:t>esistenti.</w:t>
      </w:r>
      <w:r>
        <w:rPr>
          <w:vertAlign w:val="superscript"/>
        </w:rPr>
        <w:t>8</w:t>
      </w:r>
    </w:p>
    <w:p>
      <w:pPr>
        <w:pStyle w:val="BodyText"/>
        <w:spacing w:before="5"/>
        <w:rPr>
          <w:sz w:val="14"/>
        </w:rPr>
      </w:pPr>
    </w:p>
    <w:p>
      <w:pPr>
        <w:pStyle w:val="Heading6"/>
        <w:ind w:left="1608"/>
      </w:pPr>
      <w:r>
        <w:rPr/>
        <w:pict>
          <v:group style="position:absolute;margin-left:113.419998pt;margin-top:5.531572pt;width:411.1pt;height:495.2pt;mso-position-horizontal-relative:page;mso-position-vertical-relative:paragraph;z-index:-266293248" coordorigin="2268,111" coordsize="8222,9904">
            <v:shape style="position:absolute;left:2297;top:110;width:8193;height:9904" coordorigin="2297,111" coordsize="8193,9904" path="m10490,111l2748,111,2748,111,2297,111,2297,10015,2748,10015,2748,5994,10490,5994,10490,1966,10420,1966,2820,1966,2748,1966,2748,1671,10490,1671,10490,1371,2748,1371,10490,1371,10490,1131,10490,891,10490,651,10490,351,10490,111e" filled="true" fillcolor="#efefef" stroked="false">
              <v:path arrowok="t"/>
              <v:fill type="solid"/>
            </v:shape>
            <v:line style="position:absolute" from="2748,5598" to="10490,5598" stroked="true" strokeweight=".48001pt" strokecolor="#000000">
              <v:stroke dashstyle="solid"/>
            </v:line>
            <v:rect style="position:absolute;left:2748;top:5965;width:7742;height:29" filled="true" fillcolor="#086d44" stroked="false">
              <v:fill type="solid"/>
            </v:rect>
            <v:shape style="position:absolute;left:2748;top:5994;width:7742;height:4021" coordorigin="2748,5994" coordsize="7742,4021" path="m10490,8994l2748,8994,2748,9235,2748,9535,2748,9775,2748,10015,10490,10015,10490,9775,10490,9535,10490,9235,10490,8994m10490,5994l2748,5994,2748,6234,2748,6534,2748,6774,2748,7014,2748,7254,2748,7494,2748,7734,2748,8034,2748,8274,2748,8514,2748,8754,2748,8994,10490,8994,10490,8754,10490,8514,10490,8274,10490,8034,10490,7734,10490,7494,10490,7254,10490,7014,10490,6774,10490,6534,10490,6234,10490,5994e" filled="true" fillcolor="#efefef" stroked="false">
              <v:path arrowok="t"/>
              <v:fill type="solid"/>
            </v:shape>
            <v:line style="position:absolute" from="2283,111" to="2283,10015" stroked="true" strokeweight="1.44pt" strokecolor="#086d44">
              <v:stroke dashstyle="solid"/>
            </v:line>
            <v:rect style="position:absolute;left:3356;top:2055;width:6831;height:3064" filled="false" stroked="true" strokeweight=".75pt" strokecolor="#000000">
              <v:stroke dashstyle="solid"/>
            </v:rect>
            <v:shape style="position:absolute;left:3308;top:2055;width:6879;height:3064" coordorigin="3308,2055" coordsize="6879,3064" path="m3357,5119l3357,2055m3308,5119l3357,5119m3308,4507l3357,4507m3308,3893l3357,3893m3308,3281l3357,3281m3308,2669l3357,2669m3308,2055l3357,2055m3357,3893l10187,3893m3357,3893l3357,3942m3972,3893l3972,3942m4589,3893l4589,3942m5206,3893l5206,3942m5822,3893l5822,3942m6439,3893l6439,3942m7054,3893l7054,3942m7670,3893l7670,3942m8287,3893l8287,3942m8904,3893l8904,3942m9518,3893l9518,3942m10136,3893l10136,3942e" filled="false" stroked="true" strokeweight=".5pt" strokecolor="#000000">
              <v:path arrowok="t"/>
              <v:stroke dashstyle="solid"/>
            </v:shape>
            <v:shape style="position:absolute;left:3355;top:2388;width:6807;height:2230" coordorigin="3355,2388" coordsize="6807,2230" path="m3355,2388l3382,2429,3434,2472,3485,2409,3538,2635,3588,2844,3638,2846,3691,2925,3742,3079,3794,3211,3845,3372,3895,3477,3948,3588,3998,3710,4051,3744,4102,3869,4152,4039,4205,3979,4255,4137,4308,4212,4358,4185,4409,4128,4462,4123,4512,3981,4565,3986,4615,3996,4666,3893,4718,3761,4769,3737,4822,3638,4872,3650,4922,3365,4975,3309,5026,3307,5078,3348,5129,3283,5179,3259,5232,3297,5282,3300,5335,3326,5386,3245,5436,3362,5489,3578,5539,3715,5592,3792,5642,3890,5693,3732,5746,3938,5796,4070,5849,4008,5899,4123,5950,4279,6002,4245,6053,4305,6103,4154,6156,4224,6206,4212,6259,4224,6310,4337,6360,4351,6413,4409,6463,4392,6516,4449,6566,4404,6617,4493,6670,4617,6720,4533,6773,4497,6823,4519,6874,4428,6926,4433,6977,4469,7030,4279,7080,4368,7130,4358,7183,4298,7234,4272,7286,4214,7337,4178,7387,4231,7440,4260,7490,4164,7543,4161,7594,4125,7644,4085,7697,4022,7747,3991,7800,4001,7850,4029,7901,3857,7954,3969,8004,3991,8057,3833,8107,3909,8158,3941,8210,3823,8261,3871,8314,3926,8364,3876,8414,3883,8467,3792,8518,3890,8570,3861,8621,3789,8671,3890,8724,3876,8774,3878,8827,3866,8878,3905,8928,3849,8981,3897,9031,3974,9084,3955,9134,3847,9185,3876,9238,3665,9288,3756,9341,3765,9391,3636,9442,3758,9494,3833,9545,3770,9598,3763,9648,3684,9698,3722,9751,3775,9802,3744,9854,3981,9905,3912,9955,3965,10008,3965,10058,3924,10111,3974,10161,3948e" filled="false" stroked="true" strokeweight="2.25pt" strokecolor="#77923b">
              <v:path arrowok="t"/>
              <v:stroke dashstyle="solid"/>
            </v:shape>
            <v:shape style="position:absolute;left:3355;top:2921;width:6807;height:1160" coordorigin="3355,2922" coordsize="6807,1160" path="m3355,2922l3382,2952,3434,2997,3485,3036,3538,3110,3588,3168,3638,3185,3691,3230,3742,3269,3794,3290,3845,3345,3895,3384,3948,3417,3998,3451,4051,3463,4102,3453,4152,3453,4205,3439,4255,3463,4308,3422,4358,3410,4409,3391,4462,3408,4512,3372,4565,3372,4615,3350,4666,3312,4718,3314,4769,3309,4822,3281,4872,3290,4922,3288,4975,3276,5026,3271,5078,3247,5129,3254,5179,3278,5232,3317,5282,3321,5335,3343,5386,3365,5436,3422,5489,3470,5539,3506,5592,3564,5642,3626,5693,3677,5746,3734,5796,3792,5849,3816,5899,3847,5950,3893,6002,3907,6053,3936,6103,3957,6156,3974,6206,3981,6259,3993,6310,3993,6360,4015,6413,4015,6463,4027,6516,4039,6566,4027,6617,4049,6670,4081,6720,4051,6773,4049,6823,4041,6874,4027,6926,4025,6977,4015,7030,4003,7080,3996,7130,3996,7183,3986,7234,3979,7286,3967,7337,3960,7387,3967,7440,3960,7490,3941,7543,3929,7594,3917,7644,3890,7697,3871,7747,3864,7800,3849,7850,3833,7901,3794,7954,3806,8004,3794,8057,3768,8107,3758,8158,3753,8210,3715,8261,3713,8314,3713,8364,3696,8414,3689,8467,3681,8518,3669,8570,3662,8621,3629,8671,3624,8724,3605,8774,3605,8827,3590,8878,3578,8928,3564,8981,3561,9031,3569,9084,3554,9134,3545,9185,3554,9238,3552,9288,3554,9341,3552,9391,3542,9442,3552,9494,3554,9545,3552,9598,3559,9648,3566,9698,3554,9751,3566,9802,3573,9854,3578,9905,3576,9955,3581,10008,3581,10058,3583,10111,3602,10161,3588e" filled="false" stroked="true" strokeweight="2.25pt" strokecolor="#046939">
              <v:path arrowok="t"/>
              <v:stroke dashstyle="solid"/>
            </v:shape>
            <v:line style="position:absolute" from="7749,2335" to="8133,2335" stroked="true" strokeweight="2.25pt" strokecolor="#77923b">
              <v:stroke dashstyle="solid"/>
            </v:line>
            <v:line style="position:absolute" from="7749,2787" to="8133,2787" stroked="true" strokeweight="2.25pt" strokecolor="#046939">
              <v:stroke dashstyle="solid"/>
            </v:line>
            <w10:wrap type="none"/>
          </v:group>
        </w:pict>
      </w:r>
      <w:r>
        <w:rPr/>
        <w:pict>
          <v:shape style="position:absolute;margin-left:113.661957pt;margin-top:7.09971pt;width:15.65pt;height:39.550pt;mso-position-horizontal-relative:page;mso-position-vertical-relative:paragraph;z-index:251715584" type="#_x0000_t202" filled="false" stroked="false">
            <v:textbox inset="0,0,0,0" style="layout-flow:vertical;mso-layout-flow-alt:bottom-to-top">
              <w:txbxContent>
                <w:p>
                  <w:pPr>
                    <w:spacing w:before="20"/>
                    <w:ind w:left="20" w:right="0" w:firstLine="0"/>
                    <w:jc w:val="left"/>
                    <w:rPr>
                      <w:rFonts w:ascii="Franklin Gothic Heavy"/>
                      <w:b/>
                      <w:sz w:val="24"/>
                    </w:rPr>
                  </w:pPr>
                  <w:r>
                    <w:rPr>
                      <w:rFonts w:ascii="Franklin Gothic Heavy"/>
                      <w:b/>
                      <w:color w:val="006247"/>
                      <w:sz w:val="24"/>
                    </w:rPr>
                    <w:t>FOCUS</w:t>
                  </w:r>
                </w:p>
              </w:txbxContent>
            </v:textbox>
            <w10:wrap type="none"/>
          </v:shape>
        </w:pict>
      </w:r>
      <w:r>
        <w:rPr/>
        <w:t>Credito al settore privato: recenti andamenti in Italia</w:t>
      </w:r>
    </w:p>
    <w:p>
      <w:pPr>
        <w:spacing w:line="254" w:lineRule="auto" w:before="69"/>
        <w:ind w:left="1608" w:right="1418" w:firstLine="0"/>
        <w:jc w:val="both"/>
        <w:rPr>
          <w:rFonts w:ascii="Franklin Gothic Book" w:hAnsi="Franklin Gothic Book"/>
          <w:sz w:val="20"/>
        </w:rPr>
      </w:pPr>
      <w:r>
        <w:rPr>
          <w:rFonts w:ascii="Franklin Gothic Book" w:hAnsi="Franklin Gothic Book"/>
          <w:sz w:val="20"/>
        </w:rPr>
        <w:t>L’andamento</w:t>
      </w:r>
      <w:r>
        <w:rPr>
          <w:rFonts w:ascii="Franklin Gothic Book" w:hAnsi="Franklin Gothic Book"/>
          <w:spacing w:val="-5"/>
          <w:sz w:val="20"/>
        </w:rPr>
        <w:t> </w:t>
      </w:r>
      <w:r>
        <w:rPr>
          <w:rFonts w:ascii="Franklin Gothic Book" w:hAnsi="Franklin Gothic Book"/>
          <w:sz w:val="20"/>
        </w:rPr>
        <w:t>dei</w:t>
      </w:r>
      <w:r>
        <w:rPr>
          <w:rFonts w:ascii="Franklin Gothic Book" w:hAnsi="Franklin Gothic Book"/>
          <w:spacing w:val="-5"/>
          <w:sz w:val="20"/>
        </w:rPr>
        <w:t> </w:t>
      </w:r>
      <w:r>
        <w:rPr>
          <w:rFonts w:ascii="Franklin Gothic Book" w:hAnsi="Franklin Gothic Book"/>
          <w:sz w:val="20"/>
        </w:rPr>
        <w:t>prestiti</w:t>
      </w:r>
      <w:r>
        <w:rPr>
          <w:rFonts w:ascii="Franklin Gothic Book" w:hAnsi="Franklin Gothic Book"/>
          <w:spacing w:val="-5"/>
          <w:sz w:val="20"/>
        </w:rPr>
        <w:t> </w:t>
      </w:r>
      <w:r>
        <w:rPr>
          <w:rFonts w:ascii="Franklin Gothic Book" w:hAnsi="Franklin Gothic Book"/>
          <w:sz w:val="20"/>
        </w:rPr>
        <w:t>al</w:t>
      </w:r>
      <w:r>
        <w:rPr>
          <w:rFonts w:ascii="Franklin Gothic Book" w:hAnsi="Franklin Gothic Book"/>
          <w:spacing w:val="-5"/>
          <w:sz w:val="20"/>
        </w:rPr>
        <w:t> </w:t>
      </w:r>
      <w:r>
        <w:rPr>
          <w:rFonts w:ascii="Franklin Gothic Book" w:hAnsi="Franklin Gothic Book"/>
          <w:sz w:val="20"/>
        </w:rPr>
        <w:t>settore</w:t>
      </w:r>
      <w:r>
        <w:rPr>
          <w:rFonts w:ascii="Franklin Gothic Book" w:hAnsi="Franklin Gothic Book"/>
          <w:spacing w:val="-5"/>
          <w:sz w:val="20"/>
        </w:rPr>
        <w:t> </w:t>
      </w:r>
      <w:r>
        <w:rPr>
          <w:rFonts w:ascii="Franklin Gothic Book" w:hAnsi="Franklin Gothic Book"/>
          <w:sz w:val="20"/>
        </w:rPr>
        <w:t>privato</w:t>
      </w:r>
      <w:r>
        <w:rPr>
          <w:rFonts w:ascii="Franklin Gothic Book" w:hAnsi="Franklin Gothic Book"/>
          <w:spacing w:val="-5"/>
          <w:sz w:val="20"/>
        </w:rPr>
        <w:t> </w:t>
      </w:r>
      <w:r>
        <w:rPr>
          <w:rFonts w:ascii="Franklin Gothic Book" w:hAnsi="Franklin Gothic Book"/>
          <w:sz w:val="20"/>
        </w:rPr>
        <w:t>si</w:t>
      </w:r>
      <w:r>
        <w:rPr>
          <w:rFonts w:ascii="Franklin Gothic Book" w:hAnsi="Franklin Gothic Book"/>
          <w:spacing w:val="-5"/>
          <w:sz w:val="20"/>
        </w:rPr>
        <w:t> </w:t>
      </w:r>
      <w:r>
        <w:rPr>
          <w:rFonts w:ascii="Franklin Gothic Book" w:hAnsi="Franklin Gothic Book"/>
          <w:sz w:val="20"/>
        </w:rPr>
        <w:t>è</w:t>
      </w:r>
      <w:r>
        <w:rPr>
          <w:rFonts w:ascii="Franklin Gothic Book" w:hAnsi="Franklin Gothic Book"/>
          <w:spacing w:val="-6"/>
          <w:sz w:val="20"/>
        </w:rPr>
        <w:t> </w:t>
      </w:r>
      <w:r>
        <w:rPr>
          <w:rFonts w:ascii="Franklin Gothic Book" w:hAnsi="Franklin Gothic Book"/>
          <w:sz w:val="20"/>
        </w:rPr>
        <w:t>indebolito</w:t>
      </w:r>
      <w:r>
        <w:rPr>
          <w:rFonts w:ascii="Franklin Gothic Book" w:hAnsi="Franklin Gothic Book"/>
          <w:spacing w:val="-7"/>
          <w:sz w:val="20"/>
        </w:rPr>
        <w:t> </w:t>
      </w:r>
      <w:r>
        <w:rPr>
          <w:rFonts w:ascii="Franklin Gothic Book" w:hAnsi="Franklin Gothic Book"/>
          <w:sz w:val="20"/>
        </w:rPr>
        <w:t>nel</w:t>
      </w:r>
      <w:r>
        <w:rPr>
          <w:rFonts w:ascii="Franklin Gothic Book" w:hAnsi="Franklin Gothic Book"/>
          <w:spacing w:val="-5"/>
          <w:sz w:val="20"/>
        </w:rPr>
        <w:t> </w:t>
      </w:r>
      <w:r>
        <w:rPr>
          <w:rFonts w:ascii="Franklin Gothic Book" w:hAnsi="Franklin Gothic Book"/>
          <w:sz w:val="20"/>
        </w:rPr>
        <w:t>primo</w:t>
      </w:r>
      <w:r>
        <w:rPr>
          <w:rFonts w:ascii="Franklin Gothic Book" w:hAnsi="Franklin Gothic Book"/>
          <w:spacing w:val="-5"/>
          <w:sz w:val="20"/>
        </w:rPr>
        <w:t> </w:t>
      </w:r>
      <w:r>
        <w:rPr>
          <w:rFonts w:ascii="Franklin Gothic Book" w:hAnsi="Franklin Gothic Book"/>
          <w:sz w:val="20"/>
        </w:rPr>
        <w:t>semestre</w:t>
      </w:r>
      <w:r>
        <w:rPr>
          <w:rFonts w:ascii="Franklin Gothic Book" w:hAnsi="Franklin Gothic Book"/>
          <w:spacing w:val="-5"/>
          <w:sz w:val="20"/>
        </w:rPr>
        <w:t> </w:t>
      </w:r>
      <w:r>
        <w:rPr>
          <w:rFonts w:ascii="Franklin Gothic Book" w:hAnsi="Franklin Gothic Book"/>
          <w:sz w:val="20"/>
        </w:rPr>
        <w:t>del</w:t>
      </w:r>
      <w:r>
        <w:rPr>
          <w:rFonts w:ascii="Franklin Gothic Book" w:hAnsi="Franklin Gothic Book"/>
          <w:spacing w:val="-6"/>
          <w:sz w:val="20"/>
        </w:rPr>
        <w:t> </w:t>
      </w:r>
      <w:r>
        <w:rPr>
          <w:rFonts w:ascii="Franklin Gothic Book" w:hAnsi="Franklin Gothic Book"/>
          <w:sz w:val="20"/>
        </w:rPr>
        <w:t>2019.</w:t>
      </w:r>
      <w:r>
        <w:rPr>
          <w:rFonts w:ascii="Franklin Gothic Book" w:hAnsi="Franklin Gothic Book"/>
          <w:spacing w:val="-4"/>
          <w:sz w:val="20"/>
        </w:rPr>
        <w:t> </w:t>
      </w:r>
      <w:r>
        <w:rPr>
          <w:rFonts w:ascii="Franklin Gothic Book" w:hAnsi="Franklin Gothic Book"/>
          <w:sz w:val="20"/>
        </w:rPr>
        <w:t>I</w:t>
      </w:r>
      <w:r>
        <w:rPr>
          <w:rFonts w:ascii="Franklin Gothic Book" w:hAnsi="Franklin Gothic Book"/>
          <w:spacing w:val="-6"/>
          <w:sz w:val="20"/>
        </w:rPr>
        <w:t> </w:t>
      </w:r>
      <w:r>
        <w:rPr>
          <w:rFonts w:ascii="Franklin Gothic Book" w:hAnsi="Franklin Gothic Book"/>
          <w:sz w:val="20"/>
        </w:rPr>
        <w:t>dati più recenti di fonte Banca d’Italia indicano una variazione tendenziale del credito bancario alle famiglie positiva (2,5 per cento) mentre il credito alle società non finanziarie segna variazioni lievemente negative su base annua, da gennaio di quest’anno (Figura</w:t>
      </w:r>
      <w:r>
        <w:rPr>
          <w:rFonts w:ascii="Franklin Gothic Book" w:hAnsi="Franklin Gothic Book"/>
          <w:spacing w:val="-9"/>
          <w:sz w:val="20"/>
        </w:rPr>
        <w:t> </w:t>
      </w:r>
      <w:r>
        <w:rPr>
          <w:rFonts w:ascii="Franklin Gothic Book" w:hAnsi="Franklin Gothic Book"/>
          <w:sz w:val="20"/>
        </w:rPr>
        <w:t>R.1).</w:t>
      </w:r>
    </w:p>
    <w:p>
      <w:pPr>
        <w:pStyle w:val="BodyText"/>
        <w:spacing w:before="5"/>
        <w:rPr>
          <w:rFonts w:ascii="Franklin Gothic Book"/>
          <w:sz w:val="23"/>
        </w:rPr>
      </w:pPr>
      <w:r>
        <w:rPr/>
        <w:pict>
          <v:shape style="position:absolute;margin-left:137.419998pt;margin-top:14.53333pt;width:387.1pt;height:14.8pt;mso-position-horizontal-relative:page;mso-position-vertical-relative:paragraph;z-index:-251603968;mso-wrap-distance-left:0;mso-wrap-distance-right:0" type="#_x0000_t202" filled="true" fillcolor="#086d44" stroked="false">
            <v:textbox inset="0,0,0,0">
              <w:txbxContent>
                <w:p>
                  <w:pPr>
                    <w:spacing w:before="45"/>
                    <w:ind w:left="28" w:right="0" w:firstLine="0"/>
                    <w:jc w:val="left"/>
                    <w:rPr>
                      <w:rFonts w:ascii="Franklin Gothic Heavy"/>
                      <w:b/>
                      <w:sz w:val="17"/>
                    </w:rPr>
                  </w:pPr>
                  <w:r>
                    <w:rPr>
                      <w:rFonts w:ascii="Franklin Gothic Heavy"/>
                      <w:b/>
                      <w:color w:val="EFEFEF"/>
                      <w:sz w:val="17"/>
                    </w:rPr>
                    <w:t>FIGURA R.1: PRESTITI BANCARI - TASSI DI VARIAZIONE A 1 ANNO</w:t>
                  </w:r>
                </w:p>
              </w:txbxContent>
            </v:textbox>
            <v:fill type="solid"/>
            <w10:wrap type="topAndBottom"/>
          </v:shape>
        </w:pict>
      </w:r>
    </w:p>
    <w:p>
      <w:pPr>
        <w:spacing w:line="160" w:lineRule="exact" w:before="0"/>
        <w:ind w:left="1890" w:right="0" w:firstLine="0"/>
        <w:jc w:val="left"/>
        <w:rPr>
          <w:rFonts w:ascii="Franklin Gothic Book"/>
          <w:sz w:val="16"/>
        </w:rPr>
      </w:pPr>
      <w:r>
        <w:rPr>
          <w:rFonts w:ascii="Franklin Gothic Book"/>
          <w:sz w:val="16"/>
        </w:rPr>
        <w:t>15</w:t>
      </w:r>
    </w:p>
    <w:p>
      <w:pPr>
        <w:spacing w:before="98"/>
        <w:ind w:left="7035" w:right="0" w:firstLine="0"/>
        <w:jc w:val="left"/>
        <w:rPr>
          <w:rFonts w:ascii="Franklin Gothic Book"/>
          <w:sz w:val="16"/>
        </w:rPr>
      </w:pPr>
      <w:r>
        <w:rPr>
          <w:rFonts w:ascii="Franklin Gothic Book"/>
          <w:sz w:val="16"/>
        </w:rPr>
        <w:t>Prestiti alle</w:t>
      </w:r>
      <w:r>
        <w:rPr>
          <w:rFonts w:ascii="Franklin Gothic Book"/>
          <w:spacing w:val="-8"/>
          <w:sz w:val="16"/>
        </w:rPr>
        <w:t> </w:t>
      </w:r>
      <w:r>
        <w:rPr>
          <w:rFonts w:ascii="Franklin Gothic Book"/>
          <w:sz w:val="16"/>
        </w:rPr>
        <w:t>imprese</w:t>
      </w:r>
    </w:p>
    <w:p>
      <w:pPr>
        <w:tabs>
          <w:tab w:pos="7035" w:val="left" w:leader="none"/>
        </w:tabs>
        <w:spacing w:before="151"/>
        <w:ind w:left="1890" w:right="0" w:firstLine="0"/>
        <w:jc w:val="left"/>
        <w:rPr>
          <w:rFonts w:ascii="Franklin Gothic Book"/>
          <w:sz w:val="16"/>
        </w:rPr>
      </w:pPr>
      <w:r>
        <w:rPr>
          <w:rFonts w:ascii="Franklin Gothic Book"/>
          <w:position w:val="12"/>
          <w:sz w:val="16"/>
        </w:rPr>
        <w:t>10</w:t>
        <w:tab/>
      </w:r>
      <w:r>
        <w:rPr>
          <w:rFonts w:ascii="Franklin Gothic Book"/>
          <w:sz w:val="16"/>
        </w:rPr>
        <w:t>Prestiti alle</w:t>
      </w:r>
      <w:r>
        <w:rPr>
          <w:rFonts w:ascii="Franklin Gothic Book"/>
          <w:spacing w:val="-7"/>
          <w:sz w:val="16"/>
        </w:rPr>
        <w:t> </w:t>
      </w:r>
      <w:r>
        <w:rPr>
          <w:rFonts w:ascii="Franklin Gothic Book"/>
          <w:sz w:val="16"/>
        </w:rPr>
        <w:t>famiglie</w:t>
      </w:r>
    </w:p>
    <w:p>
      <w:pPr>
        <w:pStyle w:val="BodyText"/>
        <w:spacing w:before="7"/>
        <w:rPr>
          <w:rFonts w:ascii="Franklin Gothic Book"/>
          <w:sz w:val="18"/>
        </w:rPr>
      </w:pPr>
    </w:p>
    <w:p>
      <w:pPr>
        <w:spacing w:before="101"/>
        <w:ind w:left="1984" w:right="0" w:firstLine="0"/>
        <w:jc w:val="left"/>
        <w:rPr>
          <w:rFonts w:ascii="Franklin Gothic Book"/>
          <w:sz w:val="16"/>
        </w:rPr>
      </w:pPr>
      <w:r>
        <w:rPr/>
        <w:pict>
          <v:shape style="position:absolute;margin-left:141.441315pt;margin-top:7.118246pt;width:11.15pt;height:36.450pt;mso-position-horizontal-relative:page;mso-position-vertical-relative:paragraph;z-index:251716608" type="#_x0000_t202" filled="false" stroked="false">
            <v:textbox inset="0,0,0,0" style="layout-flow:vertical;mso-layout-flow-alt:bottom-to-top">
              <w:txbxContent>
                <w:p>
                  <w:pPr>
                    <w:spacing w:before="20"/>
                    <w:ind w:left="20" w:right="0" w:firstLine="0"/>
                    <w:jc w:val="left"/>
                    <w:rPr>
                      <w:rFonts w:ascii="Franklin Gothic Book"/>
                      <w:sz w:val="16"/>
                    </w:rPr>
                  </w:pPr>
                  <w:r>
                    <w:rPr>
                      <w:rFonts w:ascii="Franklin Gothic Book"/>
                      <w:sz w:val="16"/>
                    </w:rPr>
                    <w:t>var. % a/a</w:t>
                  </w:r>
                </w:p>
              </w:txbxContent>
            </v:textbox>
            <w10:wrap type="none"/>
          </v:shape>
        </w:pict>
      </w:r>
      <w:r>
        <w:rPr>
          <w:rFonts w:ascii="Franklin Gothic Book"/>
          <w:w w:val="100"/>
          <w:sz w:val="16"/>
        </w:rPr>
        <w:t>5</w:t>
      </w:r>
    </w:p>
    <w:p>
      <w:pPr>
        <w:pStyle w:val="BodyText"/>
        <w:spacing w:before="1"/>
        <w:rPr>
          <w:rFonts w:ascii="Franklin Gothic Book"/>
          <w:sz w:val="29"/>
        </w:rPr>
      </w:pPr>
    </w:p>
    <w:p>
      <w:pPr>
        <w:spacing w:before="101"/>
        <w:ind w:left="1984" w:right="0" w:firstLine="0"/>
        <w:jc w:val="left"/>
        <w:rPr>
          <w:rFonts w:ascii="Franklin Gothic Book"/>
          <w:sz w:val="16"/>
        </w:rPr>
      </w:pPr>
      <w:r>
        <w:rPr>
          <w:rFonts w:ascii="Franklin Gothic Book"/>
          <w:w w:val="100"/>
          <w:sz w:val="16"/>
        </w:rPr>
        <w:t>0</w:t>
      </w:r>
    </w:p>
    <w:p>
      <w:pPr>
        <w:pStyle w:val="BodyText"/>
        <w:spacing w:before="2"/>
        <w:rPr>
          <w:rFonts w:ascii="Franklin Gothic Book"/>
          <w:sz w:val="29"/>
        </w:rPr>
      </w:pPr>
    </w:p>
    <w:p>
      <w:pPr>
        <w:spacing w:before="101"/>
        <w:ind w:left="1943" w:right="0" w:firstLine="0"/>
        <w:jc w:val="left"/>
        <w:rPr>
          <w:rFonts w:ascii="Franklin Gothic Book"/>
          <w:sz w:val="16"/>
        </w:rPr>
      </w:pPr>
      <w:r>
        <w:rPr>
          <w:rFonts w:ascii="Franklin Gothic Book"/>
          <w:sz w:val="16"/>
        </w:rPr>
        <w:t>-5</w:t>
      </w:r>
    </w:p>
    <w:p>
      <w:pPr>
        <w:pStyle w:val="BodyText"/>
        <w:spacing w:before="1"/>
        <w:rPr>
          <w:rFonts w:ascii="Franklin Gothic Book"/>
          <w:sz w:val="29"/>
        </w:rPr>
      </w:pPr>
    </w:p>
    <w:p>
      <w:pPr>
        <w:spacing w:before="101"/>
        <w:ind w:left="1850" w:right="0" w:firstLine="0"/>
        <w:jc w:val="left"/>
        <w:rPr>
          <w:rFonts w:ascii="Franklin Gothic Book"/>
          <w:sz w:val="16"/>
        </w:rPr>
      </w:pPr>
      <w:r>
        <w:rPr>
          <w:rFonts w:ascii="Franklin Gothic Book"/>
          <w:sz w:val="16"/>
        </w:rPr>
        <w:t>-10</w:t>
      </w:r>
    </w:p>
    <w:p>
      <w:pPr>
        <w:spacing w:before="13"/>
        <w:ind w:left="2028" w:right="0" w:firstLine="0"/>
        <w:jc w:val="left"/>
        <w:rPr>
          <w:rFonts w:ascii="Franklin Gothic Book"/>
          <w:sz w:val="16"/>
        </w:rPr>
      </w:pPr>
      <w:r>
        <w:rPr>
          <w:rFonts w:ascii="Franklin Gothic Book"/>
          <w:sz w:val="16"/>
        </w:rPr>
        <w:t>lug-08 lug-09 lug-10 lug-11 lug-12 lug-13 lug-14 lug-15 lug-16 lug-17 lug-18 lug-19</w:t>
      </w:r>
    </w:p>
    <w:p>
      <w:pPr>
        <w:pStyle w:val="BodyText"/>
        <w:spacing w:before="10"/>
        <w:rPr>
          <w:rFonts w:ascii="Franklin Gothic Book"/>
          <w:sz w:val="8"/>
        </w:rPr>
      </w:pPr>
    </w:p>
    <w:p>
      <w:pPr>
        <w:spacing w:line="181" w:lineRule="exact" w:before="100"/>
        <w:ind w:left="1608" w:right="0" w:firstLine="0"/>
        <w:jc w:val="left"/>
        <w:rPr>
          <w:rFonts w:ascii="Franklin Gothic Book"/>
          <w:sz w:val="16"/>
        </w:rPr>
      </w:pPr>
      <w:r>
        <w:rPr>
          <w:rFonts w:ascii="Franklin Gothic Book"/>
          <w:sz w:val="16"/>
        </w:rPr>
        <w:t>Nota: Dati corretti per l'effetto delle cartolarizzazioni.</w:t>
      </w:r>
    </w:p>
    <w:p>
      <w:pPr>
        <w:spacing w:line="181" w:lineRule="exact" w:before="0"/>
        <w:ind w:left="1608" w:right="0" w:firstLine="0"/>
        <w:jc w:val="left"/>
        <w:rPr>
          <w:rFonts w:ascii="Franklin Gothic Book" w:hAnsi="Franklin Gothic Book"/>
          <w:sz w:val="16"/>
        </w:rPr>
      </w:pPr>
      <w:r>
        <w:rPr>
          <w:rFonts w:ascii="Franklin Gothic Book" w:hAnsi="Franklin Gothic Book"/>
          <w:sz w:val="16"/>
        </w:rPr>
        <w:t>Fonte: Banca d’Italia.</w:t>
      </w:r>
    </w:p>
    <w:p>
      <w:pPr>
        <w:pStyle w:val="BodyText"/>
        <w:spacing w:before="4"/>
        <w:rPr>
          <w:rFonts w:ascii="Franklin Gothic Book"/>
          <w:sz w:val="21"/>
        </w:rPr>
      </w:pPr>
    </w:p>
    <w:p>
      <w:pPr>
        <w:spacing w:line="254" w:lineRule="auto" w:before="100"/>
        <w:ind w:left="1608" w:right="1421" w:firstLine="0"/>
        <w:jc w:val="both"/>
        <w:rPr>
          <w:rFonts w:ascii="Franklin Gothic Book" w:hAnsi="Franklin Gothic Book"/>
          <w:sz w:val="20"/>
        </w:rPr>
      </w:pPr>
      <w:r>
        <w:rPr>
          <w:rFonts w:ascii="Franklin Gothic Book" w:hAnsi="Franklin Gothic Book"/>
          <w:sz w:val="20"/>
        </w:rPr>
        <w:t>Le indagini presso le banche indicano che nel secondo trimestre del 2019 i criteri di offerta sui prestiti alle imprese hanno registrato un moderato inasprimento in conseguenza di un lieve aumento della percezione del rischio tra gli intermediari. D’altra parte, la domanda di finanziamenti da parte delle imprese ha registrato un modesto incremento. Quest’ultimo emerge anche dalle indagini effettuate presso le piccole e medie imprese (PMI) non finanziarie che segnalano una graduale ripresa del credito.</w:t>
      </w:r>
    </w:p>
    <w:p>
      <w:pPr>
        <w:spacing w:line="254" w:lineRule="auto" w:before="57"/>
        <w:ind w:left="1608" w:right="1419" w:firstLine="0"/>
        <w:jc w:val="both"/>
        <w:rPr>
          <w:rFonts w:ascii="Franklin Gothic Book" w:hAnsi="Franklin Gothic Book"/>
          <w:sz w:val="20"/>
        </w:rPr>
      </w:pPr>
      <w:r>
        <w:rPr>
          <w:rFonts w:ascii="Franklin Gothic Book" w:hAnsi="Franklin Gothic Book"/>
          <w:sz w:val="20"/>
        </w:rPr>
        <w:t>Il livello delle sofferenze è in netto miglioramento. Il processo di dismissione degli NPL prosegue infatti a ritmo sostenuto e le sofferenze risultano diminuite a luglio del 23,3 per cento</w:t>
      </w:r>
      <w:r>
        <w:rPr>
          <w:rFonts w:ascii="Franklin Gothic Book" w:hAnsi="Franklin Gothic Book"/>
          <w:spacing w:val="-16"/>
          <w:sz w:val="20"/>
        </w:rPr>
        <w:t> </w:t>
      </w:r>
      <w:r>
        <w:rPr>
          <w:rFonts w:ascii="Franklin Gothic Book" w:hAnsi="Franklin Gothic Book"/>
          <w:sz w:val="20"/>
        </w:rPr>
        <w:t>su</w:t>
      </w:r>
      <w:r>
        <w:rPr>
          <w:rFonts w:ascii="Franklin Gothic Book" w:hAnsi="Franklin Gothic Book"/>
          <w:spacing w:val="-15"/>
          <w:sz w:val="20"/>
        </w:rPr>
        <w:t> </w:t>
      </w:r>
      <w:r>
        <w:rPr>
          <w:rFonts w:ascii="Franklin Gothic Book" w:hAnsi="Franklin Gothic Book"/>
          <w:sz w:val="20"/>
        </w:rPr>
        <w:t>base</w:t>
      </w:r>
      <w:r>
        <w:rPr>
          <w:rFonts w:ascii="Franklin Gothic Book" w:hAnsi="Franklin Gothic Book"/>
          <w:spacing w:val="-16"/>
          <w:sz w:val="20"/>
        </w:rPr>
        <w:t> </w:t>
      </w:r>
      <w:r>
        <w:rPr>
          <w:rFonts w:ascii="Franklin Gothic Book" w:hAnsi="Franklin Gothic Book"/>
          <w:sz w:val="20"/>
        </w:rPr>
        <w:t>annua,</w:t>
      </w:r>
      <w:r>
        <w:rPr>
          <w:rFonts w:ascii="Franklin Gothic Book" w:hAnsi="Franklin Gothic Book"/>
          <w:spacing w:val="-14"/>
          <w:sz w:val="20"/>
        </w:rPr>
        <w:t> </w:t>
      </w:r>
      <w:r>
        <w:rPr>
          <w:rFonts w:ascii="Franklin Gothic Book" w:hAnsi="Franklin Gothic Book"/>
          <w:sz w:val="20"/>
        </w:rPr>
        <w:t>grazie</w:t>
      </w:r>
      <w:r>
        <w:rPr>
          <w:rFonts w:ascii="Franklin Gothic Book" w:hAnsi="Franklin Gothic Book"/>
          <w:spacing w:val="-17"/>
          <w:sz w:val="20"/>
        </w:rPr>
        <w:t> </w:t>
      </w:r>
      <w:r>
        <w:rPr>
          <w:rFonts w:ascii="Franklin Gothic Book" w:hAnsi="Franklin Gothic Book"/>
          <w:sz w:val="20"/>
        </w:rPr>
        <w:t>ad</w:t>
      </w:r>
      <w:r>
        <w:rPr>
          <w:rFonts w:ascii="Franklin Gothic Book" w:hAnsi="Franklin Gothic Book"/>
          <w:spacing w:val="-14"/>
          <w:sz w:val="20"/>
        </w:rPr>
        <w:t> </w:t>
      </w:r>
      <w:r>
        <w:rPr>
          <w:rFonts w:ascii="Franklin Gothic Book" w:hAnsi="Franklin Gothic Book"/>
          <w:sz w:val="20"/>
        </w:rPr>
        <w:t>ulteriori</w:t>
      </w:r>
      <w:r>
        <w:rPr>
          <w:rFonts w:ascii="Franklin Gothic Book" w:hAnsi="Franklin Gothic Book"/>
          <w:spacing w:val="-16"/>
          <w:sz w:val="20"/>
        </w:rPr>
        <w:t> </w:t>
      </w:r>
      <w:r>
        <w:rPr>
          <w:rFonts w:ascii="Franklin Gothic Book" w:hAnsi="Franklin Gothic Book"/>
          <w:sz w:val="20"/>
        </w:rPr>
        <w:t>operazioni</w:t>
      </w:r>
      <w:r>
        <w:rPr>
          <w:rFonts w:ascii="Franklin Gothic Book" w:hAnsi="Franklin Gothic Book"/>
          <w:spacing w:val="-15"/>
          <w:sz w:val="20"/>
        </w:rPr>
        <w:t> </w:t>
      </w:r>
      <w:r>
        <w:rPr>
          <w:rFonts w:ascii="Franklin Gothic Book" w:hAnsi="Franklin Gothic Book"/>
          <w:sz w:val="20"/>
        </w:rPr>
        <w:t>di</w:t>
      </w:r>
      <w:r>
        <w:rPr>
          <w:rFonts w:ascii="Franklin Gothic Book" w:hAnsi="Franklin Gothic Book"/>
          <w:spacing w:val="-15"/>
          <w:sz w:val="20"/>
        </w:rPr>
        <w:t> </w:t>
      </w:r>
      <w:r>
        <w:rPr>
          <w:rFonts w:ascii="Franklin Gothic Book" w:hAnsi="Franklin Gothic Book"/>
          <w:sz w:val="20"/>
        </w:rPr>
        <w:t>cartolarizzazione.</w:t>
      </w:r>
      <w:r>
        <w:rPr>
          <w:rFonts w:ascii="Franklin Gothic Book" w:hAnsi="Franklin Gothic Book"/>
          <w:spacing w:val="-16"/>
          <w:sz w:val="20"/>
        </w:rPr>
        <w:t> </w:t>
      </w:r>
      <w:r>
        <w:rPr>
          <w:rFonts w:ascii="Franklin Gothic Book" w:hAnsi="Franklin Gothic Book"/>
          <w:sz w:val="20"/>
        </w:rPr>
        <w:t>Tuttavia,</w:t>
      </w:r>
      <w:r>
        <w:rPr>
          <w:rFonts w:ascii="Franklin Gothic Book" w:hAnsi="Franklin Gothic Book"/>
          <w:spacing w:val="-15"/>
          <w:sz w:val="20"/>
        </w:rPr>
        <w:t> </w:t>
      </w:r>
      <w:r>
        <w:rPr>
          <w:rFonts w:ascii="Franklin Gothic Book" w:hAnsi="Franklin Gothic Book"/>
          <w:sz w:val="20"/>
        </w:rPr>
        <w:t>le</w:t>
      </w:r>
      <w:r>
        <w:rPr>
          <w:rFonts w:ascii="Franklin Gothic Book" w:hAnsi="Franklin Gothic Book"/>
          <w:spacing w:val="-17"/>
          <w:sz w:val="20"/>
        </w:rPr>
        <w:t> </w:t>
      </w:r>
      <w:r>
        <w:rPr>
          <w:rFonts w:ascii="Franklin Gothic Book" w:hAnsi="Franklin Gothic Book"/>
          <w:sz w:val="20"/>
        </w:rPr>
        <w:t>dinamiche relative alle varie branche di attività restano disomogenee e in alcuni settori, come quello delle costruzioni, le sofferenze costituiscono ancora il 20 per cento del totale dei prestiti (Figura</w:t>
      </w:r>
      <w:r>
        <w:rPr>
          <w:rFonts w:ascii="Franklin Gothic Book" w:hAnsi="Franklin Gothic Book"/>
          <w:spacing w:val="-1"/>
          <w:sz w:val="20"/>
        </w:rPr>
        <w:t> </w:t>
      </w:r>
      <w:r>
        <w:rPr>
          <w:rFonts w:ascii="Franklin Gothic Book" w:hAnsi="Franklin Gothic Book"/>
          <w:sz w:val="20"/>
        </w:rPr>
        <w:t>R.2).</w:t>
      </w:r>
    </w:p>
    <w:p>
      <w:pPr>
        <w:spacing w:line="254" w:lineRule="auto" w:before="59"/>
        <w:ind w:left="1608" w:right="1417" w:firstLine="0"/>
        <w:jc w:val="both"/>
        <w:rPr>
          <w:rFonts w:ascii="Franklin Gothic Book" w:hAnsi="Franklin Gothic Book"/>
          <w:sz w:val="20"/>
        </w:rPr>
      </w:pPr>
      <w:r>
        <w:rPr>
          <w:rFonts w:ascii="Franklin Gothic Book" w:hAnsi="Franklin Gothic Book"/>
          <w:sz w:val="20"/>
        </w:rPr>
        <w:t>La riduzione degli stock non si deve tuttavia ricondurre solo alle operazioni di dismissione, ma</w:t>
      </w:r>
      <w:r>
        <w:rPr>
          <w:rFonts w:ascii="Franklin Gothic Book" w:hAnsi="Franklin Gothic Book"/>
          <w:spacing w:val="-11"/>
          <w:sz w:val="20"/>
        </w:rPr>
        <w:t> </w:t>
      </w:r>
      <w:r>
        <w:rPr>
          <w:rFonts w:ascii="Franklin Gothic Book" w:hAnsi="Franklin Gothic Book"/>
          <w:sz w:val="20"/>
        </w:rPr>
        <w:t>anche</w:t>
      </w:r>
      <w:r>
        <w:rPr>
          <w:rFonts w:ascii="Franklin Gothic Book" w:hAnsi="Franklin Gothic Book"/>
          <w:spacing w:val="-11"/>
          <w:sz w:val="20"/>
        </w:rPr>
        <w:t> </w:t>
      </w:r>
      <w:r>
        <w:rPr>
          <w:rFonts w:ascii="Franklin Gothic Book" w:hAnsi="Franklin Gothic Book"/>
          <w:sz w:val="20"/>
        </w:rPr>
        <w:t>al</w:t>
      </w:r>
      <w:r>
        <w:rPr>
          <w:rFonts w:ascii="Franklin Gothic Book" w:hAnsi="Franklin Gothic Book"/>
          <w:spacing w:val="-12"/>
          <w:sz w:val="20"/>
        </w:rPr>
        <w:t> </w:t>
      </w:r>
      <w:r>
        <w:rPr>
          <w:rFonts w:ascii="Franklin Gothic Book" w:hAnsi="Franklin Gothic Book"/>
          <w:sz w:val="20"/>
        </w:rPr>
        <w:t>tasso</w:t>
      </w:r>
      <w:r>
        <w:rPr>
          <w:rFonts w:ascii="Franklin Gothic Book" w:hAnsi="Franklin Gothic Book"/>
          <w:spacing w:val="-11"/>
          <w:sz w:val="20"/>
        </w:rPr>
        <w:t> </w:t>
      </w:r>
      <w:r>
        <w:rPr>
          <w:rFonts w:ascii="Franklin Gothic Book" w:hAnsi="Franklin Gothic Book"/>
          <w:sz w:val="20"/>
        </w:rPr>
        <w:t>di</w:t>
      </w:r>
      <w:r>
        <w:rPr>
          <w:rFonts w:ascii="Franklin Gothic Book" w:hAnsi="Franklin Gothic Book"/>
          <w:spacing w:val="-11"/>
          <w:sz w:val="20"/>
        </w:rPr>
        <w:t> </w:t>
      </w:r>
      <w:r>
        <w:rPr>
          <w:rFonts w:ascii="Franklin Gothic Book" w:hAnsi="Franklin Gothic Book"/>
          <w:sz w:val="20"/>
        </w:rPr>
        <w:t>entrata</w:t>
      </w:r>
      <w:r>
        <w:rPr>
          <w:rFonts w:ascii="Franklin Gothic Book" w:hAnsi="Franklin Gothic Book"/>
          <w:spacing w:val="-9"/>
          <w:sz w:val="20"/>
        </w:rPr>
        <w:t> </w:t>
      </w:r>
      <w:r>
        <w:rPr>
          <w:rFonts w:ascii="Franklin Gothic Book" w:hAnsi="Franklin Gothic Book"/>
          <w:sz w:val="20"/>
        </w:rPr>
        <w:t>in</w:t>
      </w:r>
      <w:r>
        <w:rPr>
          <w:rFonts w:ascii="Franklin Gothic Book" w:hAnsi="Franklin Gothic Book"/>
          <w:spacing w:val="-11"/>
          <w:sz w:val="20"/>
        </w:rPr>
        <w:t> </w:t>
      </w:r>
      <w:r>
        <w:rPr>
          <w:rFonts w:ascii="Franklin Gothic Book" w:hAnsi="Franklin Gothic Book"/>
          <w:sz w:val="20"/>
        </w:rPr>
        <w:t>sofferenza</w:t>
      </w:r>
      <w:r>
        <w:rPr>
          <w:rFonts w:ascii="Franklin Gothic Book" w:hAnsi="Franklin Gothic Book"/>
          <w:spacing w:val="-10"/>
          <w:sz w:val="20"/>
        </w:rPr>
        <w:t> </w:t>
      </w:r>
      <w:r>
        <w:rPr>
          <w:rFonts w:ascii="Franklin Gothic Book" w:hAnsi="Franklin Gothic Book"/>
          <w:sz w:val="20"/>
        </w:rPr>
        <w:t>che</w:t>
      </w:r>
      <w:r>
        <w:rPr>
          <w:rFonts w:ascii="Franklin Gothic Book" w:hAnsi="Franklin Gothic Book"/>
          <w:spacing w:val="-12"/>
          <w:sz w:val="20"/>
        </w:rPr>
        <w:t> </w:t>
      </w:r>
      <w:r>
        <w:rPr>
          <w:rFonts w:ascii="Franklin Gothic Book" w:hAnsi="Franklin Gothic Book"/>
          <w:sz w:val="20"/>
        </w:rPr>
        <w:t>torna</w:t>
      </w:r>
      <w:r>
        <w:rPr>
          <w:rFonts w:ascii="Franklin Gothic Book" w:hAnsi="Franklin Gothic Book"/>
          <w:spacing w:val="-8"/>
          <w:sz w:val="20"/>
        </w:rPr>
        <w:t> </w:t>
      </w:r>
      <w:r>
        <w:rPr>
          <w:rFonts w:ascii="Franklin Gothic Book" w:hAnsi="Franklin Gothic Book"/>
          <w:sz w:val="20"/>
        </w:rPr>
        <w:t>ai</w:t>
      </w:r>
      <w:r>
        <w:rPr>
          <w:rFonts w:ascii="Franklin Gothic Book" w:hAnsi="Franklin Gothic Book"/>
          <w:spacing w:val="-11"/>
          <w:sz w:val="20"/>
        </w:rPr>
        <w:t> </w:t>
      </w:r>
      <w:r>
        <w:rPr>
          <w:rFonts w:ascii="Franklin Gothic Book" w:hAnsi="Franklin Gothic Book"/>
          <w:sz w:val="20"/>
        </w:rPr>
        <w:t>livelli</w:t>
      </w:r>
      <w:r>
        <w:rPr>
          <w:rFonts w:ascii="Franklin Gothic Book" w:hAnsi="Franklin Gothic Book"/>
          <w:spacing w:val="-11"/>
          <w:sz w:val="20"/>
        </w:rPr>
        <w:t> </w:t>
      </w:r>
      <w:r>
        <w:rPr>
          <w:rFonts w:ascii="Franklin Gothic Book" w:hAnsi="Franklin Gothic Book"/>
          <w:sz w:val="20"/>
        </w:rPr>
        <w:t>pre-crisi.</w:t>
      </w:r>
      <w:r>
        <w:rPr>
          <w:rFonts w:ascii="Franklin Gothic Book" w:hAnsi="Franklin Gothic Book"/>
          <w:spacing w:val="-10"/>
          <w:sz w:val="20"/>
        </w:rPr>
        <w:t> </w:t>
      </w:r>
      <w:r>
        <w:rPr>
          <w:rFonts w:ascii="Franklin Gothic Book" w:hAnsi="Franklin Gothic Book"/>
          <w:sz w:val="20"/>
        </w:rPr>
        <w:t>Nei</w:t>
      </w:r>
      <w:r>
        <w:rPr>
          <w:rFonts w:ascii="Franklin Gothic Book" w:hAnsi="Franklin Gothic Book"/>
          <w:spacing w:val="-10"/>
          <w:sz w:val="20"/>
        </w:rPr>
        <w:t> </w:t>
      </w:r>
      <w:r>
        <w:rPr>
          <w:rFonts w:ascii="Franklin Gothic Book" w:hAnsi="Franklin Gothic Book"/>
          <w:sz w:val="20"/>
        </w:rPr>
        <w:t>prossimi</w:t>
      </w:r>
      <w:r>
        <w:rPr>
          <w:rFonts w:ascii="Franklin Gothic Book" w:hAnsi="Franklin Gothic Book"/>
          <w:spacing w:val="-11"/>
          <w:sz w:val="20"/>
        </w:rPr>
        <w:t> </w:t>
      </w:r>
      <w:r>
        <w:rPr>
          <w:rFonts w:ascii="Franklin Gothic Book" w:hAnsi="Franklin Gothic Book"/>
          <w:sz w:val="20"/>
        </w:rPr>
        <w:t>mesi,</w:t>
      </w:r>
      <w:r>
        <w:rPr>
          <w:rFonts w:ascii="Franklin Gothic Book" w:hAnsi="Franklin Gothic Book"/>
          <w:spacing w:val="-11"/>
          <w:sz w:val="20"/>
        </w:rPr>
        <w:t> </w:t>
      </w:r>
      <w:r>
        <w:rPr>
          <w:rFonts w:ascii="Franklin Gothic Book" w:hAnsi="Franklin Gothic Book"/>
          <w:sz w:val="20"/>
        </w:rPr>
        <w:t>sarà probabilmente più chiaro in quale misura la riduzione delle nuove NPE</w:t>
      </w:r>
      <w:r>
        <w:rPr>
          <w:rFonts w:ascii="Franklin Gothic Book" w:hAnsi="Franklin Gothic Book"/>
          <w:spacing w:val="5"/>
          <w:sz w:val="20"/>
        </w:rPr>
        <w:t> </w:t>
      </w:r>
      <w:r>
        <w:rPr>
          <w:rFonts w:ascii="Franklin Gothic Book" w:hAnsi="Franklin Gothic Book"/>
          <w:sz w:val="20"/>
        </w:rPr>
        <w:t>(Non-Performing</w:t>
      </w:r>
    </w:p>
    <w:p>
      <w:pPr>
        <w:pStyle w:val="BodyText"/>
        <w:rPr>
          <w:rFonts w:ascii="Franklin Gothic Book"/>
          <w:sz w:val="20"/>
        </w:rPr>
      </w:pPr>
    </w:p>
    <w:p>
      <w:pPr>
        <w:pStyle w:val="BodyText"/>
        <w:spacing w:before="4"/>
        <w:rPr>
          <w:rFonts w:ascii="Franklin Gothic Book"/>
          <w:sz w:val="27"/>
        </w:rPr>
      </w:pPr>
      <w:r>
        <w:rPr/>
        <w:pict>
          <v:group style="position:absolute;margin-left:136.100006pt;margin-top:17.485018pt;width:21.4pt;height:2.15pt;mso-position-horizontal-relative:page;mso-position-vertical-relative:paragraph;z-index:-251602944;mso-wrap-distance-left:0;mso-wrap-distance-right:0" coordorigin="2722,350" coordsize="428,43">
            <v:line style="position:absolute" from="2722,370" to="3149,370" stroked="true" strokeweight="2.050pt" strokecolor="#aaaaaa">
              <v:stroke dashstyle="solid"/>
            </v:line>
            <v:rect style="position:absolute;left:2722;top:351;width:5;height:5" filled="true" fillcolor="#9f9f9f" stroked="false">
              <v:fill type="solid"/>
            </v:rect>
            <v:rect style="position:absolute;left:2722;top:351;width:5;height:5" filled="true" fillcolor="#9f9f9f" stroked="false">
              <v:fill type="solid"/>
            </v:rect>
            <v:line style="position:absolute" from="2727,354" to="3144,354" stroked="true" strokeweight=".23999pt" strokecolor="#9f9f9f">
              <v:stroke dashstyle="solid"/>
            </v:line>
            <v:rect style="position:absolute;left:3144;top:351;width:5;height:5" filled="true" fillcolor="#e2e2e2" stroked="false">
              <v:fill type="solid"/>
            </v:rect>
            <v:rect style="position:absolute;left:3144;top:351;width:5;height:5" filled="true" fillcolor="#9f9f9f" stroked="false">
              <v:fill type="solid"/>
            </v:rect>
            <v:rect style="position:absolute;left:2722;top:356;width:5;height:32" filled="true" fillcolor="#9f9f9f" stroked="false">
              <v:fill type="solid"/>
            </v:rect>
            <v:rect style="position:absolute;left:3144;top:356;width:5;height:32" filled="true" fillcolor="#e2e2e2" stroked="false">
              <v:fill type="solid"/>
            </v:rect>
            <v:rect style="position:absolute;left:2722;top:387;width:5;height:5" filled="true" fillcolor="#9f9f9f" stroked="false">
              <v:fill type="solid"/>
            </v:rect>
            <v:rect style="position:absolute;left:2722;top:387;width:5;height:5" filled="true" fillcolor="#e2e2e2" stroked="false">
              <v:fill type="solid"/>
            </v:rect>
            <v:line style="position:absolute" from="2727,390" to="3144,390" stroked="true" strokeweight=".23999pt" strokecolor="#e2e2e2">
              <v:stroke dashstyle="solid"/>
            </v:line>
            <v:rect style="position:absolute;left:3144;top:387;width:5;height:5" filled="true" fillcolor="#e2e2e2" stroked="false">
              <v:fill type="solid"/>
            </v:rect>
            <v:rect style="position:absolute;left:3144;top:387;width:5;height:5" filled="true" fillcolor="#e2e2e2" stroked="false">
              <v:fill type="solid"/>
            </v:rect>
            <w10:wrap type="topAndBottom"/>
          </v:group>
        </w:pict>
      </w:r>
    </w:p>
    <w:p>
      <w:pPr>
        <w:spacing w:before="20"/>
        <w:ind w:left="1582" w:right="0" w:firstLine="0"/>
        <w:jc w:val="left"/>
        <w:rPr>
          <w:sz w:val="16"/>
        </w:rPr>
      </w:pPr>
      <w:r>
        <w:rPr>
          <w:position w:val="6"/>
          <w:sz w:val="10"/>
        </w:rPr>
        <w:t>8 </w:t>
      </w:r>
      <w:r>
        <w:rPr>
          <w:sz w:val="16"/>
        </w:rPr>
        <w:t>ISTAT e Agenzia delle entrate – OMI, 2019.</w:t>
      </w:r>
    </w:p>
    <w:p>
      <w:pPr>
        <w:spacing w:after="0"/>
        <w:jc w:val="left"/>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rPr>
          <w:sz w:val="20"/>
        </w:rPr>
      </w:pPr>
    </w:p>
    <w:p>
      <w:pPr>
        <w:pStyle w:val="BodyText"/>
        <w:spacing w:before="6"/>
        <w:rPr>
          <w:sz w:val="13"/>
        </w:rPr>
      </w:pPr>
    </w:p>
    <w:p>
      <w:pPr>
        <w:pStyle w:val="BodyText"/>
        <w:ind w:left="278"/>
        <w:rPr>
          <w:sz w:val="20"/>
        </w:rPr>
      </w:pPr>
      <w:r>
        <w:rPr>
          <w:sz w:val="20"/>
        </w:rPr>
        <w:pict>
          <v:group style="width:412pt;height:290.350pt;mso-position-horizontal-relative:char;mso-position-vertical-relative:line" coordorigin="0,0" coordsize="8240,5807">
            <v:rect style="position:absolute;left:28;top:0;width:452;height:5806" filled="true" fillcolor="#efefef" stroked="false">
              <v:fill type="solid"/>
            </v:rect>
            <v:rect style="position:absolute;left:480;top:5539;width:7742;height:10" filled="true" fillcolor="#efefef" stroked="false">
              <v:fill type="solid"/>
            </v:rect>
            <v:rect style="position:absolute;left:480;top:5777;width:7742;height:29" filled="true" fillcolor="#efefef" stroked="false">
              <v:fill type="solid"/>
            </v:rect>
            <v:rect style="position:absolute;left:480;top:0;width:7742;height:240" filled="true" fillcolor="#efefef" stroked="false">
              <v:fill type="solid"/>
            </v:rect>
            <v:rect style="position:absolute;left:480;top:240;width:7742;height:240" filled="true" fillcolor="#efefef" stroked="false">
              <v:fill type="solid"/>
            </v:rect>
            <v:rect style="position:absolute;left:480;top:480;width:7742;height:240" filled="true" fillcolor="#efefef" stroked="false">
              <v:fill type="solid"/>
            </v:rect>
            <v:rect style="position:absolute;left:480;top:720;width:7742;height:240" filled="true" fillcolor="#efefef" stroked="false">
              <v:fill type="solid"/>
            </v:rect>
            <v:rect style="position:absolute;left:480;top:960;width:7742;height:240" filled="true" fillcolor="#efefef" stroked="false">
              <v:fill type="solid"/>
            </v:rect>
            <v:rect style="position:absolute;left:480;top:1200;width:7742;height:360" filled="true" fillcolor="#efefef" stroked="false">
              <v:fill type="solid"/>
            </v:rect>
            <v:rect style="position:absolute;left:8151;top:1855;width:70;height:3685" filled="true" fillcolor="#efefef" stroked="false">
              <v:fill type="solid"/>
            </v:rect>
            <v:rect style="position:absolute;left:480;top:1855;width:70;height:3685" filled="true" fillcolor="#efefef" stroked="false">
              <v:fill type="solid"/>
            </v:rect>
            <v:rect style="position:absolute;left:549;top:1855;width:7603;height:3685" filled="true" fillcolor="#efefef" stroked="false">
              <v:fill type="solid"/>
            </v:rect>
            <v:rect style="position:absolute;left:480;top:5549;width:7742;height:24" filled="true" fillcolor="#efefef" stroked="false">
              <v:fill type="solid"/>
            </v:rect>
            <v:rect style="position:absolute;left:480;top:5753;width:7742;height:24" filled="true" fillcolor="#efefef" stroked="false">
              <v:fill type="solid"/>
            </v:rect>
            <v:rect style="position:absolute;left:480;top:5573;width:7742;height:180" filled="true" fillcolor="#efefef" stroked="false">
              <v:fill type="solid"/>
            </v:rect>
            <v:line style="position:absolute" from="480,5545" to="8221,5545" stroked="true" strokeweight=".47998pt" strokecolor="#000000">
              <v:stroke dashstyle="solid"/>
            </v:line>
            <v:rect style="position:absolute;left:480;top:5777;width:7742;height:29" filled="true" fillcolor="#086d44" stroked="false">
              <v:fill type="solid"/>
            </v:rect>
            <v:line style="position:absolute" from="14,0" to="14,5806" stroked="true" strokeweight="1.44pt" strokecolor="#086d44">
              <v:stroke dashstyle="solid"/>
            </v:line>
            <v:rect style="position:absolute;left:990;top:1998;width:6993;height:2914" filled="false" stroked="true" strokeweight=".25pt" strokecolor="#000000">
              <v:stroke dashstyle="solid"/>
            </v:rect>
            <v:line style="position:absolute" from="991,4913" to="7983,4913" stroked="true" strokeweight=".25pt" strokecolor="#000000">
              <v:stroke dashstyle="solid"/>
            </v:line>
            <v:line style="position:absolute" from="991,4913" to="991,4963" stroked="true" strokeweight=".25pt" strokecolor="#000000">
              <v:stroke dashstyle="solid"/>
            </v:line>
            <v:line style="position:absolute" from="1855,4913" to="1855,4963" stroked="true" strokeweight=".25pt" strokecolor="#000000">
              <v:stroke dashstyle="solid"/>
            </v:line>
            <v:line style="position:absolute" from="2721,4913" to="2721,4963" stroked="true" strokeweight=".25pt" strokecolor="#000000">
              <v:stroke dashstyle="solid"/>
            </v:line>
            <v:line style="position:absolute" from="3585,4913" to="3585,4963" stroked="true" strokeweight=".25pt" strokecolor="#000000">
              <v:stroke dashstyle="solid"/>
            </v:line>
            <v:line style="position:absolute" from="4452,4913" to="4452,4963" stroked="true" strokeweight=".25pt" strokecolor="#000000">
              <v:stroke dashstyle="solid"/>
            </v:line>
            <v:line style="position:absolute" from="5316,4913" to="5316,4963" stroked="true" strokeweight=".25pt" strokecolor="#000000">
              <v:stroke dashstyle="solid"/>
            </v:line>
            <v:line style="position:absolute" from="6182,4913" to="6182,4963" stroked="true" strokeweight=".25pt" strokecolor="#000000">
              <v:stroke dashstyle="solid"/>
            </v:line>
            <v:line style="position:absolute" from="7046,4913" to="7046,4963" stroked="true" strokeweight=".25pt" strokecolor="#000000">
              <v:stroke dashstyle="solid"/>
            </v:line>
            <v:line style="position:absolute" from="7911,4913" to="7911,4963" stroked="true" strokeweight=".25pt" strokecolor="#000000">
              <v:stroke dashstyle="solid"/>
            </v:line>
            <v:shape style="position:absolute;left:1026;top:3627;width:6921;height:800" coordorigin="1027,3627" coordsize="6921,800" path="m1027,4245l1099,4238,1171,4248,1243,4240,1315,4233,1387,4197,1459,4207,1531,4209,1603,4192,1675,4195,1747,4188,1819,4171,1891,4166,1963,4140,2037,4113,2109,4101,2181,4092,2253,4063,2325,4063,2397,4051,2469,4017,2541,4003,2613,3979,2685,3957,2757,3955,2829,3919,2901,3909,2973,3876,3045,3844,3117,3808,3189,3820,3261,3806,3333,3787,3405,3772,3477,3746,3549,3753,3621,3753,3693,3722,3765,3720,3837,3696,3909,3676,3984,3676,4056,3676,4128,3664,4200,3669,4272,3660,4344,3643,4416,3657,4488,3657,4560,3631,4632,3638,4704,3627,4776,3636,4848,3638,4920,3645,4992,3691,5064,3686,5136,3667,5208,3672,5280,3696,5352,3698,5424,3676,5496,3708,5568,3720,5640,3734,5712,3715,5784,3724,5856,3729,5928,3732,6002,3727,6074,3741,6146,3796,6218,3907,6290,3890,6362,3883,6434,3890,6506,3912,6578,3928,6650,3972,6722,3974,6794,3969,6866,3979,6938,3981,7010,4166,7082,4195,7154,4190,7226,4214,7298,4231,7370,4255,7442,4341,7514,4348,7586,4348,7658,4387,7730,4392,7802,4392,7874,4401,7947,4427e" filled="false" stroked="true" strokeweight="2.25pt" strokecolor="#c74b0e">
              <v:path arrowok="t"/>
              <v:stroke dashstyle="solid"/>
            </v:shape>
            <v:shape style="position:absolute;left:1026;top:2429;width:6921;height:1839" coordorigin="1027,2430" coordsize="6921,1839" path="m1027,4268l1099,4255,1171,4243,1243,4231,1315,4214,1387,4164,1459,4161,1531,4152,1603,4140,1675,4128,1747,4104,1819,4068,1891,4060,1963,4036,2037,4020,2109,3996,2181,3979,2253,3943,2325,3933,2397,3914,2469,3866,2541,3837,2613,3796,2685,3756,2757,3732,2829,3698,2901,3674,2973,3638,3045,3600,3117,3506,3189,3487,3261,3451,3333,3415,3405,3388,3477,3352,3549,3324,3621,3292,3693,3256,3765,3230,3837,3189,3909,3151,3984,3088,4056,3072,4128,3045,4200,3016,4272,2985,4344,2942,4416,2916,4488,2889,4560,2860,4632,2827,4704,2812,4776,2788,4848,2738,4920,2726,4992,2798,5064,2772,5136,2731,5208,2707,5280,2685,5352,2659,5424,2642,5496,2625,5568,2599,5640,2582,5712,2498,5784,2493,5856,2479,5928,2457,6002,2438,6074,2430,6146,2455,6218,2616,6290,2613,6362,2582,6434,2560,6506,2556,6578,2560,6650,2580,6722,2625,6794,2613,6866,2601,6938,2594,7010,2884,7082,2944,7154,2952,7226,2976,7298,3002,7370,3021,7442,3285,7514,3283,7586,3288,7658,3415,7730,3408,7802,3391,7874,3429,7947,3451e" filled="false" stroked="true" strokeweight="2.25pt" strokecolor="#086939">
              <v:path arrowok="t"/>
              <v:stroke dashstyle="solid"/>
            </v:shape>
            <v:shape style="position:absolute;left:1026;top:3521;width:6921;height:756" coordorigin="1027,3521" coordsize="6921,756" path="m1027,4245l1099,4240,1171,4236,1243,4228,1315,4226,1387,4192,1459,4202,1531,4195,1603,4180,1675,4180,1747,4166,1819,4140,1891,4142,1963,4120,2037,4101,2109,4092,2181,4084,2253,4056,2325,4051,2397,4034,2469,4000,2541,3981,2613,3957,2685,3928,2757,3928,2829,3892,2901,3895,2973,3868,3045,3835,3117,3801,3189,3799,3261,3777,3333,3760,3405,3739,3477,3705,3549,3727,3621,3722,3693,3684,3765,3681,3837,3657,3909,3638,3984,3638,4056,3633,4128,3619,4200,3626,4272,3609,4344,3576,4416,3585,4488,3573,4560,3544,4632,3544,4704,3535,4776,3552,4848,3544,4920,3521,4992,3566,5064,3552,5136,3523,5208,3532,5280,3556,5352,3537,5424,3532,5496,3566,5568,3561,5640,3578,5712,3540,5784,3542,5856,3540,5928,3552,6002,3528,6074,3556,6146,3621,6218,3748,6290,3739,6362,3727,6434,3727,6506,3751,6578,3775,6650,3808,6722,3813,6794,3813,6866,3820,6938,3823,7010,4027,7082,4058,7154,4048,7226,4072,7298,4089,7370,4120,7442,4226,7514,4221,7586,4221,7658,4248,7730,4248,7802,4245,7874,4248,7947,4277e" filled="false" stroked="true" strokeweight="2.25pt" strokecolor="#d6c700">
              <v:path arrowok="t"/>
              <v:stroke dashstyle="solid"/>
            </v:shape>
            <v:shape style="position:absolute;left:1026;top:3333;width:6921;height:1192" coordorigin="1027,3334" coordsize="6921,1192" path="m1027,4526l1099,4521,1171,4514,1243,4507,1315,4502,1387,4480,1459,4473,1531,4473,1603,4466,1675,4452,1747,4435,1819,4423,1891,4413,1963,4406,2037,4387,2109,4370,2181,4360,2253,4348,2325,4336,2397,4329,2469,4298,2541,4279,2613,4267,2685,4257,2757,4243,2829,4219,2901,4190,2973,4159,3045,4142,3117,4084,3189,4070,3261,4048,3333,4015,3405,3993,3477,3969,3549,3950,3621,3928,3693,3912,3765,3895,3837,3868,3909,3844,3984,3811,4056,3789,4128,3777,4200,3748,4272,3722,4344,3688,4416,3664,4488,3645,4560,3640,4632,3621,4704,3638,4776,3624,4848,3602,4920,3588,4992,3614,5064,3595,5136,3588,5208,3580,5280,3571,5352,3525,5424,3499,5496,3458,5568,3417,5640,3398,5712,3364,5784,3350,5856,3348,5928,3345,6002,3334,6074,3338,6146,3384,6218,3499,6290,3504,6362,3492,6434,3480,6506,3472,6578,3508,6650,3508,6722,3530,6794,3520,6866,3504,6938,3501,7010,3746,7082,3777,7154,3787,7226,3818,7298,3830,7370,3840,7442,3984,7514,3976,7586,3974,7658,4075,7730,4065,7802,4051,7874,4053,7947,4060e" filled="false" stroked="true" strokeweight="2.25pt" strokecolor="#77923b">
              <v:path arrowok="t"/>
              <v:stroke dashstyle="solid"/>
            </v:shape>
            <v:line style="position:absolute" from="1411,5410" to="1795,5410" stroked="true" strokeweight="2.25pt" strokecolor="#c74b0e">
              <v:stroke dashstyle="solid"/>
            </v:line>
            <v:line style="position:absolute" from="2891,5410" to="3275,5410" stroked="true" strokeweight="2.25pt" strokecolor="#086939">
              <v:stroke dashstyle="solid"/>
            </v:line>
            <v:line style="position:absolute" from="4320,5410" to="4704,5410" stroked="true" strokeweight="2.25pt" strokecolor="#d6c700">
              <v:stroke dashstyle="solid"/>
            </v:line>
            <v:line style="position:absolute" from="5767,5410" to="6151,5410" stroked="true" strokeweight="2.25pt" strokecolor="#77923b">
              <v:stroke dashstyle="solid"/>
            </v:line>
            <v:shape style="position:absolute;left:6192;top:5335;width:1271;height:161" type="#_x0000_t202" filled="false" stroked="false">
              <v:textbox inset="0,0,0,0">
                <w:txbxContent>
                  <w:p>
                    <w:pPr>
                      <w:spacing w:line="161" w:lineRule="exact" w:before="0"/>
                      <w:ind w:left="0" w:right="0" w:firstLine="0"/>
                      <w:jc w:val="left"/>
                      <w:rPr>
                        <w:rFonts w:ascii="Calibri" w:hAnsi="Calibri"/>
                        <w:sz w:val="16"/>
                      </w:rPr>
                    </w:pPr>
                    <w:r>
                      <w:rPr>
                        <w:rFonts w:ascii="Calibri" w:hAnsi="Calibri"/>
                        <w:color w:val="585858"/>
                        <w:sz w:val="16"/>
                      </w:rPr>
                      <w:t>Attività immobiliari</w:t>
                    </w:r>
                  </w:p>
                </w:txbxContent>
              </v:textbox>
              <w10:wrap type="none"/>
            </v:shape>
            <v:shape style="position:absolute;left:480;top:5335;width:2159;height:417" type="#_x0000_t202" filled="false" stroked="false">
              <v:textbox inset="0,0,0,0">
                <w:txbxContent>
                  <w:p>
                    <w:pPr>
                      <w:spacing w:line="164" w:lineRule="exact" w:before="0"/>
                      <w:ind w:left="1355" w:right="0" w:firstLine="0"/>
                      <w:jc w:val="left"/>
                      <w:rPr>
                        <w:rFonts w:ascii="Calibri"/>
                        <w:sz w:val="16"/>
                      </w:rPr>
                    </w:pPr>
                    <w:r>
                      <w:rPr>
                        <w:rFonts w:ascii="Calibri"/>
                        <w:color w:val="585858"/>
                        <w:sz w:val="16"/>
                      </w:rPr>
                      <w:t>Manifattura</w:t>
                    </w:r>
                  </w:p>
                  <w:p>
                    <w:pPr>
                      <w:spacing w:before="71"/>
                      <w:ind w:left="0" w:right="0" w:firstLine="0"/>
                      <w:jc w:val="left"/>
                      <w:rPr>
                        <w:rFonts w:ascii="Franklin Gothic Book" w:hAnsi="Franklin Gothic Book"/>
                        <w:sz w:val="16"/>
                      </w:rPr>
                    </w:pPr>
                    <w:r>
                      <w:rPr>
                        <w:rFonts w:ascii="Franklin Gothic Book" w:hAnsi="Franklin Gothic Book"/>
                        <w:sz w:val="16"/>
                      </w:rPr>
                      <w:t>Fonte: Banca d’Italia.</w:t>
                    </w:r>
                  </w:p>
                </w:txbxContent>
              </v:textbox>
              <w10:wrap type="none"/>
            </v:shape>
            <v:shape style="position:absolute;left:7745;top:5045;width:428;height:161" type="#_x0000_t202" filled="false" stroked="false">
              <v:textbox inset="0,0,0,0">
                <w:txbxContent>
                  <w:p>
                    <w:pPr>
                      <w:spacing w:line="161" w:lineRule="exact" w:before="0"/>
                      <w:ind w:left="0" w:right="0" w:firstLine="0"/>
                      <w:jc w:val="left"/>
                      <w:rPr>
                        <w:rFonts w:ascii="Calibri"/>
                        <w:sz w:val="16"/>
                      </w:rPr>
                    </w:pPr>
                    <w:r>
                      <w:rPr>
                        <w:rFonts w:ascii="Calibri"/>
                        <w:color w:val="585858"/>
                        <w:sz w:val="16"/>
                      </w:rPr>
                      <w:t>lug-19</w:t>
                    </w:r>
                  </w:p>
                </w:txbxContent>
              </v:textbox>
              <w10:wrap type="none"/>
            </v:shape>
            <v:shape style="position:absolute;left:6879;top:5045;width:428;height:161" type="#_x0000_t202" filled="false" stroked="false">
              <v:textbox inset="0,0,0,0">
                <w:txbxContent>
                  <w:p>
                    <w:pPr>
                      <w:spacing w:line="161" w:lineRule="exact" w:before="0"/>
                      <w:ind w:left="0" w:right="0" w:firstLine="0"/>
                      <w:jc w:val="left"/>
                      <w:rPr>
                        <w:rFonts w:ascii="Calibri"/>
                        <w:sz w:val="16"/>
                      </w:rPr>
                    </w:pPr>
                    <w:r>
                      <w:rPr>
                        <w:rFonts w:ascii="Calibri"/>
                        <w:color w:val="585858"/>
                        <w:sz w:val="16"/>
                      </w:rPr>
                      <w:t>lug-18</w:t>
                    </w:r>
                  </w:p>
                </w:txbxContent>
              </v:textbox>
              <w10:wrap type="none"/>
            </v:shape>
            <v:shape style="position:absolute;left:6014;top:5045;width:428;height:161" type="#_x0000_t202" filled="false" stroked="false">
              <v:textbox inset="0,0,0,0">
                <w:txbxContent>
                  <w:p>
                    <w:pPr>
                      <w:spacing w:line="161" w:lineRule="exact" w:before="0"/>
                      <w:ind w:left="0" w:right="0" w:firstLine="0"/>
                      <w:jc w:val="left"/>
                      <w:rPr>
                        <w:rFonts w:ascii="Calibri"/>
                        <w:sz w:val="16"/>
                      </w:rPr>
                    </w:pPr>
                    <w:r>
                      <w:rPr>
                        <w:rFonts w:ascii="Calibri"/>
                        <w:color w:val="585858"/>
                        <w:sz w:val="16"/>
                      </w:rPr>
                      <w:t>lug-17</w:t>
                    </w:r>
                  </w:p>
                </w:txbxContent>
              </v:textbox>
              <w10:wrap type="none"/>
            </v:shape>
            <v:shape style="position:absolute;left:4745;top:5045;width:832;height:451" type="#_x0000_t202" filled="false" stroked="false">
              <v:textbox inset="0,0,0,0">
                <w:txbxContent>
                  <w:p>
                    <w:pPr>
                      <w:spacing w:line="164" w:lineRule="exact" w:before="0"/>
                      <w:ind w:left="0" w:right="18" w:firstLine="0"/>
                      <w:jc w:val="right"/>
                      <w:rPr>
                        <w:rFonts w:ascii="Calibri"/>
                        <w:sz w:val="16"/>
                      </w:rPr>
                    </w:pPr>
                    <w:r>
                      <w:rPr>
                        <w:rFonts w:ascii="Calibri"/>
                        <w:color w:val="585858"/>
                        <w:sz w:val="16"/>
                      </w:rPr>
                      <w:t>lug-16</w:t>
                    </w:r>
                  </w:p>
                  <w:p>
                    <w:pPr>
                      <w:spacing w:line="193" w:lineRule="exact" w:before="94"/>
                      <w:ind w:left="0" w:right="80" w:firstLine="0"/>
                      <w:jc w:val="right"/>
                      <w:rPr>
                        <w:rFonts w:ascii="Calibri"/>
                        <w:sz w:val="16"/>
                      </w:rPr>
                    </w:pPr>
                    <w:r>
                      <w:rPr>
                        <w:rFonts w:ascii="Calibri"/>
                        <w:color w:val="585858"/>
                        <w:sz w:val="16"/>
                      </w:rPr>
                      <w:t>Commercio</w:t>
                    </w:r>
                  </w:p>
                </w:txbxContent>
              </v:textbox>
              <w10:wrap type="none"/>
            </v:shape>
            <v:shape style="position:absolute;left:2554;top:5045;width:2159;height:451" type="#_x0000_t202" filled="false" stroked="false">
              <v:textbox inset="0,0,0,0">
                <w:txbxContent>
                  <w:p>
                    <w:pPr>
                      <w:tabs>
                        <w:tab w:pos="864" w:val="left" w:leader="none"/>
                        <w:tab w:pos="1730" w:val="left" w:leader="none"/>
                      </w:tabs>
                      <w:spacing w:line="164" w:lineRule="exact" w:before="0"/>
                      <w:ind w:left="0" w:right="0" w:firstLine="0"/>
                      <w:jc w:val="left"/>
                      <w:rPr>
                        <w:rFonts w:ascii="Calibri"/>
                        <w:sz w:val="16"/>
                      </w:rPr>
                    </w:pPr>
                    <w:r>
                      <w:rPr>
                        <w:rFonts w:ascii="Calibri"/>
                        <w:color w:val="585858"/>
                        <w:sz w:val="16"/>
                      </w:rPr>
                      <w:t>lug-13</w:t>
                      <w:tab/>
                      <w:t>lug-14</w:t>
                      <w:tab/>
                      <w:t>lug-15</w:t>
                    </w:r>
                  </w:p>
                  <w:p>
                    <w:pPr>
                      <w:spacing w:line="193" w:lineRule="exact" w:before="94"/>
                      <w:ind w:left="762" w:right="0" w:firstLine="0"/>
                      <w:jc w:val="left"/>
                      <w:rPr>
                        <w:rFonts w:ascii="Calibri"/>
                        <w:sz w:val="16"/>
                      </w:rPr>
                    </w:pPr>
                    <w:r>
                      <w:rPr>
                        <w:rFonts w:ascii="Calibri"/>
                        <w:color w:val="585858"/>
                        <w:sz w:val="16"/>
                      </w:rPr>
                      <w:t>Costruzioni</w:t>
                    </w:r>
                  </w:p>
                </w:txbxContent>
              </v:textbox>
              <w10:wrap type="none"/>
            </v:shape>
            <v:shape style="position:absolute;left:1688;top:5045;width:428;height:161" type="#_x0000_t202" filled="false" stroked="false">
              <v:textbox inset="0,0,0,0">
                <w:txbxContent>
                  <w:p>
                    <w:pPr>
                      <w:spacing w:line="161" w:lineRule="exact" w:before="0"/>
                      <w:ind w:left="0" w:right="0" w:firstLine="0"/>
                      <w:jc w:val="left"/>
                      <w:rPr>
                        <w:rFonts w:ascii="Calibri"/>
                        <w:sz w:val="16"/>
                      </w:rPr>
                    </w:pPr>
                    <w:r>
                      <w:rPr>
                        <w:rFonts w:ascii="Calibri"/>
                        <w:color w:val="585858"/>
                        <w:sz w:val="16"/>
                      </w:rPr>
                      <w:t>lug-12</w:t>
                    </w:r>
                  </w:p>
                </w:txbxContent>
              </v:textbox>
              <w10:wrap type="none"/>
            </v:shape>
            <v:shape style="position:absolute;left:680;top:1923;width:571;height:3284" type="#_x0000_t202" filled="false" stroked="false">
              <v:textbox inset="0,0,0,0">
                <w:txbxContent>
                  <w:p>
                    <w:pPr>
                      <w:spacing w:line="164" w:lineRule="exact" w:before="0"/>
                      <w:ind w:left="0" w:right="0" w:firstLine="0"/>
                      <w:jc w:val="left"/>
                      <w:rPr>
                        <w:rFonts w:ascii="Calibri"/>
                        <w:sz w:val="16"/>
                      </w:rPr>
                    </w:pPr>
                    <w:r>
                      <w:rPr>
                        <w:rFonts w:ascii="Calibri"/>
                        <w:color w:val="585858"/>
                        <w:sz w:val="16"/>
                      </w:rPr>
                      <w:t>40</w:t>
                    </w:r>
                  </w:p>
                  <w:p>
                    <w:pPr>
                      <w:spacing w:line="240" w:lineRule="auto" w:before="6"/>
                      <w:rPr>
                        <w:sz w:val="14"/>
                      </w:rPr>
                    </w:pPr>
                  </w:p>
                  <w:p>
                    <w:pPr>
                      <w:spacing w:before="0"/>
                      <w:ind w:left="0" w:right="0" w:firstLine="0"/>
                      <w:jc w:val="left"/>
                      <w:rPr>
                        <w:rFonts w:ascii="Calibri"/>
                        <w:sz w:val="16"/>
                      </w:rPr>
                    </w:pPr>
                    <w:r>
                      <w:rPr>
                        <w:rFonts w:ascii="Calibri"/>
                        <w:color w:val="585858"/>
                        <w:sz w:val="16"/>
                      </w:rPr>
                      <w:t>35</w:t>
                    </w:r>
                  </w:p>
                  <w:p>
                    <w:pPr>
                      <w:spacing w:line="240" w:lineRule="auto" w:before="6"/>
                      <w:rPr>
                        <w:sz w:val="14"/>
                      </w:rPr>
                    </w:pPr>
                  </w:p>
                  <w:p>
                    <w:pPr>
                      <w:spacing w:before="1"/>
                      <w:ind w:left="0" w:right="0" w:firstLine="0"/>
                      <w:jc w:val="left"/>
                      <w:rPr>
                        <w:rFonts w:ascii="Calibri"/>
                        <w:sz w:val="16"/>
                      </w:rPr>
                    </w:pPr>
                    <w:r>
                      <w:rPr>
                        <w:rFonts w:ascii="Calibri"/>
                        <w:color w:val="585858"/>
                        <w:sz w:val="16"/>
                      </w:rPr>
                      <w:t>30</w:t>
                    </w:r>
                  </w:p>
                  <w:p>
                    <w:pPr>
                      <w:spacing w:line="240" w:lineRule="auto" w:before="6"/>
                      <w:rPr>
                        <w:sz w:val="14"/>
                      </w:rPr>
                    </w:pPr>
                  </w:p>
                  <w:p>
                    <w:pPr>
                      <w:spacing w:before="0"/>
                      <w:ind w:left="0" w:right="0" w:firstLine="0"/>
                      <w:jc w:val="left"/>
                      <w:rPr>
                        <w:rFonts w:ascii="Calibri"/>
                        <w:sz w:val="16"/>
                      </w:rPr>
                    </w:pPr>
                    <w:r>
                      <w:rPr>
                        <w:rFonts w:ascii="Calibri"/>
                        <w:color w:val="585858"/>
                        <w:sz w:val="16"/>
                      </w:rPr>
                      <w:t>25</w:t>
                    </w:r>
                  </w:p>
                  <w:p>
                    <w:pPr>
                      <w:spacing w:line="240" w:lineRule="auto" w:before="6"/>
                      <w:rPr>
                        <w:sz w:val="14"/>
                      </w:rPr>
                    </w:pPr>
                  </w:p>
                  <w:p>
                    <w:pPr>
                      <w:spacing w:before="0"/>
                      <w:ind w:left="0" w:right="0" w:firstLine="0"/>
                      <w:jc w:val="left"/>
                      <w:rPr>
                        <w:rFonts w:ascii="Calibri"/>
                        <w:sz w:val="16"/>
                      </w:rPr>
                    </w:pPr>
                    <w:r>
                      <w:rPr>
                        <w:rFonts w:ascii="Calibri"/>
                        <w:color w:val="585858"/>
                        <w:sz w:val="16"/>
                      </w:rPr>
                      <w:t>20</w:t>
                    </w:r>
                  </w:p>
                  <w:p>
                    <w:pPr>
                      <w:spacing w:line="240" w:lineRule="auto" w:before="7"/>
                      <w:rPr>
                        <w:sz w:val="14"/>
                      </w:rPr>
                    </w:pPr>
                  </w:p>
                  <w:p>
                    <w:pPr>
                      <w:spacing w:before="0"/>
                      <w:ind w:left="0" w:right="0" w:firstLine="0"/>
                      <w:jc w:val="left"/>
                      <w:rPr>
                        <w:rFonts w:ascii="Calibri"/>
                        <w:sz w:val="16"/>
                      </w:rPr>
                    </w:pPr>
                    <w:r>
                      <w:rPr>
                        <w:rFonts w:ascii="Calibri"/>
                        <w:color w:val="585858"/>
                        <w:sz w:val="16"/>
                      </w:rPr>
                      <w:t>15</w:t>
                    </w:r>
                  </w:p>
                  <w:p>
                    <w:pPr>
                      <w:spacing w:line="240" w:lineRule="auto" w:before="6"/>
                      <w:rPr>
                        <w:sz w:val="14"/>
                      </w:rPr>
                    </w:pPr>
                  </w:p>
                  <w:p>
                    <w:pPr>
                      <w:spacing w:before="0"/>
                      <w:ind w:left="0" w:right="0" w:firstLine="0"/>
                      <w:jc w:val="left"/>
                      <w:rPr>
                        <w:rFonts w:ascii="Calibri"/>
                        <w:sz w:val="16"/>
                      </w:rPr>
                    </w:pPr>
                    <w:r>
                      <w:rPr>
                        <w:rFonts w:ascii="Calibri"/>
                        <w:color w:val="585858"/>
                        <w:sz w:val="16"/>
                      </w:rPr>
                      <w:t>10</w:t>
                    </w:r>
                  </w:p>
                  <w:p>
                    <w:pPr>
                      <w:spacing w:line="240" w:lineRule="auto" w:before="6"/>
                      <w:rPr>
                        <w:sz w:val="14"/>
                      </w:rPr>
                    </w:pPr>
                  </w:p>
                  <w:p>
                    <w:pPr>
                      <w:spacing w:before="0"/>
                      <w:ind w:left="80" w:right="0" w:firstLine="0"/>
                      <w:jc w:val="left"/>
                      <w:rPr>
                        <w:rFonts w:ascii="Calibri"/>
                        <w:sz w:val="16"/>
                      </w:rPr>
                    </w:pPr>
                    <w:r>
                      <w:rPr>
                        <w:rFonts w:ascii="Calibri"/>
                        <w:color w:val="585858"/>
                        <w:w w:val="100"/>
                        <w:sz w:val="16"/>
                      </w:rPr>
                      <w:t>5</w:t>
                    </w:r>
                  </w:p>
                  <w:p>
                    <w:pPr>
                      <w:spacing w:line="240" w:lineRule="auto" w:before="7"/>
                      <w:rPr>
                        <w:sz w:val="14"/>
                      </w:rPr>
                    </w:pPr>
                  </w:p>
                  <w:p>
                    <w:pPr>
                      <w:spacing w:before="0"/>
                      <w:ind w:left="80" w:right="0" w:firstLine="0"/>
                      <w:jc w:val="left"/>
                      <w:rPr>
                        <w:rFonts w:ascii="Calibri"/>
                        <w:sz w:val="16"/>
                      </w:rPr>
                    </w:pPr>
                    <w:r>
                      <w:rPr>
                        <w:rFonts w:ascii="Calibri"/>
                        <w:color w:val="585858"/>
                        <w:w w:val="100"/>
                        <w:sz w:val="16"/>
                      </w:rPr>
                      <w:t>0</w:t>
                    </w:r>
                  </w:p>
                  <w:p>
                    <w:pPr>
                      <w:spacing w:line="193" w:lineRule="exact" w:before="13"/>
                      <w:ind w:left="142" w:right="0" w:firstLine="0"/>
                      <w:jc w:val="left"/>
                      <w:rPr>
                        <w:rFonts w:ascii="Calibri"/>
                        <w:sz w:val="16"/>
                      </w:rPr>
                    </w:pPr>
                    <w:r>
                      <w:rPr>
                        <w:rFonts w:ascii="Calibri"/>
                        <w:color w:val="585858"/>
                        <w:sz w:val="16"/>
                      </w:rPr>
                      <w:t>lug-11</w:t>
                    </w:r>
                  </w:p>
                </w:txbxContent>
              </v:textbox>
              <w10:wrap type="none"/>
            </v:shape>
            <v:shape style="position:absolute;left:480;top:9;width:7760;height:1426" type="#_x0000_t202" filled="false" stroked="false">
              <v:textbox inset="0,0,0,0">
                <w:txbxContent>
                  <w:p>
                    <w:pPr>
                      <w:spacing w:line="254" w:lineRule="auto" w:before="0"/>
                      <w:ind w:left="0" w:right="18" w:firstLine="0"/>
                      <w:jc w:val="both"/>
                      <w:rPr>
                        <w:rFonts w:ascii="Franklin Gothic Book" w:hAnsi="Franklin Gothic Book"/>
                        <w:sz w:val="20"/>
                      </w:rPr>
                    </w:pPr>
                    <w:r>
                      <w:rPr>
                        <w:rFonts w:ascii="Franklin Gothic Book" w:hAnsi="Franklin Gothic Book"/>
                        <w:sz w:val="20"/>
                      </w:rPr>
                      <w:t>Exposures) sia effetto del ciclo economico o sia piuttosto da ricondursi a un cambiamento strutturale</w:t>
                    </w:r>
                    <w:r>
                      <w:rPr>
                        <w:rFonts w:ascii="Franklin Gothic Book" w:hAnsi="Franklin Gothic Book"/>
                        <w:spacing w:val="-12"/>
                        <w:sz w:val="20"/>
                      </w:rPr>
                      <w:t> </w:t>
                    </w:r>
                    <w:r>
                      <w:rPr>
                        <w:rFonts w:ascii="Franklin Gothic Book" w:hAnsi="Franklin Gothic Book"/>
                        <w:sz w:val="20"/>
                      </w:rPr>
                      <w:t>del</w:t>
                    </w:r>
                    <w:r>
                      <w:rPr>
                        <w:rFonts w:ascii="Franklin Gothic Book" w:hAnsi="Franklin Gothic Book"/>
                        <w:spacing w:val="-12"/>
                        <w:sz w:val="20"/>
                      </w:rPr>
                      <w:t> </w:t>
                    </w:r>
                    <w:r>
                      <w:rPr>
                        <w:rFonts w:ascii="Franklin Gothic Book" w:hAnsi="Franklin Gothic Book"/>
                        <w:sz w:val="20"/>
                      </w:rPr>
                      <w:t>mercato.</w:t>
                    </w:r>
                    <w:r>
                      <w:rPr>
                        <w:rFonts w:ascii="Franklin Gothic Book" w:hAnsi="Franklin Gothic Book"/>
                        <w:spacing w:val="-11"/>
                        <w:sz w:val="20"/>
                      </w:rPr>
                      <w:t> </w:t>
                    </w:r>
                    <w:r>
                      <w:rPr>
                        <w:rFonts w:ascii="Franklin Gothic Book" w:hAnsi="Franklin Gothic Book"/>
                        <w:sz w:val="20"/>
                      </w:rPr>
                      <w:t>Le</w:t>
                    </w:r>
                    <w:r>
                      <w:rPr>
                        <w:rFonts w:ascii="Franklin Gothic Book" w:hAnsi="Franklin Gothic Book"/>
                        <w:spacing w:val="-10"/>
                        <w:sz w:val="20"/>
                      </w:rPr>
                      <w:t> </w:t>
                    </w:r>
                    <w:r>
                      <w:rPr>
                        <w:rFonts w:ascii="Franklin Gothic Book" w:hAnsi="Franklin Gothic Book"/>
                        <w:sz w:val="20"/>
                      </w:rPr>
                      <w:t>variabili</w:t>
                    </w:r>
                    <w:r>
                      <w:rPr>
                        <w:rFonts w:ascii="Franklin Gothic Book" w:hAnsi="Franklin Gothic Book"/>
                        <w:spacing w:val="-12"/>
                        <w:sz w:val="20"/>
                      </w:rPr>
                      <w:t> </w:t>
                    </w:r>
                    <w:r>
                      <w:rPr>
                        <w:rFonts w:ascii="Franklin Gothic Book" w:hAnsi="Franklin Gothic Book"/>
                        <w:sz w:val="20"/>
                      </w:rPr>
                      <w:t>dal</w:t>
                    </w:r>
                    <w:r>
                      <w:rPr>
                        <w:rFonts w:ascii="Franklin Gothic Book" w:hAnsi="Franklin Gothic Book"/>
                        <w:spacing w:val="-9"/>
                        <w:sz w:val="20"/>
                      </w:rPr>
                      <w:t> </w:t>
                    </w:r>
                    <w:r>
                      <w:rPr>
                        <w:rFonts w:ascii="Franklin Gothic Book" w:hAnsi="Franklin Gothic Book"/>
                        <w:sz w:val="20"/>
                      </w:rPr>
                      <w:t>lato</w:t>
                    </w:r>
                    <w:r>
                      <w:rPr>
                        <w:rFonts w:ascii="Franklin Gothic Book" w:hAnsi="Franklin Gothic Book"/>
                        <w:spacing w:val="-12"/>
                        <w:sz w:val="20"/>
                      </w:rPr>
                      <w:t> </w:t>
                    </w:r>
                    <w:r>
                      <w:rPr>
                        <w:rFonts w:ascii="Franklin Gothic Book" w:hAnsi="Franklin Gothic Book"/>
                        <w:sz w:val="20"/>
                      </w:rPr>
                      <w:t>della</w:t>
                    </w:r>
                    <w:r>
                      <w:rPr>
                        <w:rFonts w:ascii="Franklin Gothic Book" w:hAnsi="Franklin Gothic Book"/>
                        <w:spacing w:val="-10"/>
                        <w:sz w:val="20"/>
                      </w:rPr>
                      <w:t> </w:t>
                    </w:r>
                    <w:r>
                      <w:rPr>
                        <w:rFonts w:ascii="Franklin Gothic Book" w:hAnsi="Franklin Gothic Book"/>
                        <w:sz w:val="20"/>
                      </w:rPr>
                      <w:t>domanda</w:t>
                    </w:r>
                    <w:r>
                      <w:rPr>
                        <w:rFonts w:ascii="Franklin Gothic Book" w:hAnsi="Franklin Gothic Book"/>
                        <w:spacing w:val="-9"/>
                        <w:sz w:val="20"/>
                      </w:rPr>
                      <w:t> </w:t>
                    </w:r>
                    <w:r>
                      <w:rPr>
                        <w:rFonts w:ascii="Franklin Gothic Book" w:hAnsi="Franklin Gothic Book"/>
                        <w:sz w:val="20"/>
                      </w:rPr>
                      <w:t>e</w:t>
                    </w:r>
                    <w:r>
                      <w:rPr>
                        <w:rFonts w:ascii="Franklin Gothic Book" w:hAnsi="Franklin Gothic Book"/>
                        <w:spacing w:val="-12"/>
                        <w:sz w:val="20"/>
                      </w:rPr>
                      <w:t> </w:t>
                    </w:r>
                    <w:r>
                      <w:rPr>
                        <w:rFonts w:ascii="Franklin Gothic Book" w:hAnsi="Franklin Gothic Book"/>
                        <w:sz w:val="20"/>
                      </w:rPr>
                      <w:t>dell’offerta</w:t>
                    </w:r>
                    <w:r>
                      <w:rPr>
                        <w:rFonts w:ascii="Franklin Gothic Book" w:hAnsi="Franklin Gothic Book"/>
                        <w:spacing w:val="-11"/>
                        <w:sz w:val="20"/>
                      </w:rPr>
                      <w:t> </w:t>
                    </w:r>
                    <w:r>
                      <w:rPr>
                        <w:rFonts w:ascii="Franklin Gothic Book" w:hAnsi="Franklin Gothic Book"/>
                        <w:sz w:val="20"/>
                      </w:rPr>
                      <w:t>sono</w:t>
                    </w:r>
                    <w:r>
                      <w:rPr>
                        <w:rFonts w:ascii="Franklin Gothic Book" w:hAnsi="Franklin Gothic Book"/>
                        <w:spacing w:val="-12"/>
                        <w:sz w:val="20"/>
                      </w:rPr>
                      <w:t> </w:t>
                    </w:r>
                    <w:r>
                      <w:rPr>
                        <w:rFonts w:ascii="Franklin Gothic Book" w:hAnsi="Franklin Gothic Book"/>
                        <w:sz w:val="20"/>
                      </w:rPr>
                      <w:t>co-determinate in quanto le banche sono meno propense a prestare a settori o regioni in cui le imprese hanno una maggiore probabilità di entrare in sofferenza. Questo circolo vizioso si può interrompere attraverso una minore segmentazione del mercato del credito e proseguendo nel rafforzamento patrimoniale degli</w:t>
                    </w:r>
                    <w:r>
                      <w:rPr>
                        <w:rFonts w:ascii="Franklin Gothic Book" w:hAnsi="Franklin Gothic Book"/>
                        <w:spacing w:val="-4"/>
                        <w:sz w:val="20"/>
                      </w:rPr>
                      <w:t> </w:t>
                    </w:r>
                    <w:r>
                      <w:rPr>
                        <w:rFonts w:ascii="Franklin Gothic Book" w:hAnsi="Franklin Gothic Book"/>
                        <w:sz w:val="20"/>
                      </w:rPr>
                      <w:t>istituti.</w:t>
                    </w:r>
                  </w:p>
                </w:txbxContent>
              </v:textbox>
              <w10:wrap type="none"/>
            </v:shape>
            <v:shape style="position:absolute;left:480;top:1560;width:7742;height:296" type="#_x0000_t202" filled="true" fillcolor="#086d44" stroked="false">
              <v:textbox inset="0,0,0,0">
                <w:txbxContent>
                  <w:p>
                    <w:pPr>
                      <w:spacing w:before="45"/>
                      <w:ind w:left="28" w:right="0" w:firstLine="0"/>
                      <w:jc w:val="left"/>
                      <w:rPr>
                        <w:rFonts w:ascii="Franklin Gothic Heavy"/>
                        <w:b/>
                        <w:sz w:val="17"/>
                      </w:rPr>
                    </w:pPr>
                    <w:r>
                      <w:rPr>
                        <w:rFonts w:ascii="Franklin Gothic Heavy"/>
                        <w:b/>
                        <w:color w:val="EFEFEF"/>
                        <w:sz w:val="17"/>
                      </w:rPr>
                      <w:t>FIGURA R2: EVOLUZIONE DELLE SOFFERENZE SUL TOTALE DEI PRESTITI PER SETTORE</w:t>
                    </w:r>
                  </w:p>
                </w:txbxContent>
              </v:textbox>
              <v:fill type="solid"/>
              <w10:wrap type="none"/>
            </v:shape>
          </v:group>
        </w:pict>
      </w:r>
      <w:r>
        <w:rPr>
          <w:sz w:val="20"/>
        </w:rPr>
      </w:r>
    </w:p>
    <w:p>
      <w:pPr>
        <w:pStyle w:val="BodyText"/>
        <w:spacing w:before="4"/>
        <w:rPr>
          <w:sz w:val="9"/>
        </w:rPr>
      </w:pPr>
    </w:p>
    <w:p>
      <w:pPr>
        <w:pStyle w:val="BodyText"/>
        <w:spacing w:line="252" w:lineRule="auto" w:before="101"/>
        <w:ind w:left="278" w:right="2262" w:firstLine="453"/>
        <w:jc w:val="both"/>
      </w:pPr>
      <w:r>
        <w:rPr/>
        <w:t>La debolezza degli investimenti è stata accompagnata da un processo marcato di decumulo delle scorte, già iniziato nel corso del 2018. Solo negli anni della crisi (2009</w:t>
      </w:r>
      <w:r>
        <w:rPr>
          <w:spacing w:val="-5"/>
        </w:rPr>
        <w:t> </w:t>
      </w:r>
      <w:r>
        <w:rPr/>
        <w:t>e</w:t>
      </w:r>
      <w:r>
        <w:rPr>
          <w:spacing w:val="-4"/>
        </w:rPr>
        <w:t> </w:t>
      </w:r>
      <w:r>
        <w:rPr/>
        <w:t>2012)</w:t>
      </w:r>
      <w:r>
        <w:rPr>
          <w:spacing w:val="-2"/>
        </w:rPr>
        <w:t> </w:t>
      </w:r>
      <w:r>
        <w:rPr/>
        <w:t>si</w:t>
      </w:r>
      <w:r>
        <w:rPr>
          <w:spacing w:val="-5"/>
        </w:rPr>
        <w:t> </w:t>
      </w:r>
      <w:r>
        <w:rPr/>
        <w:t>è</w:t>
      </w:r>
      <w:r>
        <w:rPr>
          <w:spacing w:val="-6"/>
        </w:rPr>
        <w:t> </w:t>
      </w:r>
      <w:r>
        <w:rPr/>
        <w:t>registrata</w:t>
      </w:r>
      <w:r>
        <w:rPr>
          <w:spacing w:val="-5"/>
        </w:rPr>
        <w:t> </w:t>
      </w:r>
      <w:r>
        <w:rPr/>
        <w:t>una</w:t>
      </w:r>
      <w:r>
        <w:rPr>
          <w:spacing w:val="-4"/>
        </w:rPr>
        <w:t> </w:t>
      </w:r>
      <w:r>
        <w:rPr/>
        <w:t>riduzione</w:t>
      </w:r>
      <w:r>
        <w:rPr>
          <w:spacing w:val="-5"/>
        </w:rPr>
        <w:t> </w:t>
      </w:r>
      <w:r>
        <w:rPr/>
        <w:t>delle</w:t>
      </w:r>
      <w:r>
        <w:rPr>
          <w:spacing w:val="-4"/>
        </w:rPr>
        <w:t> </w:t>
      </w:r>
      <w:r>
        <w:rPr/>
        <w:t>scorte</w:t>
      </w:r>
      <w:r>
        <w:rPr>
          <w:spacing w:val="-3"/>
        </w:rPr>
        <w:t> </w:t>
      </w:r>
      <w:r>
        <w:rPr/>
        <w:t>di</w:t>
      </w:r>
      <w:r>
        <w:rPr>
          <w:spacing w:val="-5"/>
        </w:rPr>
        <w:t> </w:t>
      </w:r>
      <w:r>
        <w:rPr/>
        <w:t>tale</w:t>
      </w:r>
      <w:r>
        <w:rPr>
          <w:spacing w:val="-4"/>
        </w:rPr>
        <w:t> </w:t>
      </w:r>
      <w:r>
        <w:rPr/>
        <w:t>entità;</w:t>
      </w:r>
      <w:r>
        <w:rPr>
          <w:spacing w:val="-3"/>
        </w:rPr>
        <w:t> </w:t>
      </w:r>
      <w:r>
        <w:rPr/>
        <w:t>in</w:t>
      </w:r>
      <w:r>
        <w:rPr>
          <w:spacing w:val="-4"/>
        </w:rPr>
        <w:t> </w:t>
      </w:r>
      <w:r>
        <w:rPr/>
        <w:t>quegli</w:t>
      </w:r>
      <w:r>
        <w:rPr>
          <w:spacing w:val="-5"/>
        </w:rPr>
        <w:t> </w:t>
      </w:r>
      <w:r>
        <w:rPr/>
        <w:t>anni però</w:t>
      </w:r>
      <w:r>
        <w:rPr>
          <w:spacing w:val="-17"/>
        </w:rPr>
        <w:t> </w:t>
      </w:r>
      <w:r>
        <w:rPr/>
        <w:t>il</w:t>
      </w:r>
      <w:r>
        <w:rPr>
          <w:spacing w:val="-17"/>
        </w:rPr>
        <w:t> </w:t>
      </w:r>
      <w:r>
        <w:rPr/>
        <w:t>PIL</w:t>
      </w:r>
      <w:r>
        <w:rPr>
          <w:spacing w:val="-17"/>
        </w:rPr>
        <w:t> </w:t>
      </w:r>
      <w:r>
        <w:rPr/>
        <w:t>registrò</w:t>
      </w:r>
      <w:r>
        <w:rPr>
          <w:spacing w:val="-19"/>
        </w:rPr>
        <w:t> </w:t>
      </w:r>
      <w:r>
        <w:rPr/>
        <w:t>cali</w:t>
      </w:r>
      <w:r>
        <w:rPr>
          <w:spacing w:val="-17"/>
        </w:rPr>
        <w:t> </w:t>
      </w:r>
      <w:r>
        <w:rPr/>
        <w:t>molto</w:t>
      </w:r>
      <w:r>
        <w:rPr>
          <w:spacing w:val="-17"/>
        </w:rPr>
        <w:t> </w:t>
      </w:r>
      <w:r>
        <w:rPr/>
        <w:t>più</w:t>
      </w:r>
      <w:r>
        <w:rPr>
          <w:spacing w:val="-17"/>
        </w:rPr>
        <w:t> </w:t>
      </w:r>
      <w:r>
        <w:rPr/>
        <w:t>significativi.</w:t>
      </w:r>
      <w:r>
        <w:rPr>
          <w:spacing w:val="-16"/>
        </w:rPr>
        <w:t> </w:t>
      </w:r>
      <w:r>
        <w:rPr/>
        <w:t>Dopo</w:t>
      </w:r>
      <w:r>
        <w:rPr>
          <w:spacing w:val="-18"/>
        </w:rPr>
        <w:t> </w:t>
      </w:r>
      <w:r>
        <w:rPr/>
        <w:t>entrambe</w:t>
      </w:r>
      <w:r>
        <w:rPr>
          <w:spacing w:val="-17"/>
        </w:rPr>
        <w:t> </w:t>
      </w:r>
      <w:r>
        <w:rPr/>
        <w:t>le</w:t>
      </w:r>
      <w:r>
        <w:rPr>
          <w:spacing w:val="-19"/>
        </w:rPr>
        <w:t> </w:t>
      </w:r>
      <w:r>
        <w:rPr/>
        <w:t>recessioni,</w:t>
      </w:r>
      <w:r>
        <w:rPr>
          <w:spacing w:val="-15"/>
        </w:rPr>
        <w:t> </w:t>
      </w:r>
      <w:r>
        <w:rPr/>
        <w:t>le</w:t>
      </w:r>
      <w:r>
        <w:rPr>
          <w:spacing w:val="-19"/>
        </w:rPr>
        <w:t> </w:t>
      </w:r>
      <w:r>
        <w:rPr/>
        <w:t>scorte avevano sostenuto la ripresa: nel 2010 il rimbalzo ha compensato la caduta dell’anno precedente mentre dopo la crisi del 2012 l’accumulo era stato più graduale, seppur sostenuto, nel corso degli anni</w:t>
      </w:r>
      <w:r>
        <w:rPr>
          <w:spacing w:val="-5"/>
        </w:rPr>
        <w:t> </w:t>
      </w:r>
      <w:r>
        <w:rPr/>
        <w:t>successivi.</w:t>
      </w:r>
    </w:p>
    <w:p>
      <w:pPr>
        <w:pStyle w:val="BodyText"/>
        <w:spacing w:before="10"/>
        <w:rPr>
          <w:sz w:val="21"/>
        </w:rPr>
      </w:pPr>
      <w:r>
        <w:rPr/>
        <w:pict>
          <v:shape style="position:absolute;margin-left:70.944pt;margin-top:13.937314pt;width:411.1pt;height:23.8pt;mso-position-horizontal-relative:page;mso-position-vertical-relative:paragraph;z-index:-251586560;mso-wrap-distance-left:0;mso-wrap-distance-right:0" type="#_x0000_t202" filled="true" fillcolor="#086d44" stroked="false">
            <v:textbox inset="0,0,0,0">
              <w:txbxContent>
                <w:p>
                  <w:pPr>
                    <w:spacing w:line="186" w:lineRule="exact" w:before="45"/>
                    <w:ind w:left="28" w:right="0" w:firstLine="0"/>
                    <w:jc w:val="left"/>
                    <w:rPr>
                      <w:rFonts w:ascii="Franklin Gothic Heavy"/>
                      <w:b/>
                      <w:sz w:val="17"/>
                    </w:rPr>
                  </w:pPr>
                  <w:r>
                    <w:rPr>
                      <w:rFonts w:ascii="Franklin Gothic Heavy"/>
                      <w:b/>
                      <w:color w:val="EFEFEF"/>
                      <w:sz w:val="17"/>
                    </w:rPr>
                    <w:t>FIGURA II.3: PRODOTTO INTERNO LORDO E CONTRIBUTI ALLA CRESCITA CONGIUNTURALI (tasso di</w:t>
                  </w:r>
                </w:p>
                <w:p>
                  <w:pPr>
                    <w:spacing w:line="186" w:lineRule="exact" w:before="0"/>
                    <w:ind w:left="28" w:right="0" w:firstLine="0"/>
                    <w:jc w:val="left"/>
                    <w:rPr>
                      <w:rFonts w:ascii="Franklin Gothic Heavy"/>
                      <w:b/>
                      <w:sz w:val="17"/>
                    </w:rPr>
                  </w:pPr>
                  <w:r>
                    <w:rPr>
                      <w:rFonts w:ascii="Franklin Gothic Heavy"/>
                      <w:b/>
                      <w:color w:val="EFEFEF"/>
                      <w:sz w:val="17"/>
                    </w:rPr>
                    <w:t>crescita percentuale)</w:t>
                  </w:r>
                </w:p>
              </w:txbxContent>
            </v:textbox>
            <v:fill type="solid"/>
            <w10:wrap type="topAndBottom"/>
          </v:shape>
        </w:pict>
      </w:r>
    </w:p>
    <w:p>
      <w:pPr>
        <w:spacing w:line="169" w:lineRule="exact" w:before="0"/>
        <w:ind w:left="8033" w:right="0" w:firstLine="0"/>
        <w:jc w:val="left"/>
        <w:rPr>
          <w:rFonts w:ascii="Calibri"/>
          <w:sz w:val="16"/>
        </w:rPr>
      </w:pPr>
      <w:r>
        <w:rPr>
          <w:rFonts w:ascii="Calibri"/>
          <w:w w:val="100"/>
          <w:sz w:val="16"/>
        </w:rPr>
        <w:t>1</w:t>
      </w:r>
    </w:p>
    <w:p>
      <w:pPr>
        <w:spacing w:before="75"/>
        <w:ind w:left="665" w:right="0" w:firstLine="0"/>
        <w:jc w:val="left"/>
        <w:rPr>
          <w:rFonts w:ascii="Calibri"/>
          <w:sz w:val="16"/>
        </w:rPr>
      </w:pPr>
      <w:r>
        <w:rPr/>
        <w:pict>
          <v:group style="position:absolute;margin-left:105.260002pt;margin-top:-4.587803pt;width:348.45pt;height:149pt;mso-position-horizontal-relative:page;mso-position-vertical-relative:paragraph;z-index:251732992" coordorigin="2105,-92" coordsize="6969,2980">
            <v:rect style="position:absolute;left:2156;top:-90;width:6868;height:2975" filled="false" stroked="true" strokeweight=".25pt" strokecolor="#000000">
              <v:stroke dashstyle="solid"/>
            </v:rect>
            <v:shape style="position:absolute;left:2319;top:1371;width:327;height:324" coordorigin="2320,1372" coordsize="327,324" path="m2320,1533l2320,1696m2646,1372l2646,1533e" filled="false" stroked="true" strokeweight="6.6pt" strokecolor="#dc783d">
              <v:path arrowok="t"/>
              <v:stroke dashstyle="solid"/>
            </v:shape>
            <v:line style="position:absolute" from="3300,1533" to="3300,1708" stroked="true" strokeweight="6.48pt" strokecolor="#dc783d">
              <v:stroke dashstyle="solid"/>
            </v:line>
            <v:shape style="position:absolute;left:3561;top:1520;width:785;height:80" coordorigin="3562,1521" coordsize="785,80" path="m3694,1533l3562,1533,3562,1547,3694,1547,3694,1533m4020,1521l3888,1521,3888,1533,4020,1533,4020,1521m4346,1533l4217,1533,4217,1600,4346,1600,4346,1533e" filled="true" fillcolor="#dc783d" stroked="false">
              <v:path arrowok="t"/>
              <v:fill type="solid"/>
            </v:shape>
            <v:line style="position:absolute" from="4608,1357" to="4608,1533" stroked="true" strokeweight="6.48pt" strokecolor="#dc783d">
              <v:stroke dashstyle="solid"/>
            </v:line>
            <v:shape style="position:absolute;left:4869;top:1506;width:785;height:135" coordorigin="4870,1506" coordsize="785,135" path="m5002,1533l4870,1533,4870,1614,5002,1614,5002,1533m5328,1533l5196,1533,5196,1641,5328,1641,5328,1533m5654,1506l5525,1506,5525,1533,5654,1533,5654,1506e" filled="true" fillcolor="#dc783d" stroked="false">
              <v:path arrowok="t"/>
              <v:fill type="solid"/>
            </v:shape>
            <v:line style="position:absolute" from="5916,1372" to="5916,1533" stroked="true" strokeweight="6.48pt" strokecolor="#dc783d">
              <v:stroke dashstyle="solid"/>
            </v:line>
            <v:shape style="position:absolute;left:6177;top:1479;width:2748;height:108" coordorigin="6178,1480" coordsize="2748,108" path="m6310,1533l6178,1533,6178,1561,6310,1561,6310,1533m6636,1533l6504,1533,6504,1547,6636,1547,6636,1533m6962,1480l6833,1480,6833,1533,6962,1533,6962,1480m7289,1506l7159,1506,7159,1533,7289,1533,7289,1506m7618,1521l7486,1521,7486,1533,7618,1533,7618,1521m7944,1533l7812,1533,7812,1561,7944,1561,7944,1533m8270,1533l8141,1533,8141,1588,8270,1588,8270,1533m8599,1480l8467,1480,8467,1533,8599,1533,8599,1480m8926,1533l8794,1533,8794,1561,8926,1561,8926,1533e" filled="true" fillcolor="#dc783d" stroked="false">
              <v:path arrowok="t"/>
              <v:fill type="solid"/>
            </v:shape>
            <v:line style="position:absolute" from="2320,1696" to="2320,1938" stroked="true" strokeweight="6.6pt" strokecolor="#8b0d21">
              <v:stroke dashstyle="solid"/>
            </v:line>
            <v:rect style="position:absolute;left:2580;top:1532;width:132;height:56" filled="true" fillcolor="#8b0d21" stroked="false">
              <v:fill type="solid"/>
            </v:rect>
            <v:line style="position:absolute" from="2974,1264" to="2974,1533" stroked="true" strokeweight="6.48pt" strokecolor="#8b0d21">
              <v:stroke dashstyle="solid"/>
            </v:line>
            <v:shape style="position:absolute;left:3235;top:1412;width:459;height:120" coordorigin="3235,1413" coordsize="459,120" path="m3365,1413l3235,1413,3235,1533,3365,1533,3365,1413m3694,1413l3562,1413,3562,1533,3694,1533,3694,1413e" filled="true" fillcolor="#8b0d21" stroked="false">
              <v:path arrowok="t"/>
              <v:fill type="solid"/>
            </v:shape>
            <v:line style="position:absolute" from="3954,1343" to="3954,1521" stroked="true" strokeweight="6.6pt" strokecolor="#8b0d21">
              <v:stroke dashstyle="solid"/>
            </v:line>
            <v:rect style="position:absolute;left:4216;top:1520;width:130;height:12" filled="true" fillcolor="#8b0d21" stroked="false">
              <v:fill type="solid"/>
            </v:rect>
            <v:line style="position:absolute" from="4608,1060" to="4608,1357" stroked="true" strokeweight="6.48pt" strokecolor="#8b0d21">
              <v:stroke dashstyle="solid"/>
            </v:line>
            <v:rect style="position:absolute;left:4869;top:1614;width:132;height:27" filled="true" fillcolor="#8b0d21" stroked="false">
              <v:fill type="solid"/>
            </v:rect>
            <v:line style="position:absolute" from="5262,993" to="5262,1533" stroked="true" strokeweight="6.6pt" strokecolor="#8b0d21">
              <v:stroke dashstyle="solid"/>
            </v:line>
            <v:shape style="position:absolute;left:5589;top:858;width:327;height:1203" coordorigin="5590,858" coordsize="327,1203" path="m5590,858l5590,1506m5916,1533l5916,2061e" filled="false" stroked="true" strokeweight="6.48pt" strokecolor="#8b0d21">
              <v:path arrowok="t"/>
              <v:stroke dashstyle="solid"/>
            </v:shape>
            <v:shape style="position:absolute;left:6243;top:750;width:327;height:783" coordorigin="6244,750" coordsize="327,783" path="m6244,1156l6244,1533m6570,750l6570,1533e" filled="false" stroked="true" strokeweight="6.6pt" strokecolor="#8b0d21">
              <v:path arrowok="t"/>
              <v:stroke dashstyle="solid"/>
            </v:shape>
            <v:shape style="position:absolute;left:6897;top:966;width:327;height:1054" coordorigin="6898,966" coordsize="327,1054" path="m6898,966l6898,1480m7224,1533l7224,2020e" filled="false" stroked="true" strokeweight="6.48pt" strokecolor="#8b0d21">
              <v:path arrowok="t"/>
              <v:stroke dashstyle="solid"/>
            </v:shape>
            <v:line style="position:absolute" from="7552,844" to="7552,1521" stroked="true" strokeweight="6.6pt" strokecolor="#8b0d21">
              <v:stroke dashstyle="solid"/>
            </v:line>
            <v:line style="position:absolute" from="7878,1561" to="7878,1871" stroked="true" strokeweight="6.6pt" strokecolor="#8b0d21">
              <v:stroke dashstyle="solid"/>
            </v:line>
            <v:rect style="position:absolute;left:8140;top:1479;width:130;height:53" filled="true" fillcolor="#8b0d21" stroked="false">
              <v:fill type="solid"/>
            </v:rect>
            <v:shape style="position:absolute;left:8533;top:1074;width:327;height:459" coordorigin="8533,1074" coordsize="327,459" path="m8533,1317l8533,1480m8860,1074l8860,1533e" filled="false" stroked="true" strokeweight="6.6pt" strokecolor="#8b0d21">
              <v:path arrowok="t"/>
              <v:stroke dashstyle="solid"/>
            </v:shape>
            <v:line style="position:absolute" from="2320,993" to="2320,1533" stroked="true" strokeweight="6.6pt" strokecolor="#086939">
              <v:stroke dashstyle="solid"/>
            </v:line>
            <v:line style="position:absolute" from="2974,1533" to="2974,2697" stroked="true" strokeweight="6.48pt" strokecolor="#086939">
              <v:stroke dashstyle="solid"/>
            </v:line>
            <v:line style="position:absolute" from="3300,654" to="3300,1413" stroked="true" strokeweight="6.48pt" strokecolor="#086939">
              <v:stroke dashstyle="solid"/>
            </v:line>
            <v:shape style="position:absolute;left:3627;top:1114;width:327;height:704" coordorigin="3628,1115" coordsize="327,704" path="m3628,1547l3628,1818m3954,1115l3954,1343e" filled="false" stroked="true" strokeweight="6.6pt" strokecolor="#086939">
              <v:path arrowok="t"/>
              <v:stroke dashstyle="solid"/>
            </v:shape>
            <v:line style="position:absolute" from="4282,1343" to="4282,1521" stroked="true" strokeweight="6.48pt" strokecolor="#086939">
              <v:stroke dashstyle="solid"/>
            </v:line>
            <v:rect style="position:absolute;left:4543;top:925;width:130;height:135" filled="true" fillcolor="#086939" stroked="false">
              <v:fill type="solid"/>
            </v:rect>
            <v:line style="position:absolute" from="4936,1305" to="4936,1533" stroked="true" strokeweight="6.6pt" strokecolor="#086939">
              <v:stroke dashstyle="solid"/>
            </v:line>
            <v:line style="position:absolute" from="5262,1641" to="5262,1885" stroked="true" strokeweight="6.6pt" strokecolor="#086939">
              <v:stroke dashstyle="solid"/>
            </v:line>
            <v:line style="position:absolute" from="5590,1533" to="5590,2075" stroked="true" strokeweight="6.48pt" strokecolor="#086939">
              <v:stroke dashstyle="solid"/>
            </v:line>
            <v:rect style="position:absolute;left:5851;top:2060;width:130;height:135" filled="true" fillcolor="#086939" stroked="false">
              <v:fill type="solid"/>
            </v:rect>
            <v:shape style="position:absolute;left:6243;top:478;width:327;height:1772" coordorigin="6244,479" coordsize="327,1772" path="m6244,479l6244,1156m6570,1547l6570,2250e" filled="false" stroked="true" strokeweight="6.6pt" strokecolor="#086939">
              <v:path arrowok="t"/>
              <v:stroke dashstyle="solid"/>
            </v:shape>
            <v:shape style="position:absolute;left:6897;top:966;width:327;height:783" coordorigin="6898,966" coordsize="327,783" path="m6898,1533l6898,1749m7224,966l7224,1506e" filled="false" stroked="true" strokeweight="6.48pt" strokecolor="#086939">
              <v:path arrowok="t"/>
              <v:stroke dashstyle="solid"/>
            </v:shape>
            <v:line style="position:absolute" from="7552,1533" to="7552,1804" stroked="true" strokeweight="6.6pt" strokecolor="#086939">
              <v:stroke dashstyle="solid"/>
            </v:line>
            <v:rect style="position:absolute;left:7812;top:1870;width:132;height:108" filled="true" fillcolor="#086939" stroked="false">
              <v:fill type="solid"/>
            </v:rect>
            <v:line style="position:absolute" from="8206,1588" to="8206,2005" stroked="true" strokeweight="6.48pt" strokecolor="#086939">
              <v:stroke dashstyle="solid"/>
            </v:line>
            <v:shape style="position:absolute;left:8533;top:1532;width:327;height:908" coordorigin="8533,1533" coordsize="327,908" path="m8533,1533l8533,2440m8860,1561l8860,1979e" filled="false" stroked="true" strokeweight="6.6pt" strokecolor="#086939">
              <v:path arrowok="t"/>
              <v:stroke dashstyle="solid"/>
            </v:shape>
            <v:rect style="position:absolute;left:2253;top:858;width:132;height:135" filled="true" fillcolor="#d6c700" stroked="false">
              <v:fill type="solid"/>
            </v:rect>
            <v:line style="position:absolute" from="2646,1182" to="2646,1372" stroked="true" strokeweight="6.6pt" strokecolor="#d6c700">
              <v:stroke dashstyle="solid"/>
            </v:line>
            <v:line style="position:absolute" from="2974,899" to="2974,1264" stroked="true" strokeweight="6.48pt" strokecolor="#d6c700">
              <v:stroke dashstyle="solid"/>
            </v:line>
            <v:line style="position:absolute" from="3300,330" to="3300,654" stroked="true" strokeweight="6.48pt" strokecolor="#d6c700">
              <v:stroke dashstyle="solid"/>
            </v:line>
            <v:shape style="position:absolute;left:3627;top:654;width:327;height:759" coordorigin="3628,654" coordsize="327,759" path="m3628,695l3628,1413m3954,654l3954,1115e" filled="false" stroked="true" strokeweight="6.6pt" strokecolor="#d6c700">
              <v:path arrowok="t"/>
              <v:stroke dashstyle="solid"/>
            </v:shape>
            <v:line style="position:absolute" from="4282,1045" to="4282,1343" stroked="true" strokeweight="6.48pt" strokecolor="#d6c700">
              <v:stroke dashstyle="solid"/>
            </v:line>
            <v:rect style="position:absolute;left:4543;top:858;width:130;height:68" filled="true" fillcolor="#d6c700" stroked="false">
              <v:fill type="solid"/>
            </v:rect>
            <v:line style="position:absolute" from="4936,1168" to="4936,1305" stroked="true" strokeweight="6.6pt" strokecolor="#d6c700">
              <v:stroke dashstyle="solid"/>
            </v:line>
            <v:line style="position:absolute" from="5262,628" to="5262,993" stroked="true" strokeweight="6.6pt" strokecolor="#d6c700">
              <v:stroke dashstyle="solid"/>
            </v:line>
            <v:shape style="position:absolute;left:5589;top:572;width:327;height:800" coordorigin="5590,573" coordsize="327,800" path="m5590,573l5590,858m5916,736l5916,1372e" filled="false" stroked="true" strokeweight="6.48pt" strokecolor="#d6c700">
              <v:path arrowok="t"/>
              <v:stroke dashstyle="solid"/>
            </v:shape>
            <v:rect style="position:absolute;left:6177;top:344;width:132;height:135" filled="true" fillcolor="#d6c700" stroked="false">
              <v:fill type="solid"/>
            </v:rect>
            <v:line style="position:absolute" from="6570,532" to="6570,750" stroked="true" strokeweight="6.6pt" strokecolor="#d6c700">
              <v:stroke dashstyle="solid"/>
            </v:line>
            <v:rect style="position:absolute;left:6832;top:1748;width:130;height:41" filled="true" fillcolor="#d6c700" stroked="false">
              <v:fill type="solid"/>
            </v:rect>
            <v:line style="position:absolute" from="7224,587" to="7224,966" stroked="true" strokeweight="6.48pt" strokecolor="#d6c700">
              <v:stroke dashstyle="solid"/>
            </v:line>
            <v:shape style="position:absolute;left:7485;top:1803;width:459;height:216" coordorigin="7486,1804" coordsize="459,216" path="m7618,1804l7486,1804,7486,1871,7618,1871,7618,1804m7944,1979l7812,1979,7812,2020,7944,2020,7944,1979e" filled="true" fillcolor="#d6c700" stroked="false">
              <v:path arrowok="t"/>
              <v:fill type="solid"/>
            </v:shape>
            <v:line style="position:absolute" from="8206,1264" to="8206,1480" stroked="true" strokeweight="6.48pt" strokecolor="#d6c700">
              <v:stroke dashstyle="solid"/>
            </v:line>
            <v:shape style="position:absolute;left:8467;top:1033;width:459;height:284" coordorigin="8467,1033" coordsize="459,284" path="m8599,1235l8467,1235,8467,1317,8599,1317,8599,1235m8926,1033l8794,1033,8794,1074,8926,1074,8926,1033e" filled="true" fillcolor="#d6c700" stroked="false">
              <v:path arrowok="t"/>
              <v:fill type="solid"/>
            </v:shape>
            <v:line style="position:absolute" from="2320,1938" to="2320,2349" stroked="true" strokeweight="6.6pt" strokecolor="#77923b">
              <v:stroke dashstyle="solid"/>
            </v:line>
            <v:rect style="position:absolute;left:2580;top:1162;width:132;height:20" filled="true" fillcolor="#77923b" stroked="false">
              <v:fill type="solid"/>
            </v:rect>
            <v:line style="position:absolute" from="2974,429" to="2974,899" stroked="true" strokeweight="6.48pt" strokecolor="#77923b">
              <v:stroke dashstyle="solid"/>
            </v:line>
            <v:line style="position:absolute" from="3300,1708" to="3300,2437" stroked="true" strokeweight="6.48pt" strokecolor="#77923b">
              <v:stroke dashstyle="solid"/>
            </v:line>
            <v:rect style="position:absolute;left:3561;top:1818;width:132;height:60" filled="true" fillcolor="#77923b" stroked="false">
              <v:fill type="solid"/>
            </v:rect>
            <v:line style="position:absolute" from="3954,1533" to="3954,2041" stroked="true" strokeweight="6.6pt" strokecolor="#77923b">
              <v:stroke dashstyle="solid"/>
            </v:line>
            <v:rect style="position:absolute;left:4216;top:942;width:130;height:104" filled="true" fillcolor="#77923b" stroked="false">
              <v:fill type="solid"/>
            </v:rect>
            <v:line style="position:absolute" from="4608,1533" to="4608,1888" stroked="true" strokeweight="6.48pt" strokecolor="#77923b">
              <v:stroke dashstyle="solid"/>
            </v:line>
            <v:shape style="position:absolute;left:4869;top:1134;width:459;height:797" coordorigin="4870,1134" coordsize="459,797" path="m5002,1134l4870,1134,4870,1168,5002,1168,5002,1134m5328,1885l5196,1885,5196,1931,5328,1931,5328,1885e" filled="true" fillcolor="#77923b" stroked="false">
              <v:path arrowok="t"/>
              <v:fill type="solid"/>
            </v:shape>
            <v:shape style="position:absolute;left:5589;top:118;width:327;height:617" coordorigin="5590,119" coordsize="327,617" path="m5590,345l5590,573m5916,119l5916,736e" filled="false" stroked="true" strokeweight="6.48pt" strokecolor="#77923b">
              <v:path arrowok="t"/>
              <v:stroke dashstyle="solid"/>
            </v:shape>
            <v:shape style="position:absolute;left:6243;top:238;width:327;height:1976" coordorigin="6244,239" coordsize="327,1976" path="m6244,1561l6244,2214m6570,239l6570,532e" filled="false" stroked="true" strokeweight="6.6pt" strokecolor="#77923b">
              <v:path arrowok="t"/>
              <v:stroke dashstyle="solid"/>
            </v:shape>
            <v:shape style="position:absolute;left:6897;top:771;width:327;height:1445" coordorigin="6898,772" coordsize="327,1445" path="m6898,772l6898,966m7224,2020l7224,2217e" filled="false" stroked="true" strokeweight="6.48pt" strokecolor="#77923b">
              <v:path arrowok="t"/>
              <v:stroke dashstyle="solid"/>
            </v:shape>
            <v:line style="position:absolute" from="7552,1871" to="7552,2188" stroked="true" strokeweight="6.6pt" strokecolor="#77923b">
              <v:stroke dashstyle="solid"/>
            </v:line>
            <v:line style="position:absolute" from="7878,1213" to="7878,1533" stroked="true" strokeweight="6.6pt" strokecolor="#77923b">
              <v:stroke dashstyle="solid"/>
            </v:line>
            <v:rect style="position:absolute;left:8140;top:1177;width:130;height:87" filled="true" fillcolor="#77923b" stroked="false">
              <v:fill type="solid"/>
            </v:rect>
            <v:line style="position:absolute" from="8533,467" to="8533,1235" stroked="true" strokeweight="6.6pt" strokecolor="#77923b">
              <v:stroke dashstyle="solid"/>
            </v:line>
            <v:rect style="position:absolute;left:8793;top:1978;width:132;height:12" filled="true" fillcolor="#77923b" stroked="false">
              <v:fill type="solid"/>
            </v:rect>
            <v:shape style="position:absolute;left:2105;top:-90;width:6969;height:2975" coordorigin="2105,-89" coordsize="6969,2975" path="m9023,2885l9023,-89m9023,2885l9074,2885m9023,2142l9074,2142m9023,1398l9074,1398m9023,654l9074,654m9023,-89l9074,-89m2156,2885l2156,-89m2105,2885l2156,2885m2105,2209l2156,2209m2105,1533l2156,1533m2105,858l2156,858m2105,181l2156,181e" filled="false" stroked="true" strokeweight=".25pt" strokecolor="#000000">
              <v:path arrowok="t"/>
              <v:stroke dashstyle="solid"/>
            </v:shape>
            <v:shape style="position:absolute;left:2156;top:1533;width:6868;height:51" coordorigin="2156,1533" coordsize="6868,51" path="m2156,1533l9023,1533m2156,1533l2156,1584m2484,1533l2484,1584m2810,1533l2810,1584m3137,1533l3137,1584m3463,1533l3463,1584m3792,1533l3792,1584m4118,1533l4118,1584m4445,1533l4445,1584m4771,1533l4771,1584m5100,1533l5100,1584m5426,1533l5426,1584m5753,1533l5753,1584m6079,1533l6079,1584m6408,1533l6408,1584m6734,1533l6734,1584m7061,1533l7061,1584m7387,1533l7387,1584m7716,1533l7716,1584m8042,1533l8042,1584m8369,1533l8369,1584m8695,1533l8695,1584m9023,1533l9023,1584e" filled="false" stroked="true" strokeweight=".75pt" strokecolor="#858585">
              <v:path arrowok="t"/>
              <v:stroke dashstyle="solid"/>
            </v:shape>
            <v:shape style="position:absolute;left:2319;top:579;width:6540;height:997" coordorigin="2320,580" coordsize="6540,997" path="m2320,1547l2647,1041,2974,1458,3300,1072,3626,832,3955,997,4282,832,4608,1041,4934,1072,5263,832,5590,700,5916,580,6242,832,6571,774,6898,832,7224,1101,7550,1353,7879,1577,8206,1518,8532,1221,8860,1353e" filled="false" stroked="true" strokeweight="2.25pt" strokecolor="#000000">
              <v:path arrowok="t"/>
              <v:stroke dashstyle="solid"/>
            </v:shape>
            <w10:wrap type="none"/>
          </v:group>
        </w:pict>
      </w:r>
      <w:r>
        <w:rPr>
          <w:rFonts w:ascii="Calibri"/>
          <w:sz w:val="16"/>
        </w:rPr>
        <w:t>1,0</w:t>
      </w:r>
    </w:p>
    <w:p>
      <w:pPr>
        <w:pStyle w:val="BodyText"/>
        <w:spacing w:before="2"/>
        <w:rPr>
          <w:rFonts w:ascii="Calibri"/>
          <w:sz w:val="17"/>
        </w:rPr>
      </w:pPr>
    </w:p>
    <w:p>
      <w:pPr>
        <w:spacing w:before="69"/>
        <w:ind w:left="8033" w:right="0" w:firstLine="0"/>
        <w:jc w:val="left"/>
        <w:rPr>
          <w:rFonts w:ascii="Calibri"/>
          <w:sz w:val="16"/>
        </w:rPr>
      </w:pPr>
      <w:r>
        <w:rPr/>
        <w:pict>
          <v:shape style="position:absolute;margin-left:77.167999pt;margin-top:4.534535pt;width:10.1pt;height:83.05pt;mso-position-horizontal-relative:page;mso-position-vertical-relative:paragraph;z-index:251740160" type="#_x0000_t202" filled="false" stroked="false">
            <v:textbox inset="0,0,0,0" style="layout-flow:vertical;mso-layout-flow-alt:bottom-to-top">
              <w:txbxContent>
                <w:p>
                  <w:pPr>
                    <w:spacing w:line="184" w:lineRule="exact" w:before="0"/>
                    <w:ind w:left="20" w:right="0" w:firstLine="0"/>
                    <w:jc w:val="left"/>
                    <w:rPr>
                      <w:rFonts w:ascii="Calibri"/>
                      <w:b/>
                      <w:sz w:val="16"/>
                    </w:rPr>
                  </w:pPr>
                  <w:r>
                    <w:rPr>
                      <w:rFonts w:ascii="Calibri"/>
                      <w:b/>
                      <w:sz w:val="16"/>
                    </w:rPr>
                    <w:t>punti percentuali del PIL</w:t>
                  </w:r>
                </w:p>
              </w:txbxContent>
            </v:textbox>
            <w10:wrap type="none"/>
          </v:shape>
        </w:pict>
      </w:r>
      <w:r>
        <w:rPr>
          <w:rFonts w:ascii="Calibri"/>
          <w:sz w:val="16"/>
        </w:rPr>
        <w:t>0,5</w:t>
      </w:r>
    </w:p>
    <w:p>
      <w:pPr>
        <w:spacing w:before="7"/>
        <w:ind w:left="665" w:right="0" w:firstLine="0"/>
        <w:jc w:val="left"/>
        <w:rPr>
          <w:rFonts w:ascii="Calibri"/>
          <w:sz w:val="16"/>
        </w:rPr>
      </w:pPr>
      <w:r>
        <w:rPr>
          <w:rFonts w:ascii="Calibri"/>
          <w:sz w:val="16"/>
        </w:rPr>
        <w:t>0,5</w:t>
      </w:r>
    </w:p>
    <w:p>
      <w:pPr>
        <w:pStyle w:val="BodyText"/>
        <w:spacing w:before="8"/>
        <w:rPr>
          <w:rFonts w:ascii="Calibri"/>
        </w:rPr>
      </w:pPr>
    </w:p>
    <w:p>
      <w:pPr>
        <w:spacing w:line="165" w:lineRule="exact" w:before="69"/>
        <w:ind w:left="8033" w:right="0" w:firstLine="0"/>
        <w:jc w:val="left"/>
        <w:rPr>
          <w:rFonts w:ascii="Calibri"/>
          <w:sz w:val="16"/>
        </w:rPr>
      </w:pPr>
      <w:r>
        <w:rPr/>
        <w:pict>
          <v:shape style="position:absolute;margin-left:466.971985pt;margin-top:-7.816987pt;width:10.1pt;height:33.25pt;mso-position-horizontal-relative:page;mso-position-vertical-relative:paragraph;z-index:251741184" type="#_x0000_t202" filled="false" stroked="false">
            <v:textbox inset="0,0,0,0" style="layout-flow:vertical;mso-layout-flow-alt:bottom-to-top">
              <w:txbxContent>
                <w:p>
                  <w:pPr>
                    <w:spacing w:line="184" w:lineRule="exact" w:before="0"/>
                    <w:ind w:left="20" w:right="0" w:firstLine="0"/>
                    <w:jc w:val="left"/>
                    <w:rPr>
                      <w:rFonts w:ascii="Calibri"/>
                      <w:b/>
                      <w:sz w:val="16"/>
                    </w:rPr>
                  </w:pPr>
                  <w:r>
                    <w:rPr>
                      <w:rFonts w:ascii="Calibri"/>
                      <w:b/>
                      <w:sz w:val="16"/>
                    </w:rPr>
                    <w:t>var. % t/t</w:t>
                  </w:r>
                </w:p>
              </w:txbxContent>
            </v:textbox>
            <w10:wrap type="none"/>
          </v:shape>
        </w:pict>
      </w:r>
      <w:r>
        <w:rPr>
          <w:rFonts w:ascii="Calibri"/>
          <w:w w:val="100"/>
          <w:sz w:val="16"/>
        </w:rPr>
        <w:t>0</w:t>
      </w:r>
    </w:p>
    <w:p>
      <w:pPr>
        <w:spacing w:line="165" w:lineRule="exact" w:before="0"/>
        <w:ind w:left="665" w:right="0" w:firstLine="0"/>
        <w:jc w:val="left"/>
        <w:rPr>
          <w:rFonts w:ascii="Calibri"/>
          <w:sz w:val="16"/>
        </w:rPr>
      </w:pPr>
      <w:r>
        <w:rPr>
          <w:rFonts w:ascii="Calibri"/>
          <w:sz w:val="16"/>
        </w:rPr>
        <w:t>0,0</w:t>
      </w:r>
    </w:p>
    <w:p>
      <w:pPr>
        <w:pStyle w:val="BodyText"/>
        <w:spacing w:before="2"/>
        <w:rPr>
          <w:rFonts w:ascii="Calibri"/>
          <w:sz w:val="28"/>
        </w:rPr>
      </w:pPr>
    </w:p>
    <w:p>
      <w:pPr>
        <w:spacing w:after="0"/>
        <w:rPr>
          <w:rFonts w:ascii="Calibri"/>
          <w:sz w:val="28"/>
        </w:rPr>
        <w:sectPr>
          <w:pgSz w:w="11910" w:h="16840"/>
          <w:pgMar w:header="838" w:footer="866" w:top="1100" w:bottom="1060" w:left="1140" w:right="0"/>
        </w:sectPr>
      </w:pPr>
    </w:p>
    <w:p>
      <w:pPr>
        <w:spacing w:before="136"/>
        <w:ind w:left="0" w:right="38" w:firstLine="0"/>
        <w:jc w:val="right"/>
        <w:rPr>
          <w:rFonts w:ascii="Calibri"/>
          <w:sz w:val="16"/>
        </w:rPr>
      </w:pPr>
      <w:r>
        <w:rPr>
          <w:rFonts w:ascii="Calibri"/>
          <w:sz w:val="16"/>
        </w:rPr>
        <w:t>-0,5</w:t>
      </w:r>
    </w:p>
    <w:p>
      <w:pPr>
        <w:spacing w:before="69"/>
        <w:ind w:left="616" w:right="0" w:firstLine="0"/>
        <w:jc w:val="left"/>
        <w:rPr>
          <w:rFonts w:ascii="Calibri"/>
          <w:sz w:val="16"/>
        </w:rPr>
      </w:pPr>
      <w:r>
        <w:rPr/>
        <w:br w:type="column"/>
      </w:r>
      <w:r>
        <w:rPr>
          <w:rFonts w:ascii="Calibri"/>
          <w:sz w:val="16"/>
        </w:rPr>
        <w:t>-0,5</w:t>
      </w:r>
    </w:p>
    <w:p>
      <w:pPr>
        <w:spacing w:after="0"/>
        <w:jc w:val="left"/>
        <w:rPr>
          <w:rFonts w:ascii="Calibri"/>
          <w:sz w:val="16"/>
        </w:rPr>
        <w:sectPr>
          <w:type w:val="continuous"/>
          <w:pgSz w:w="11910" w:h="16840"/>
          <w:pgMar w:top="1580" w:bottom="280" w:left="1140" w:right="0"/>
          <w:cols w:num="2" w:equalWidth="0">
            <w:col w:w="909" w:space="6507"/>
            <w:col w:w="3354"/>
          </w:cols>
        </w:sectPr>
      </w:pPr>
    </w:p>
    <w:p>
      <w:pPr>
        <w:pStyle w:val="BodyText"/>
        <w:rPr>
          <w:rFonts w:ascii="Calibri"/>
          <w:sz w:val="20"/>
        </w:rPr>
      </w:pPr>
    </w:p>
    <w:p>
      <w:pPr>
        <w:spacing w:after="0"/>
        <w:rPr>
          <w:rFonts w:ascii="Calibri"/>
          <w:sz w:val="20"/>
        </w:rPr>
        <w:sectPr>
          <w:type w:val="continuous"/>
          <w:pgSz w:w="11910" w:h="16840"/>
          <w:pgMar w:top="1580" w:bottom="280" w:left="1140" w:right="0"/>
        </w:sectPr>
      </w:pPr>
    </w:p>
    <w:p>
      <w:pPr>
        <w:pStyle w:val="BodyText"/>
        <w:spacing w:before="5"/>
        <w:rPr>
          <w:rFonts w:ascii="Calibri"/>
          <w:sz w:val="19"/>
        </w:rPr>
      </w:pPr>
    </w:p>
    <w:p>
      <w:pPr>
        <w:spacing w:before="0"/>
        <w:ind w:left="0" w:right="0" w:firstLine="0"/>
        <w:jc w:val="right"/>
        <w:rPr>
          <w:rFonts w:ascii="Calibri"/>
          <w:sz w:val="16"/>
        </w:rPr>
      </w:pPr>
      <w:r>
        <w:rPr>
          <w:rFonts w:ascii="Calibri"/>
          <w:sz w:val="16"/>
        </w:rPr>
        <w:t>-1,0</w:t>
      </w:r>
    </w:p>
    <w:p>
      <w:pPr>
        <w:pStyle w:val="BodyText"/>
        <w:spacing w:before="5"/>
        <w:rPr>
          <w:rFonts w:ascii="Calibri"/>
          <w:sz w:val="19"/>
        </w:rPr>
      </w:pPr>
      <w:r>
        <w:rPr/>
        <w:br w:type="column"/>
      </w:r>
      <w:r>
        <w:rPr>
          <w:rFonts w:ascii="Calibri"/>
          <w:sz w:val="19"/>
        </w:rPr>
      </w:r>
    </w:p>
    <w:p>
      <w:pPr>
        <w:spacing w:before="0"/>
        <w:ind w:left="7124" w:right="0" w:firstLine="0"/>
        <w:jc w:val="left"/>
        <w:rPr>
          <w:rFonts w:ascii="Calibri"/>
          <w:sz w:val="16"/>
        </w:rPr>
      </w:pPr>
      <w:r>
        <w:rPr>
          <w:rFonts w:ascii="Calibri"/>
          <w:sz w:val="16"/>
        </w:rPr>
        <w:t>-1</w:t>
      </w:r>
    </w:p>
    <w:p>
      <w:pPr>
        <w:tabs>
          <w:tab w:pos="764" w:val="left" w:leader="none"/>
          <w:tab w:pos="1418" w:val="left" w:leader="none"/>
          <w:tab w:pos="2073" w:val="left" w:leader="none"/>
          <w:tab w:pos="2727" w:val="left" w:leader="none"/>
          <w:tab w:pos="3381" w:val="left" w:leader="none"/>
          <w:tab w:pos="4035" w:val="left" w:leader="none"/>
          <w:tab w:pos="4689" w:val="left" w:leader="none"/>
          <w:tab w:pos="5343" w:val="left" w:leader="none"/>
          <w:tab w:pos="5998" w:val="left" w:leader="none"/>
          <w:tab w:pos="6651" w:val="left" w:leader="none"/>
        </w:tabs>
        <w:spacing w:line="186" w:lineRule="exact" w:before="13"/>
        <w:ind w:left="111" w:right="0" w:firstLine="0"/>
        <w:jc w:val="left"/>
        <w:rPr>
          <w:rFonts w:ascii="Calibri"/>
          <w:sz w:val="16"/>
        </w:rPr>
      </w:pPr>
      <w:r>
        <w:rPr>
          <w:rFonts w:ascii="Calibri"/>
          <w:sz w:val="16"/>
        </w:rPr>
        <w:t>2T14</w:t>
        <w:tab/>
        <w:t>4T14</w:t>
        <w:tab/>
        <w:t>2T15</w:t>
        <w:tab/>
        <w:t>4T15</w:t>
        <w:tab/>
        <w:t>2T16</w:t>
        <w:tab/>
        <w:t>4T16</w:t>
        <w:tab/>
        <w:t>2T17</w:t>
        <w:tab/>
        <w:t>4T17</w:t>
        <w:tab/>
        <w:t>2T18</w:t>
        <w:tab/>
        <w:t>4T18</w:t>
        <w:tab/>
        <w:t>2T19</w:t>
      </w:r>
    </w:p>
    <w:p>
      <w:pPr>
        <w:tabs>
          <w:tab w:pos="2785" w:val="left" w:leader="none"/>
          <w:tab w:pos="4858" w:val="left" w:leader="none"/>
        </w:tabs>
        <w:spacing w:line="297" w:lineRule="auto" w:before="0"/>
        <w:ind w:left="712" w:right="4164" w:firstLine="0"/>
        <w:jc w:val="left"/>
        <w:rPr>
          <w:rFonts w:ascii="Calibri"/>
          <w:sz w:val="16"/>
        </w:rPr>
      </w:pPr>
      <w:r>
        <w:rPr/>
        <w:pict>
          <v:line style="position:absolute;mso-position-horizontal-relative:page;mso-position-vertical-relative:paragraph;z-index:251734016" from="116.830002pt,5.280084pt" to="136.030002pt,5.280084pt" stroked="true" strokeweight="4.3942pt" strokecolor="#77923b">
            <v:stroke dashstyle="solid"/>
            <w10:wrap type="none"/>
          </v:line>
        </w:pict>
      </w:r>
      <w:r>
        <w:rPr/>
        <w:pict>
          <v:line style="position:absolute;mso-position-horizontal-relative:page;mso-position-vertical-relative:paragraph;z-index:-266272768" from="220.440002pt,5.280084pt" to="239.640002pt,5.280084pt" stroked="true" strokeweight="4.3942pt" strokecolor="#d6c700">
            <v:stroke dashstyle="solid"/>
            <w10:wrap type="none"/>
          </v:line>
        </w:pict>
      </w:r>
      <w:r>
        <w:rPr/>
        <w:pict>
          <v:line style="position:absolute;mso-position-horizontal-relative:page;mso-position-vertical-relative:paragraph;z-index:-266271744" from="324.049988pt,5.280084pt" to="343.249988pt,5.280084pt" stroked="true" strokeweight="4.3942pt" strokecolor="#086939">
            <v:stroke dashstyle="solid"/>
            <w10:wrap type="none"/>
          </v:line>
        </w:pict>
      </w:r>
      <w:r>
        <w:rPr/>
        <w:pict>
          <v:line style="position:absolute;mso-position-horizontal-relative:page;mso-position-vertical-relative:paragraph;z-index:251737088" from="116.830002pt,17.390083pt" to="136.030002pt,17.390083pt" stroked="true" strokeweight="4.3942pt" strokecolor="#8b0d21">
            <v:stroke dashstyle="solid"/>
            <w10:wrap type="none"/>
          </v:line>
        </w:pict>
      </w:r>
      <w:r>
        <w:rPr/>
        <w:pict>
          <v:line style="position:absolute;mso-position-horizontal-relative:page;mso-position-vertical-relative:paragraph;z-index:-266269696" from="220.440002pt,17.390083pt" to="239.640002pt,17.390083pt" stroked="true" strokeweight="4.3942pt" strokecolor="#dc783d">
            <v:stroke dashstyle="solid"/>
            <w10:wrap type="none"/>
          </v:line>
        </w:pict>
      </w:r>
      <w:r>
        <w:rPr/>
        <w:pict>
          <v:line style="position:absolute;mso-position-horizontal-relative:page;mso-position-vertical-relative:paragraph;z-index:-266268672" from="324.049988pt,17.397184pt" to="343.249988pt,17.397184pt" stroked="true" strokeweight="2.25pt" strokecolor="#000000">
            <v:stroke dashstyle="solid"/>
            <w10:wrap type="none"/>
          </v:line>
        </w:pict>
      </w:r>
      <w:r>
        <w:rPr>
          <w:rFonts w:ascii="Calibri"/>
          <w:sz w:val="16"/>
        </w:rPr>
        <w:t>Esportazioni</w:t>
      </w:r>
      <w:r>
        <w:rPr>
          <w:rFonts w:ascii="Calibri"/>
          <w:spacing w:val="-3"/>
          <w:sz w:val="16"/>
        </w:rPr>
        <w:t> </w:t>
      </w:r>
      <w:r>
        <w:rPr>
          <w:rFonts w:ascii="Calibri"/>
          <w:sz w:val="16"/>
        </w:rPr>
        <w:t>nette</w:t>
        <w:tab/>
        <w:t>Consumi</w:t>
      </w:r>
      <w:r>
        <w:rPr>
          <w:rFonts w:ascii="Calibri"/>
          <w:spacing w:val="-2"/>
          <w:sz w:val="16"/>
        </w:rPr>
        <w:t> </w:t>
      </w:r>
      <w:r>
        <w:rPr>
          <w:rFonts w:ascii="Calibri"/>
          <w:sz w:val="16"/>
        </w:rPr>
        <w:t>privati</w:t>
        <w:tab/>
        <w:t>Scorte Investimenti</w:t>
        <w:tab/>
        <w:t>Consumi</w:t>
      </w:r>
      <w:r>
        <w:rPr>
          <w:rFonts w:ascii="Calibri"/>
          <w:spacing w:val="-2"/>
          <w:sz w:val="16"/>
        </w:rPr>
        <w:t> </w:t>
      </w:r>
      <w:r>
        <w:rPr>
          <w:rFonts w:ascii="Calibri"/>
          <w:sz w:val="16"/>
        </w:rPr>
        <w:t>pubblici</w:t>
        <w:tab/>
        <w:t>PIL (scala</w:t>
      </w:r>
      <w:r>
        <w:rPr>
          <w:rFonts w:ascii="Calibri"/>
          <w:spacing w:val="-2"/>
          <w:sz w:val="16"/>
        </w:rPr>
        <w:t> </w:t>
      </w:r>
      <w:r>
        <w:rPr>
          <w:rFonts w:ascii="Calibri"/>
          <w:spacing w:val="-5"/>
          <w:sz w:val="16"/>
        </w:rPr>
        <w:t>dx)</w:t>
      </w:r>
    </w:p>
    <w:p>
      <w:pPr>
        <w:spacing w:after="0" w:line="297" w:lineRule="auto"/>
        <w:jc w:val="left"/>
        <w:rPr>
          <w:rFonts w:ascii="Calibri"/>
          <w:sz w:val="16"/>
        </w:rPr>
        <w:sectPr>
          <w:type w:val="continuous"/>
          <w:pgSz w:w="11910" w:h="16840"/>
          <w:pgMar w:top="1580" w:bottom="280" w:left="1140" w:right="0"/>
          <w:cols w:num="2" w:equalWidth="0">
            <w:col w:w="869" w:space="40"/>
            <w:col w:w="9861"/>
          </w:cols>
        </w:sectPr>
      </w:pPr>
    </w:p>
    <w:p>
      <w:pPr>
        <w:pStyle w:val="BodyText"/>
        <w:spacing w:before="7"/>
        <w:rPr>
          <w:rFonts w:ascii="Calibri"/>
          <w:sz w:val="5"/>
        </w:rPr>
      </w:pPr>
    </w:p>
    <w:p>
      <w:pPr>
        <w:pStyle w:val="BodyText"/>
        <w:spacing w:line="20" w:lineRule="exact"/>
        <w:ind w:left="273"/>
        <w:rPr>
          <w:rFonts w:ascii="Calibri"/>
          <w:sz w:val="2"/>
        </w:rPr>
      </w:pPr>
      <w:r>
        <w:rPr>
          <w:rFonts w:ascii="Calibri"/>
          <w:sz w:val="2"/>
        </w:rPr>
        <w:pict>
          <v:group style="width:411.1pt;height:.5pt;mso-position-horizontal-relative:char;mso-position-vertical-relative:line" coordorigin="0,0" coordsize="8222,10">
            <v:line style="position:absolute" from="0,5" to="8221,5" stroked="true" strokeweight=".48004pt" strokecolor="#000000">
              <v:stroke dashstyle="solid"/>
            </v:line>
          </v:group>
        </w:pict>
      </w:r>
      <w:r>
        <w:rPr>
          <w:rFonts w:ascii="Calibri"/>
          <w:sz w:val="2"/>
        </w:rPr>
      </w:r>
    </w:p>
    <w:p>
      <w:pPr>
        <w:spacing w:before="11"/>
        <w:ind w:left="278" w:right="0" w:firstLine="0"/>
        <w:jc w:val="left"/>
        <w:rPr>
          <w:rFonts w:ascii="Franklin Gothic Book"/>
          <w:sz w:val="16"/>
        </w:rPr>
      </w:pPr>
      <w:r>
        <w:rPr/>
        <w:pict>
          <v:line style="position:absolute;mso-position-horizontal-relative:page;mso-position-vertical-relative:paragraph;z-index:-251584512;mso-wrap-distance-left:0;mso-wrap-distance-right:0" from="70.223999pt,11.59803pt" to="482.013999pt,11.59803pt" stroked="true" strokeweight="1.44pt" strokecolor="#086d44">
            <v:stroke dashstyle="solid"/>
            <w10:wrap type="topAndBottom"/>
          </v:line>
        </w:pict>
      </w:r>
      <w:r>
        <w:rPr>
          <w:rFonts w:ascii="Franklin Gothic Book"/>
          <w:sz w:val="16"/>
        </w:rPr>
        <w:t>Fonte: ISTAT.</w:t>
      </w:r>
    </w:p>
    <w:p>
      <w:pPr>
        <w:spacing w:after="0"/>
        <w:jc w:val="left"/>
        <w:rPr>
          <w:rFonts w:ascii="Franklin Gothic Book"/>
          <w:sz w:val="16"/>
        </w:rPr>
        <w:sectPr>
          <w:type w:val="continuous"/>
          <w:pgSz w:w="11910" w:h="16840"/>
          <w:pgMar w:top="1580" w:bottom="280" w:left="1140" w:right="0"/>
        </w:sectPr>
      </w:pPr>
    </w:p>
    <w:p>
      <w:pPr>
        <w:pStyle w:val="BodyText"/>
        <w:rPr>
          <w:rFonts w:ascii="Franklin Gothic Book"/>
          <w:sz w:val="20"/>
        </w:rPr>
      </w:pPr>
    </w:p>
    <w:p>
      <w:pPr>
        <w:pStyle w:val="BodyText"/>
        <w:rPr>
          <w:rFonts w:ascii="Franklin Gothic Book"/>
          <w:sz w:val="20"/>
        </w:rPr>
      </w:pPr>
    </w:p>
    <w:p>
      <w:pPr>
        <w:pStyle w:val="BodyText"/>
        <w:spacing w:before="10"/>
        <w:rPr>
          <w:rFonts w:ascii="Franklin Gothic Book"/>
          <w:sz w:val="26"/>
        </w:rPr>
      </w:pPr>
    </w:p>
    <w:p>
      <w:pPr>
        <w:pStyle w:val="BodyText"/>
        <w:spacing w:line="252" w:lineRule="auto" w:before="101"/>
        <w:ind w:left="1128" w:right="1411" w:firstLine="453"/>
        <w:jc w:val="both"/>
      </w:pPr>
      <w:r>
        <w:rPr/>
        <w:t>Nella prima metà dell’anno, le esportazioni hanno mostrato una sostanziale tenuta nonostante le tensioni innescate dalle politiche commerciali di Stati Uniti e Cina.</w:t>
      </w:r>
      <w:r>
        <w:rPr>
          <w:spacing w:val="-13"/>
        </w:rPr>
        <w:t> </w:t>
      </w:r>
      <w:r>
        <w:rPr/>
        <w:t>In</w:t>
      </w:r>
      <w:r>
        <w:rPr>
          <w:spacing w:val="-15"/>
        </w:rPr>
        <w:t> </w:t>
      </w:r>
      <w:r>
        <w:rPr/>
        <w:t>particolare</w:t>
      </w:r>
      <w:r>
        <w:rPr>
          <w:spacing w:val="-14"/>
        </w:rPr>
        <w:t> </w:t>
      </w:r>
      <w:r>
        <w:rPr/>
        <w:t>le</w:t>
      </w:r>
      <w:r>
        <w:rPr>
          <w:spacing w:val="-16"/>
        </w:rPr>
        <w:t> </w:t>
      </w:r>
      <w:r>
        <w:rPr/>
        <w:t>esportazioni</w:t>
      </w:r>
      <w:r>
        <w:rPr>
          <w:spacing w:val="-13"/>
        </w:rPr>
        <w:t> </w:t>
      </w:r>
      <w:r>
        <w:rPr/>
        <w:t>hanno</w:t>
      </w:r>
      <w:r>
        <w:rPr>
          <w:spacing w:val="-13"/>
        </w:rPr>
        <w:t> </w:t>
      </w:r>
      <w:r>
        <w:rPr/>
        <w:t>beneficiato</w:t>
      </w:r>
      <w:r>
        <w:rPr>
          <w:spacing w:val="-14"/>
        </w:rPr>
        <w:t> </w:t>
      </w:r>
      <w:r>
        <w:rPr/>
        <w:t>dell’aumento</w:t>
      </w:r>
      <w:r>
        <w:rPr>
          <w:spacing w:val="-13"/>
        </w:rPr>
        <w:t> </w:t>
      </w:r>
      <w:r>
        <w:rPr/>
        <w:t>di</w:t>
      </w:r>
      <w:r>
        <w:rPr>
          <w:spacing w:val="-13"/>
        </w:rPr>
        <w:t> </w:t>
      </w:r>
      <w:r>
        <w:rPr/>
        <w:t>quelle</w:t>
      </w:r>
      <w:r>
        <w:rPr>
          <w:spacing w:val="-14"/>
        </w:rPr>
        <w:t> </w:t>
      </w:r>
      <w:r>
        <w:rPr/>
        <w:t>di</w:t>
      </w:r>
      <w:r>
        <w:rPr>
          <w:spacing w:val="-13"/>
        </w:rPr>
        <w:t> </w:t>
      </w:r>
      <w:r>
        <w:rPr/>
        <w:t>beni mentre</w:t>
      </w:r>
      <w:r>
        <w:rPr>
          <w:spacing w:val="-7"/>
        </w:rPr>
        <w:t> </w:t>
      </w:r>
      <w:r>
        <w:rPr/>
        <w:t>quelle</w:t>
      </w:r>
      <w:r>
        <w:rPr>
          <w:spacing w:val="-8"/>
        </w:rPr>
        <w:t> </w:t>
      </w:r>
      <w:r>
        <w:rPr/>
        <w:t>di</w:t>
      </w:r>
      <w:r>
        <w:rPr>
          <w:spacing w:val="-11"/>
        </w:rPr>
        <w:t> </w:t>
      </w:r>
      <w:r>
        <w:rPr/>
        <w:t>servizi</w:t>
      </w:r>
      <w:r>
        <w:rPr>
          <w:spacing w:val="-9"/>
        </w:rPr>
        <w:t> </w:t>
      </w:r>
      <w:r>
        <w:rPr/>
        <w:t>hanno</w:t>
      </w:r>
      <w:r>
        <w:rPr>
          <w:spacing w:val="-8"/>
        </w:rPr>
        <w:t> </w:t>
      </w:r>
      <w:r>
        <w:rPr/>
        <w:t>registrato</w:t>
      </w:r>
      <w:r>
        <w:rPr>
          <w:spacing w:val="-9"/>
        </w:rPr>
        <w:t> </w:t>
      </w:r>
      <w:r>
        <w:rPr/>
        <w:t>una</w:t>
      </w:r>
      <w:r>
        <w:rPr>
          <w:spacing w:val="-7"/>
        </w:rPr>
        <w:t> </w:t>
      </w:r>
      <w:r>
        <w:rPr/>
        <w:t>flessione.</w:t>
      </w:r>
      <w:r>
        <w:rPr>
          <w:spacing w:val="-7"/>
        </w:rPr>
        <w:t> </w:t>
      </w:r>
      <w:r>
        <w:rPr/>
        <w:t>La</w:t>
      </w:r>
      <w:r>
        <w:rPr>
          <w:spacing w:val="-10"/>
        </w:rPr>
        <w:t> </w:t>
      </w:r>
      <w:r>
        <w:rPr/>
        <w:t>performance</w:t>
      </w:r>
      <w:r>
        <w:rPr>
          <w:spacing w:val="-9"/>
        </w:rPr>
        <w:t> </w:t>
      </w:r>
      <w:r>
        <w:rPr/>
        <w:t>delle</w:t>
      </w:r>
      <w:r>
        <w:rPr>
          <w:spacing w:val="-8"/>
        </w:rPr>
        <w:t> </w:t>
      </w:r>
      <w:r>
        <w:rPr/>
        <w:t>prime è</w:t>
      </w:r>
      <w:r>
        <w:rPr>
          <w:spacing w:val="-12"/>
        </w:rPr>
        <w:t> </w:t>
      </w:r>
      <w:r>
        <w:rPr/>
        <w:t>stata</w:t>
      </w:r>
      <w:r>
        <w:rPr>
          <w:spacing w:val="-12"/>
        </w:rPr>
        <w:t> </w:t>
      </w:r>
      <w:r>
        <w:rPr/>
        <w:t>influenzata</w:t>
      </w:r>
      <w:r>
        <w:rPr>
          <w:spacing w:val="-11"/>
        </w:rPr>
        <w:t> </w:t>
      </w:r>
      <w:r>
        <w:rPr/>
        <w:t>anche</w:t>
      </w:r>
      <w:r>
        <w:rPr>
          <w:spacing w:val="-12"/>
        </w:rPr>
        <w:t> </w:t>
      </w:r>
      <w:r>
        <w:rPr/>
        <w:t>da</w:t>
      </w:r>
      <w:r>
        <w:rPr>
          <w:spacing w:val="-11"/>
        </w:rPr>
        <w:t> </w:t>
      </w:r>
      <w:r>
        <w:rPr/>
        <w:t>fattori</w:t>
      </w:r>
      <w:r>
        <w:rPr>
          <w:spacing w:val="-11"/>
        </w:rPr>
        <w:t> </w:t>
      </w:r>
      <w:r>
        <w:rPr/>
        <w:t>temporanei</w:t>
      </w:r>
      <w:r>
        <w:rPr>
          <w:spacing w:val="-9"/>
        </w:rPr>
        <w:t> </w:t>
      </w:r>
      <w:r>
        <w:rPr/>
        <w:t>quali</w:t>
      </w:r>
      <w:r>
        <w:rPr>
          <w:spacing w:val="-12"/>
        </w:rPr>
        <w:t> </w:t>
      </w:r>
      <w:r>
        <w:rPr/>
        <w:t>l’aumento</w:t>
      </w:r>
      <w:r>
        <w:rPr>
          <w:spacing w:val="-11"/>
        </w:rPr>
        <w:t> </w:t>
      </w:r>
      <w:r>
        <w:rPr/>
        <w:t>delle</w:t>
      </w:r>
      <w:r>
        <w:rPr>
          <w:spacing w:val="-12"/>
        </w:rPr>
        <w:t> </w:t>
      </w:r>
      <w:r>
        <w:rPr/>
        <w:t>scorte</w:t>
      </w:r>
      <w:r>
        <w:rPr>
          <w:spacing w:val="-11"/>
        </w:rPr>
        <w:t> </w:t>
      </w:r>
      <w:r>
        <w:rPr/>
        <w:t>di</w:t>
      </w:r>
      <w:r>
        <w:rPr>
          <w:spacing w:val="-12"/>
        </w:rPr>
        <w:t> </w:t>
      </w:r>
      <w:r>
        <w:rPr/>
        <w:t>beni d’importazione da parte degli Stati Uniti e del Regno Unito per fronteggiare, rispettivamente, i rischi derivanti dall’eventuale aumento dei dazi e dalla </w:t>
      </w:r>
      <w:r>
        <w:rPr>
          <w:i/>
        </w:rPr>
        <w:t>Brexit</w:t>
      </w:r>
      <w:r>
        <w:rPr/>
        <w:t>. La debolezza della domanda interna, in particolare degli investimenti, ha invece inciso sulla dinamica delle importazioni che nel 1T19 hanno registrato un sensibile calo. Di conseguenza il contributo delle esportazioni nette alla crescita nel 2019 risulterà</w:t>
      </w:r>
      <w:r>
        <w:rPr>
          <w:spacing w:val="-1"/>
        </w:rPr>
        <w:t> </w:t>
      </w:r>
      <w:r>
        <w:rPr/>
        <w:t>significativo.</w:t>
      </w:r>
    </w:p>
    <w:p>
      <w:pPr>
        <w:pStyle w:val="BodyText"/>
        <w:spacing w:before="1"/>
        <w:rPr>
          <w:sz w:val="23"/>
        </w:rPr>
      </w:pPr>
    </w:p>
    <w:p>
      <w:pPr>
        <w:pStyle w:val="BodyText"/>
        <w:spacing w:line="252" w:lineRule="auto"/>
        <w:ind w:left="1128" w:right="1411" w:firstLine="453"/>
        <w:jc w:val="both"/>
      </w:pPr>
      <w:r>
        <w:rPr/>
        <w:t>Riguardo la produzione settoriale, la stagnazione è legata principalmente al venir meno del contributo del comparto manifatturiero, la cui espansione è stata robusta</w:t>
      </w:r>
      <w:r>
        <w:rPr>
          <w:spacing w:val="-20"/>
        </w:rPr>
        <w:t> </w:t>
      </w:r>
      <w:r>
        <w:rPr/>
        <w:t>fino</w:t>
      </w:r>
      <w:r>
        <w:rPr>
          <w:spacing w:val="-19"/>
        </w:rPr>
        <w:t> </w:t>
      </w:r>
      <w:r>
        <w:rPr/>
        <w:t>al</w:t>
      </w:r>
      <w:r>
        <w:rPr>
          <w:spacing w:val="-19"/>
        </w:rPr>
        <w:t> </w:t>
      </w:r>
      <w:r>
        <w:rPr/>
        <w:t>2017.</w:t>
      </w:r>
      <w:r>
        <w:rPr>
          <w:spacing w:val="-18"/>
        </w:rPr>
        <w:t> </w:t>
      </w:r>
      <w:r>
        <w:rPr/>
        <w:t>Tale</w:t>
      </w:r>
      <w:r>
        <w:rPr>
          <w:spacing w:val="-19"/>
        </w:rPr>
        <w:t> </w:t>
      </w:r>
      <w:r>
        <w:rPr/>
        <w:t>settore</w:t>
      </w:r>
      <w:r>
        <w:rPr>
          <w:spacing w:val="-18"/>
        </w:rPr>
        <w:t> </w:t>
      </w:r>
      <w:r>
        <w:rPr/>
        <w:t>è</w:t>
      </w:r>
      <w:r>
        <w:rPr>
          <w:spacing w:val="-19"/>
        </w:rPr>
        <w:t> </w:t>
      </w:r>
      <w:r>
        <w:rPr/>
        <w:t>quello</w:t>
      </w:r>
      <w:r>
        <w:rPr>
          <w:spacing w:val="-20"/>
        </w:rPr>
        <w:t> </w:t>
      </w:r>
      <w:r>
        <w:rPr/>
        <w:t>che</w:t>
      </w:r>
      <w:r>
        <w:rPr>
          <w:spacing w:val="-19"/>
        </w:rPr>
        <w:t> </w:t>
      </w:r>
      <w:r>
        <w:rPr/>
        <w:t>sta</w:t>
      </w:r>
      <w:r>
        <w:rPr>
          <w:spacing w:val="-19"/>
        </w:rPr>
        <w:t> </w:t>
      </w:r>
      <w:r>
        <w:rPr/>
        <w:t>più</w:t>
      </w:r>
      <w:r>
        <w:rPr>
          <w:spacing w:val="-19"/>
        </w:rPr>
        <w:t> </w:t>
      </w:r>
      <w:r>
        <w:rPr/>
        <w:t>risentendo</w:t>
      </w:r>
      <w:r>
        <w:rPr>
          <w:spacing w:val="-20"/>
        </w:rPr>
        <w:t> </w:t>
      </w:r>
      <w:r>
        <w:rPr/>
        <w:t>della</w:t>
      </w:r>
      <w:r>
        <w:rPr>
          <w:spacing w:val="-19"/>
        </w:rPr>
        <w:t> </w:t>
      </w:r>
      <w:r>
        <w:rPr/>
        <w:t>decelerazione degli</w:t>
      </w:r>
      <w:r>
        <w:rPr>
          <w:spacing w:val="-7"/>
        </w:rPr>
        <w:t> </w:t>
      </w:r>
      <w:r>
        <w:rPr/>
        <w:t>scambi</w:t>
      </w:r>
      <w:r>
        <w:rPr>
          <w:spacing w:val="-8"/>
        </w:rPr>
        <w:t> </w:t>
      </w:r>
      <w:r>
        <w:rPr/>
        <w:t>commerciali</w:t>
      </w:r>
      <w:r>
        <w:rPr>
          <w:spacing w:val="-7"/>
        </w:rPr>
        <w:t> </w:t>
      </w:r>
      <w:r>
        <w:rPr/>
        <w:t>internazionali</w:t>
      </w:r>
      <w:r>
        <w:rPr>
          <w:spacing w:val="-6"/>
        </w:rPr>
        <w:t> </w:t>
      </w:r>
      <w:r>
        <w:rPr/>
        <w:t>e</w:t>
      </w:r>
      <w:r>
        <w:rPr>
          <w:spacing w:val="-5"/>
        </w:rPr>
        <w:t> </w:t>
      </w:r>
      <w:r>
        <w:rPr/>
        <w:t>anche</w:t>
      </w:r>
      <w:r>
        <w:rPr>
          <w:spacing w:val="-11"/>
        </w:rPr>
        <w:t> </w:t>
      </w:r>
      <w:r>
        <w:rPr/>
        <w:t>del</w:t>
      </w:r>
      <w:r>
        <w:rPr>
          <w:spacing w:val="-5"/>
        </w:rPr>
        <w:t> </w:t>
      </w:r>
      <w:r>
        <w:rPr/>
        <w:t>sensibile</w:t>
      </w:r>
      <w:r>
        <w:rPr>
          <w:spacing w:val="-5"/>
        </w:rPr>
        <w:t> </w:t>
      </w:r>
      <w:r>
        <w:rPr/>
        <w:t>calo</w:t>
      </w:r>
      <w:r>
        <w:rPr>
          <w:spacing w:val="-7"/>
        </w:rPr>
        <w:t> </w:t>
      </w:r>
      <w:r>
        <w:rPr/>
        <w:t>della</w:t>
      </w:r>
      <w:r>
        <w:rPr>
          <w:spacing w:val="-8"/>
        </w:rPr>
        <w:t> </w:t>
      </w:r>
      <w:r>
        <w:rPr/>
        <w:t>produzione tedesca. Nel primo semestre, in media, il valore aggiunto dell’industria in senso stretto si è ridotto dello 0,5 per cento su base annua. Per contro, il settore delle costruzioni ha registrato un’accelerazione sensibile, rispetto al primo semestre 2018, pari al 3,3 per cento. Il settore dei servizi ha mostrato una dinamica poco favorevole. In particolare, tutti i comparti hanno registrato variazioni tendenziali negative ad eccezione di quelli delle attività immobiliari e della ‘Pubblica amministrazione, difesa, istruzione, sanità e altre attività di</w:t>
      </w:r>
      <w:r>
        <w:rPr>
          <w:spacing w:val="-7"/>
        </w:rPr>
        <w:t> </w:t>
      </w:r>
      <w:r>
        <w:rPr/>
        <w:t>servizi’.</w:t>
      </w:r>
    </w:p>
    <w:p>
      <w:pPr>
        <w:pStyle w:val="BodyText"/>
        <w:spacing w:line="252" w:lineRule="auto" w:before="2"/>
        <w:ind w:left="1128" w:right="1411" w:firstLine="453"/>
        <w:jc w:val="both"/>
      </w:pPr>
      <w:r>
        <w:rPr/>
        <w:t>In sintesi, l’industria resta ancora colpita dalla riduzione degli scambi internazionali mentre i servizi risentono maggiormente della fase di bassa crescita della domanda interna. Nel primo semestre dell’anno la debole espansione economica è stata accompagnata da un miglioramento del mercato del lavoro, che generalmente</w:t>
      </w:r>
      <w:r>
        <w:rPr>
          <w:spacing w:val="-16"/>
        </w:rPr>
        <w:t> </w:t>
      </w:r>
      <w:r>
        <w:rPr/>
        <w:t>reagisce</w:t>
      </w:r>
      <w:r>
        <w:rPr>
          <w:spacing w:val="-17"/>
        </w:rPr>
        <w:t> </w:t>
      </w:r>
      <w:r>
        <w:rPr/>
        <w:t>con</w:t>
      </w:r>
      <w:r>
        <w:rPr>
          <w:spacing w:val="-15"/>
        </w:rPr>
        <w:t> </w:t>
      </w:r>
      <w:r>
        <w:rPr/>
        <w:t>ritardo</w:t>
      </w:r>
      <w:r>
        <w:rPr>
          <w:spacing w:val="-17"/>
        </w:rPr>
        <w:t> </w:t>
      </w:r>
      <w:r>
        <w:rPr/>
        <w:t>rispetto</w:t>
      </w:r>
      <w:r>
        <w:rPr>
          <w:spacing w:val="-15"/>
        </w:rPr>
        <w:t> </w:t>
      </w:r>
      <w:r>
        <w:rPr/>
        <w:t>al</w:t>
      </w:r>
      <w:r>
        <w:rPr>
          <w:spacing w:val="-17"/>
        </w:rPr>
        <w:t> </w:t>
      </w:r>
      <w:r>
        <w:rPr/>
        <w:t>ciclo</w:t>
      </w:r>
      <w:r>
        <w:rPr>
          <w:spacing w:val="-16"/>
        </w:rPr>
        <w:t> </w:t>
      </w:r>
      <w:r>
        <w:rPr/>
        <w:t>economico.</w:t>
      </w:r>
      <w:r>
        <w:rPr>
          <w:spacing w:val="-16"/>
        </w:rPr>
        <w:t> </w:t>
      </w:r>
      <w:r>
        <w:rPr/>
        <w:t>Gli</w:t>
      </w:r>
      <w:r>
        <w:rPr>
          <w:spacing w:val="-15"/>
        </w:rPr>
        <w:t> </w:t>
      </w:r>
      <w:r>
        <w:rPr/>
        <w:t>occupati</w:t>
      </w:r>
      <w:r>
        <w:rPr>
          <w:spacing w:val="-16"/>
        </w:rPr>
        <w:t> </w:t>
      </w:r>
      <w:r>
        <w:rPr/>
        <w:t>misurati in</w:t>
      </w:r>
      <w:r>
        <w:rPr>
          <w:spacing w:val="-18"/>
        </w:rPr>
        <w:t> </w:t>
      </w:r>
      <w:r>
        <w:rPr/>
        <w:t>unità</w:t>
      </w:r>
      <w:r>
        <w:rPr>
          <w:spacing w:val="-17"/>
        </w:rPr>
        <w:t> </w:t>
      </w:r>
      <w:r>
        <w:rPr/>
        <w:t>di</w:t>
      </w:r>
      <w:r>
        <w:rPr>
          <w:spacing w:val="-17"/>
        </w:rPr>
        <w:t> </w:t>
      </w:r>
      <w:r>
        <w:rPr/>
        <w:t>lavoro</w:t>
      </w:r>
      <w:r>
        <w:rPr>
          <w:spacing w:val="-16"/>
        </w:rPr>
        <w:t> </w:t>
      </w:r>
      <w:r>
        <w:rPr/>
        <w:t>standard</w:t>
      </w:r>
      <w:r>
        <w:rPr>
          <w:spacing w:val="-17"/>
        </w:rPr>
        <w:t> </w:t>
      </w:r>
      <w:r>
        <w:rPr/>
        <w:t>aumentano</w:t>
      </w:r>
      <w:r>
        <w:rPr>
          <w:spacing w:val="-18"/>
        </w:rPr>
        <w:t> </w:t>
      </w:r>
      <w:r>
        <w:rPr/>
        <w:t>nel</w:t>
      </w:r>
      <w:r>
        <w:rPr>
          <w:spacing w:val="-16"/>
        </w:rPr>
        <w:t> </w:t>
      </w:r>
      <w:r>
        <w:rPr/>
        <w:t>1T</w:t>
      </w:r>
      <w:r>
        <w:rPr>
          <w:spacing w:val="-17"/>
        </w:rPr>
        <w:t> </w:t>
      </w:r>
      <w:r>
        <w:rPr/>
        <w:t>del</w:t>
      </w:r>
      <w:r>
        <w:rPr>
          <w:spacing w:val="-16"/>
        </w:rPr>
        <w:t> </w:t>
      </w:r>
      <w:r>
        <w:rPr/>
        <w:t>2019</w:t>
      </w:r>
      <w:r>
        <w:rPr>
          <w:spacing w:val="-18"/>
        </w:rPr>
        <w:t> </w:t>
      </w:r>
      <w:r>
        <w:rPr/>
        <w:t>dello</w:t>
      </w:r>
      <w:r>
        <w:rPr>
          <w:spacing w:val="-17"/>
        </w:rPr>
        <w:t> </w:t>
      </w:r>
      <w:r>
        <w:rPr/>
        <w:t>0,4</w:t>
      </w:r>
      <w:r>
        <w:rPr>
          <w:spacing w:val="-17"/>
        </w:rPr>
        <w:t> </w:t>
      </w:r>
      <w:r>
        <w:rPr/>
        <w:t>per</w:t>
      </w:r>
      <w:r>
        <w:rPr>
          <w:spacing w:val="-18"/>
        </w:rPr>
        <w:t> </w:t>
      </w:r>
      <w:r>
        <w:rPr/>
        <w:t>cento</w:t>
      </w:r>
      <w:r>
        <w:rPr>
          <w:spacing w:val="-17"/>
        </w:rPr>
        <w:t> </w:t>
      </w:r>
      <w:r>
        <w:rPr/>
        <w:t>t/t</w:t>
      </w:r>
      <w:r>
        <w:rPr>
          <w:spacing w:val="-18"/>
        </w:rPr>
        <w:t> </w:t>
      </w:r>
      <w:r>
        <w:rPr/>
        <w:t>mentre sono risultati stabili nel secondo trimestre; l’incremento si concentra principalmente tra i lavoratori dipendenti. Secondo le recenti elaborazioni del Ministero del Lavoro, nel primo semestre del 2019 l’aumento delle posizioni lavorative dipendenti riguarda le posizioni a tempo indeterminato mentre quelle a tempo determinato subiscono una consistente riduzione. Il fenomeno è influenzato da un elevato livello di trasformazioni a tempo indeterminato: l’incidenza delle trasformazioni sul totale degli ingressi a tempo indeterminato raggiunge il</w:t>
      </w:r>
      <w:r>
        <w:rPr>
          <w:spacing w:val="-48"/>
        </w:rPr>
        <w:t> </w:t>
      </w:r>
      <w:r>
        <w:rPr/>
        <w:t>28,7 per cento nel 1T e il 22,4 per cento nel 2T del</w:t>
      </w:r>
      <w:r>
        <w:rPr>
          <w:spacing w:val="-7"/>
        </w:rPr>
        <w:t> </w:t>
      </w:r>
      <w:r>
        <w:rPr/>
        <w:t>2019.</w:t>
      </w:r>
    </w:p>
    <w:p>
      <w:pPr>
        <w:pStyle w:val="BodyText"/>
        <w:spacing w:line="252" w:lineRule="auto"/>
        <w:ind w:left="1128" w:right="1411" w:firstLine="453"/>
        <w:jc w:val="both"/>
      </w:pPr>
      <w:r>
        <w:rPr/>
        <w:t>I dati provenienti dall’indagine delle forze di lavoro Istat confermano una discreta crescita occupazionale, che ha interessato in particolare i dipendenti, specie</w:t>
      </w:r>
      <w:r>
        <w:rPr>
          <w:spacing w:val="-7"/>
        </w:rPr>
        <w:t> </w:t>
      </w:r>
      <w:r>
        <w:rPr/>
        <w:t>quelli</w:t>
      </w:r>
      <w:r>
        <w:rPr>
          <w:spacing w:val="-8"/>
        </w:rPr>
        <w:t> </w:t>
      </w:r>
      <w:r>
        <w:rPr/>
        <w:t>con</w:t>
      </w:r>
      <w:r>
        <w:rPr>
          <w:spacing w:val="-8"/>
        </w:rPr>
        <w:t> </w:t>
      </w:r>
      <w:r>
        <w:rPr/>
        <w:t>contratto</w:t>
      </w:r>
      <w:r>
        <w:rPr>
          <w:spacing w:val="-6"/>
        </w:rPr>
        <w:t> </w:t>
      </w:r>
      <w:r>
        <w:rPr/>
        <w:t>a</w:t>
      </w:r>
      <w:r>
        <w:rPr>
          <w:spacing w:val="-6"/>
        </w:rPr>
        <w:t> </w:t>
      </w:r>
      <w:r>
        <w:rPr/>
        <w:t>tempo</w:t>
      </w:r>
      <w:r>
        <w:rPr>
          <w:spacing w:val="-8"/>
        </w:rPr>
        <w:t> </w:t>
      </w:r>
      <w:r>
        <w:rPr/>
        <w:t>indeterminato.</w:t>
      </w:r>
      <w:r>
        <w:rPr>
          <w:spacing w:val="-4"/>
        </w:rPr>
        <w:t> </w:t>
      </w:r>
      <w:r>
        <w:rPr/>
        <w:t>D’altra</w:t>
      </w:r>
      <w:r>
        <w:rPr>
          <w:spacing w:val="-8"/>
        </w:rPr>
        <w:t> </w:t>
      </w:r>
      <w:r>
        <w:rPr/>
        <w:t>parte</w:t>
      </w:r>
      <w:r>
        <w:rPr>
          <w:spacing w:val="-6"/>
        </w:rPr>
        <w:t> </w:t>
      </w:r>
      <w:r>
        <w:rPr/>
        <w:t>l’offerta</w:t>
      </w:r>
      <w:r>
        <w:rPr>
          <w:spacing w:val="-9"/>
        </w:rPr>
        <w:t> </w:t>
      </w:r>
      <w:r>
        <w:rPr/>
        <w:t>di</w:t>
      </w:r>
      <w:r>
        <w:rPr>
          <w:spacing w:val="-9"/>
        </w:rPr>
        <w:t> </w:t>
      </w:r>
      <w:r>
        <w:rPr/>
        <w:t>lavoro è</w:t>
      </w:r>
      <w:r>
        <w:rPr>
          <w:spacing w:val="-10"/>
        </w:rPr>
        <w:t> </w:t>
      </w:r>
      <w:r>
        <w:rPr/>
        <w:t>risultata</w:t>
      </w:r>
      <w:r>
        <w:rPr>
          <w:spacing w:val="-10"/>
        </w:rPr>
        <w:t> </w:t>
      </w:r>
      <w:r>
        <w:rPr/>
        <w:t>solo</w:t>
      </w:r>
      <w:r>
        <w:rPr>
          <w:spacing w:val="-11"/>
        </w:rPr>
        <w:t> </w:t>
      </w:r>
      <w:r>
        <w:rPr/>
        <w:t>marginalmente</w:t>
      </w:r>
      <w:r>
        <w:rPr>
          <w:spacing w:val="-10"/>
        </w:rPr>
        <w:t> </w:t>
      </w:r>
      <w:r>
        <w:rPr/>
        <w:t>positiva:</w:t>
      </w:r>
      <w:r>
        <w:rPr>
          <w:spacing w:val="-8"/>
        </w:rPr>
        <w:t> </w:t>
      </w:r>
      <w:r>
        <w:rPr/>
        <w:t>ne</w:t>
      </w:r>
      <w:r>
        <w:rPr>
          <w:spacing w:val="-11"/>
        </w:rPr>
        <w:t> </w:t>
      </w:r>
      <w:r>
        <w:rPr/>
        <w:t>ha</w:t>
      </w:r>
      <w:r>
        <w:rPr>
          <w:spacing w:val="-11"/>
        </w:rPr>
        <w:t> </w:t>
      </w:r>
      <w:r>
        <w:rPr/>
        <w:t>beneficiato</w:t>
      </w:r>
      <w:r>
        <w:rPr>
          <w:spacing w:val="-11"/>
        </w:rPr>
        <w:t> </w:t>
      </w:r>
      <w:r>
        <w:rPr/>
        <w:t>il</w:t>
      </w:r>
      <w:r>
        <w:rPr>
          <w:spacing w:val="-10"/>
        </w:rPr>
        <w:t> </w:t>
      </w:r>
      <w:r>
        <w:rPr/>
        <w:t>tasso</w:t>
      </w:r>
      <w:r>
        <w:rPr>
          <w:spacing w:val="-11"/>
        </w:rPr>
        <w:t> </w:t>
      </w:r>
      <w:r>
        <w:rPr/>
        <w:t>di</w:t>
      </w:r>
      <w:r>
        <w:rPr>
          <w:spacing w:val="-11"/>
        </w:rPr>
        <w:t> </w:t>
      </w:r>
      <w:r>
        <w:rPr/>
        <w:t>disoccupazione che si è ridotto di 0,7 punti (dal 10,5 per cento del 4T 2018 al 9,8 per cento del 2T 2019). Le ultime informazioni relative al mese di luglio indicano un lieve calo congiunturale</w:t>
      </w:r>
      <w:r>
        <w:rPr>
          <w:spacing w:val="-15"/>
        </w:rPr>
        <w:t> </w:t>
      </w:r>
      <w:r>
        <w:rPr/>
        <w:t>degli</w:t>
      </w:r>
      <w:r>
        <w:rPr>
          <w:spacing w:val="-15"/>
        </w:rPr>
        <w:t> </w:t>
      </w:r>
      <w:r>
        <w:rPr/>
        <w:t>occupati;</w:t>
      </w:r>
      <w:r>
        <w:rPr>
          <w:spacing w:val="-14"/>
        </w:rPr>
        <w:t> </w:t>
      </w:r>
      <w:r>
        <w:rPr/>
        <w:t>la</w:t>
      </w:r>
      <w:r>
        <w:rPr>
          <w:spacing w:val="-15"/>
        </w:rPr>
        <w:t> </w:t>
      </w:r>
      <w:r>
        <w:rPr/>
        <w:t>crescita</w:t>
      </w:r>
      <w:r>
        <w:rPr>
          <w:spacing w:val="-15"/>
        </w:rPr>
        <w:t> </w:t>
      </w:r>
      <w:r>
        <w:rPr/>
        <w:t>su</w:t>
      </w:r>
      <w:r>
        <w:rPr>
          <w:spacing w:val="-15"/>
        </w:rPr>
        <w:t> </w:t>
      </w:r>
      <w:r>
        <w:rPr/>
        <w:t>base</w:t>
      </w:r>
      <w:r>
        <w:rPr>
          <w:spacing w:val="-20"/>
        </w:rPr>
        <w:t> </w:t>
      </w:r>
      <w:r>
        <w:rPr/>
        <w:t>annua</w:t>
      </w:r>
      <w:r>
        <w:rPr>
          <w:spacing w:val="-16"/>
        </w:rPr>
        <w:t> </w:t>
      </w:r>
      <w:r>
        <w:rPr/>
        <w:t>continua</w:t>
      </w:r>
      <w:r>
        <w:rPr>
          <w:spacing w:val="-15"/>
        </w:rPr>
        <w:t> </w:t>
      </w:r>
      <w:r>
        <w:rPr/>
        <w:t>ad</w:t>
      </w:r>
      <w:r>
        <w:rPr>
          <w:spacing w:val="-15"/>
        </w:rPr>
        <w:t> </w:t>
      </w:r>
      <w:r>
        <w:rPr/>
        <w:t>essere</w:t>
      </w:r>
      <w:r>
        <w:rPr>
          <w:spacing w:val="-15"/>
        </w:rPr>
        <w:t> </w:t>
      </w:r>
      <w:r>
        <w:rPr/>
        <w:t>moderata e di poco inferiore all’1 per cento. Il tasso di disoccupazione è aumentato di 0,1 punti percentuali rispetto a giugno, arrivando al 9,9 per cento. Il tasso di disoccupazione giovanile, nonostante il progressivo calo, si colloca appena sotto il 30 per</w:t>
      </w:r>
      <w:r>
        <w:rPr>
          <w:spacing w:val="-3"/>
        </w:rPr>
        <w:t> </w:t>
      </w:r>
      <w:r>
        <w:rPr/>
        <w:t>cento.</w:t>
      </w:r>
    </w:p>
    <w:p>
      <w:pPr>
        <w:spacing w:after="0" w:line="252" w:lineRule="auto"/>
        <w:jc w:val="both"/>
        <w:sectPr>
          <w:pgSz w:w="11910" w:h="16840"/>
          <w:pgMar w:header="838" w:footer="866" w:top="1100" w:bottom="1060" w:left="114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4"/>
        </w:rPr>
      </w:pPr>
    </w:p>
    <w:p>
      <w:pPr>
        <w:pStyle w:val="BodyText"/>
        <w:ind w:left="278"/>
        <w:rPr>
          <w:sz w:val="20"/>
        </w:rPr>
      </w:pPr>
      <w:r>
        <w:rPr>
          <w:sz w:val="20"/>
        </w:rPr>
        <w:pict>
          <v:shape style="width:411.1pt;height:23.8pt;mso-position-horizontal-relative:char;mso-position-vertical-relative:line" type="#_x0000_t202" filled="true" fillcolor="#086d44" stroked="false">
            <w10:anchorlock/>
            <v:textbox inset="0,0,0,0">
              <w:txbxContent>
                <w:p>
                  <w:pPr>
                    <w:spacing w:line="186" w:lineRule="exact" w:before="45"/>
                    <w:ind w:left="28" w:right="0" w:firstLine="0"/>
                    <w:jc w:val="left"/>
                    <w:rPr>
                      <w:rFonts w:ascii="Franklin Gothic Heavy" w:hAnsi="Franklin Gothic Heavy"/>
                      <w:b/>
                      <w:sz w:val="17"/>
                    </w:rPr>
                  </w:pPr>
                  <w:r>
                    <w:rPr>
                      <w:rFonts w:ascii="Franklin Gothic Heavy" w:hAnsi="Franklin Gothic Heavy"/>
                      <w:b/>
                      <w:color w:val="EFEFEF"/>
                      <w:sz w:val="17"/>
                    </w:rPr>
                    <w:t>FIGURA II.4: TRASFORMAZIONI DEI CONTRATTI A TEMPO INDETERMINATO PER DIMENSIONE D’AZIENDA</w:t>
                  </w:r>
                </w:p>
                <w:p>
                  <w:pPr>
                    <w:spacing w:line="186" w:lineRule="exact" w:before="0"/>
                    <w:ind w:left="28" w:right="0" w:firstLine="0"/>
                    <w:jc w:val="left"/>
                    <w:rPr>
                      <w:rFonts w:ascii="Franklin Gothic Heavy"/>
                      <w:b/>
                      <w:sz w:val="17"/>
                    </w:rPr>
                  </w:pPr>
                  <w:r>
                    <w:rPr>
                      <w:rFonts w:ascii="Franklin Gothic Heavy"/>
                      <w:b/>
                      <w:color w:val="EFEFEF"/>
                      <w:sz w:val="17"/>
                    </w:rPr>
                    <w:t>(valori assoluti in migliaia)</w:t>
                  </w:r>
                </w:p>
              </w:txbxContent>
            </v:textbox>
            <v:fill type="solid"/>
          </v:shape>
        </w:pict>
      </w:r>
      <w:r>
        <w:rPr>
          <w:sz w:val="20"/>
        </w:rPr>
      </w:r>
    </w:p>
    <w:p>
      <w:pPr>
        <w:spacing w:line="159" w:lineRule="exact" w:before="0"/>
        <w:ind w:left="489" w:right="0" w:firstLine="0"/>
        <w:jc w:val="left"/>
        <w:rPr>
          <w:rFonts w:ascii="Franklin Gothic Book"/>
          <w:sz w:val="16"/>
        </w:rPr>
      </w:pPr>
      <w:r>
        <w:rPr/>
        <w:pict>
          <v:group style="position:absolute;margin-left:100.059998pt;margin-top:3.275pt;width:352.7pt;height:163.7pt;mso-position-horizontal-relative:page;mso-position-vertical-relative:paragraph;z-index:-266262528" coordorigin="2001,66" coordsize="7054,3274">
            <v:rect style="position:absolute;left:2050;top:73;width:6956;height:3218" filled="false" stroked="true" strokeweight=".75pt" strokecolor="#000000">
              <v:stroke dashstyle="solid"/>
            </v:rect>
            <v:shape style="position:absolute;left:2107;top:395;width:6843;height:2896" coordorigin="2107,395" coordsize="6843,2896" path="m2261,1168l2107,1168,2107,3291,2261,3291,2261,1168m2530,1223l2374,1223,2374,3291,2530,3291,2530,1223m2796,1338l2640,1338,2640,3291,2796,3291,2796,1338m3065,1511l2909,1511,2909,3291,3065,3291,3065,1511m3331,1756l3175,1756,3175,3291,3331,3291,3331,1756m3600,1797l3444,1797,3444,3291,3600,3291,3600,1797m3866,1833l3710,1833,3710,3291,3866,3291,3866,1833m4135,1909l3979,1909,3979,3291,4135,3291,4135,1909m4402,1883l4246,1883,4246,3291,4402,3291,4402,1883m4670,1729l4514,1729,4514,3291,4670,3291,4670,1729m4937,1648l4781,1648,4781,3291,4937,3291,4937,1648m5206,945l5050,945,5050,3291,5206,3291,5206,945m5472,1129l5316,1129,5316,3291,5472,3291,5472,1129m5738,1338l5585,1338,5585,3291,5738,3291,5738,1338m6007,1437l5851,1437,5851,3291,6007,3291,6007,1437m6274,1785l6120,1785,6120,3291,6274,3291,6274,1785m6542,1768l6386,1768,6386,3291,6542,3291,6542,1768m6809,1729l6655,1729,6655,3291,6809,3291,6809,1729m7078,1713l6922,1713,6922,3291,7078,3291,7078,1713m7344,2008l7188,2008,7188,3291,7344,3291,7344,2008m7613,1773l7457,1773,7457,3291,7613,3291,7613,1773m7879,1626l7723,1626,7723,3291,7879,3291,7879,1626m8148,1393l7992,1393,7992,3291,8148,3291,8148,1393m8414,995l8258,995,8258,3291,8414,3291,8414,995m8683,570l8527,570,8527,3291,8683,3291,8683,570m8950,395l8794,395,8794,3291,8950,3291,8950,395e" filled="true" fillcolor="#086d44" stroked="false">
              <v:path arrowok="t"/>
              <v:fill type="solid"/>
            </v:shape>
            <v:shape style="position:absolute;left:2001;top:73;width:7054;height:3267" coordorigin="2001,73" coordsize="7054,3267" path="m9006,3291l9006,73m9006,3291l9055,3291m9006,2862l9055,2862m9006,2433l9055,2433m9006,2003l9055,2003m9006,1573l9055,1573m9006,1146l9055,1146m9006,717l9055,717m9006,288l9055,288m2050,3291l2050,73m2001,3291l2050,3291m2001,2646l2050,2646m2001,2003l2050,2003m2001,1360l2050,1360m2001,717l2050,717m2001,73l2050,73m2050,3291l9006,3291m2050,3291l2050,3339m2318,3291l2318,3339m2585,3291l2585,3339m2854,3291l2854,3339m3120,3291l3120,3339m3389,3291l3389,3339m3655,3291l3655,3339m3924,3291l3924,3339m4190,3291l4190,3339m4457,3291l4457,3339m4726,3291l4726,3339m4992,3291l4992,3339m5261,3291l5261,3339m5527,3291l5527,3339m5796,3291l5796,3339m6062,3291l6062,3339m6331,3291l6331,3339m6598,3291l6598,3339m6866,3291l6866,3339m7133,3291l7133,3339m7402,3291l7402,3339m7668,3291l7668,3339m7937,3291l7937,3339m8203,3291l8203,3339m8472,3291l8472,3339m8738,3291l8738,3339m9006,3291l9006,3339e" filled="false" stroked="true" strokeweight=".75pt" strokecolor="#000000">
              <v:path arrowok="t"/>
              <v:stroke dashstyle="solid"/>
            </v:shape>
            <v:shape style="position:absolute;left:2183;top:871;width:6689;height:1326" coordorigin="2184,871" coordsize="6689,1326" path="m2184,1012l2450,1089,2719,1218,2986,1398,3254,1669,3521,1734,3790,1785,4056,1914,4325,1926,4591,1785,4860,1720,5126,1103,5395,1309,5662,1540,5930,1643,6197,1938,6463,1926,6732,1888,6998,1900,7267,2197,7534,2003,7802,1888,8069,1708,8338,1398,8604,1038,8872,871e" filled="false" stroked="true" strokeweight="2.25pt" strokecolor="#4f2109">
              <v:path arrowok="t"/>
              <v:stroke dashstyle="solid"/>
            </v:shape>
            <v:shape style="position:absolute;left:2183;top:729;width:6689;height:1352" coordorigin="2184,729" coordsize="6689,1352" path="m2184,1283l2450,1360,2719,1475,2986,1643,3254,1888,3521,1900,3790,1900,4056,1965,4325,1926,4591,1785,4860,1708,5126,1050,5395,1230,5662,1437,5930,1528,6197,1876,6463,1849,6732,1823,6998,1811,7267,2081,7534,1861,7802,1734,8069,1528,8338,1218,8604,858,8872,729e" filled="false" stroked="true" strokeweight="2.25pt" strokecolor="#d6c700">
              <v:path arrowok="t"/>
              <v:stroke dashstyle="solid"/>
            </v:shape>
            <v:shape style="position:absolute;left:2183;top:1450;width:6689;height:1004" coordorigin="2184,1450" coordsize="6689,1004" path="m2184,2094l2450,2118,2719,2183,2986,2260,3254,2389,3521,2401,3790,2416,4056,2428,4325,2416,4591,2325,4860,2274,5126,1797,5395,1888,5662,2017,5930,2068,6197,2313,6463,2313,6732,2286,6998,2274,7267,2454,7534,2301,7802,2209,8069,2056,8338,1797,8604,1540,8872,1450e" filled="false" stroked="true" strokeweight="2.25pt" strokecolor="#c74b0e">
              <v:path arrowok="t"/>
              <v:stroke dashstyle="solid"/>
            </v:shape>
            <v:shape style="position:absolute;left:2183;top:1424;width:6689;height:1287" coordorigin="2184,1424" coordsize="6689,1287" path="m2184,2389l2450,2389,2719,2428,2986,2505,3254,2608,3521,2646,3790,2685,4056,2711,4325,2661,4591,2584,4860,2531,5126,2171,5395,2248,5662,2325,5930,2351,6197,2505,6463,2505,6732,2481,6998,2454,7267,2569,7534,2428,7802,2351,8069,2183,8338,1861,8604,1566,8872,1424e" filled="false" stroked="true" strokeweight="2.25pt" strokecolor="#9f0d00">
              <v:path arrowok="t"/>
              <v:stroke dashstyle="solid"/>
            </v:shape>
            <w10:wrap type="none"/>
          </v:group>
        </w:pict>
      </w:r>
      <w:r>
        <w:rPr>
          <w:rFonts w:ascii="Franklin Gothic Book"/>
          <w:sz w:val="16"/>
        </w:rPr>
        <w:t>250</w:t>
      </w:r>
    </w:p>
    <w:p>
      <w:pPr>
        <w:spacing w:before="33"/>
        <w:ind w:left="8007" w:right="0" w:firstLine="0"/>
        <w:jc w:val="left"/>
        <w:rPr>
          <w:rFonts w:ascii="Franklin Gothic Book"/>
          <w:sz w:val="16"/>
        </w:rPr>
      </w:pPr>
      <w:r>
        <w:rPr>
          <w:rFonts w:ascii="Franklin Gothic Book"/>
          <w:sz w:val="16"/>
        </w:rPr>
        <w:t>700</w:t>
      </w:r>
    </w:p>
    <w:p>
      <w:pPr>
        <w:pStyle w:val="BodyText"/>
        <w:spacing w:before="11"/>
        <w:rPr>
          <w:rFonts w:ascii="Franklin Gothic Book"/>
          <w:sz w:val="12"/>
        </w:rPr>
      </w:pPr>
    </w:p>
    <w:p>
      <w:pPr>
        <w:tabs>
          <w:tab w:pos="8007" w:val="left" w:leader="none"/>
        </w:tabs>
        <w:spacing w:before="100"/>
        <w:ind w:left="489" w:right="0" w:firstLine="0"/>
        <w:jc w:val="left"/>
        <w:rPr>
          <w:rFonts w:ascii="Franklin Gothic Book"/>
          <w:sz w:val="16"/>
        </w:rPr>
      </w:pPr>
      <w:r>
        <w:rPr>
          <w:rFonts w:ascii="Franklin Gothic Book"/>
          <w:sz w:val="16"/>
        </w:rPr>
        <w:t>200</w:t>
        <w:tab/>
        <w:t>600</w:t>
      </w:r>
    </w:p>
    <w:p>
      <w:pPr>
        <w:pStyle w:val="BodyText"/>
        <w:rPr>
          <w:rFonts w:ascii="Franklin Gothic Book"/>
          <w:sz w:val="13"/>
        </w:rPr>
      </w:pPr>
    </w:p>
    <w:p>
      <w:pPr>
        <w:spacing w:before="101"/>
        <w:ind w:left="8007" w:right="0" w:firstLine="0"/>
        <w:jc w:val="left"/>
        <w:rPr>
          <w:rFonts w:ascii="Franklin Gothic Book"/>
          <w:sz w:val="16"/>
        </w:rPr>
      </w:pPr>
      <w:r>
        <w:rPr>
          <w:rFonts w:ascii="Franklin Gothic Book"/>
          <w:sz w:val="16"/>
        </w:rPr>
        <w:t>500</w:t>
      </w:r>
    </w:p>
    <w:p>
      <w:pPr>
        <w:spacing w:before="33"/>
        <w:ind w:left="489" w:right="0" w:firstLine="0"/>
        <w:jc w:val="left"/>
        <w:rPr>
          <w:rFonts w:ascii="Franklin Gothic Book"/>
          <w:sz w:val="16"/>
        </w:rPr>
      </w:pPr>
      <w:r>
        <w:rPr>
          <w:rFonts w:ascii="Franklin Gothic Book"/>
          <w:sz w:val="16"/>
        </w:rPr>
        <w:t>150</w:t>
      </w:r>
    </w:p>
    <w:p>
      <w:pPr>
        <w:spacing w:before="33"/>
        <w:ind w:left="8007" w:right="0" w:firstLine="0"/>
        <w:jc w:val="left"/>
        <w:rPr>
          <w:rFonts w:ascii="Franklin Gothic Book"/>
          <w:sz w:val="16"/>
        </w:rPr>
      </w:pPr>
      <w:r>
        <w:rPr>
          <w:rFonts w:ascii="Franklin Gothic Book"/>
          <w:sz w:val="16"/>
        </w:rPr>
        <w:t>400</w:t>
      </w:r>
    </w:p>
    <w:p>
      <w:pPr>
        <w:pStyle w:val="BodyText"/>
        <w:spacing w:before="10"/>
        <w:rPr>
          <w:rFonts w:ascii="Franklin Gothic Book"/>
          <w:sz w:val="12"/>
        </w:rPr>
      </w:pPr>
    </w:p>
    <w:p>
      <w:pPr>
        <w:tabs>
          <w:tab w:pos="8007" w:val="left" w:leader="none"/>
        </w:tabs>
        <w:spacing w:before="101"/>
        <w:ind w:left="489" w:right="0" w:firstLine="0"/>
        <w:jc w:val="left"/>
        <w:rPr>
          <w:rFonts w:ascii="Franklin Gothic Book"/>
          <w:sz w:val="16"/>
        </w:rPr>
      </w:pPr>
      <w:r>
        <w:rPr>
          <w:rFonts w:ascii="Franklin Gothic Book"/>
          <w:sz w:val="16"/>
        </w:rPr>
        <w:t>100</w:t>
        <w:tab/>
        <w:t>300</w:t>
      </w:r>
    </w:p>
    <w:p>
      <w:pPr>
        <w:pStyle w:val="BodyText"/>
        <w:rPr>
          <w:rFonts w:ascii="Franklin Gothic Book"/>
          <w:sz w:val="13"/>
        </w:rPr>
      </w:pPr>
    </w:p>
    <w:p>
      <w:pPr>
        <w:spacing w:before="101"/>
        <w:ind w:left="8007" w:right="0" w:firstLine="0"/>
        <w:jc w:val="left"/>
        <w:rPr>
          <w:rFonts w:ascii="Franklin Gothic Book"/>
          <w:sz w:val="16"/>
        </w:rPr>
      </w:pPr>
      <w:r>
        <w:rPr>
          <w:rFonts w:ascii="Franklin Gothic Book"/>
          <w:sz w:val="16"/>
        </w:rPr>
        <w:t>200</w:t>
      </w:r>
    </w:p>
    <w:p>
      <w:pPr>
        <w:spacing w:before="33"/>
        <w:ind w:left="583" w:right="0" w:firstLine="0"/>
        <w:jc w:val="left"/>
        <w:rPr>
          <w:rFonts w:ascii="Franklin Gothic Book"/>
          <w:sz w:val="16"/>
        </w:rPr>
      </w:pPr>
      <w:r>
        <w:rPr>
          <w:rFonts w:ascii="Franklin Gothic Book"/>
          <w:sz w:val="16"/>
        </w:rPr>
        <w:t>50</w:t>
      </w:r>
    </w:p>
    <w:p>
      <w:pPr>
        <w:spacing w:before="33"/>
        <w:ind w:left="8007" w:right="0" w:firstLine="0"/>
        <w:jc w:val="left"/>
        <w:rPr>
          <w:rFonts w:ascii="Franklin Gothic Book"/>
          <w:sz w:val="16"/>
        </w:rPr>
      </w:pPr>
      <w:r>
        <w:rPr>
          <w:rFonts w:ascii="Franklin Gothic Book"/>
          <w:sz w:val="16"/>
        </w:rPr>
        <w:t>100</w:t>
      </w:r>
    </w:p>
    <w:p>
      <w:pPr>
        <w:pStyle w:val="BodyText"/>
        <w:spacing w:before="11"/>
        <w:rPr>
          <w:rFonts w:ascii="Franklin Gothic Book"/>
          <w:sz w:val="12"/>
        </w:rPr>
      </w:pPr>
    </w:p>
    <w:p>
      <w:pPr>
        <w:spacing w:after="0"/>
        <w:rPr>
          <w:rFonts w:ascii="Franklin Gothic Book"/>
          <w:sz w:val="12"/>
        </w:rPr>
        <w:sectPr>
          <w:pgSz w:w="11910" w:h="16840"/>
          <w:pgMar w:header="838" w:footer="866" w:top="1100" w:bottom="1060" w:left="1140" w:right="0"/>
        </w:sectPr>
      </w:pPr>
    </w:p>
    <w:p>
      <w:pPr>
        <w:spacing w:before="101"/>
        <w:ind w:left="677" w:right="0" w:firstLine="0"/>
        <w:jc w:val="left"/>
        <w:rPr>
          <w:rFonts w:ascii="Franklin Gothic Book"/>
          <w:sz w:val="16"/>
        </w:rPr>
      </w:pPr>
      <w:r>
        <w:rPr>
          <w:rFonts w:ascii="Franklin Gothic Book"/>
          <w:w w:val="100"/>
          <w:sz w:val="16"/>
        </w:rPr>
        <w:t>0</w:t>
      </w:r>
    </w:p>
    <w:p>
      <w:pPr>
        <w:spacing w:before="12"/>
        <w:ind w:left="770" w:right="0" w:firstLine="0"/>
        <w:jc w:val="left"/>
        <w:rPr>
          <w:rFonts w:ascii="Franklin Gothic Book"/>
          <w:sz w:val="16"/>
        </w:rPr>
      </w:pPr>
      <w:r>
        <w:rPr>
          <w:rFonts w:ascii="Franklin Gothic Book"/>
          <w:sz w:val="16"/>
        </w:rPr>
        <w:t>2013T1</w:t>
      </w:r>
    </w:p>
    <w:p>
      <w:pPr>
        <w:pStyle w:val="BodyText"/>
        <w:rPr>
          <w:rFonts w:ascii="Franklin Gothic Book"/>
          <w:sz w:val="26"/>
        </w:rPr>
      </w:pPr>
      <w:r>
        <w:rPr/>
        <w:br w:type="column"/>
      </w:r>
      <w:r>
        <w:rPr>
          <w:rFonts w:ascii="Franklin Gothic Book"/>
          <w:sz w:val="26"/>
        </w:rPr>
      </w:r>
    </w:p>
    <w:p>
      <w:pPr>
        <w:spacing w:before="0"/>
        <w:ind w:left="677" w:right="0" w:firstLine="0"/>
        <w:jc w:val="left"/>
        <w:rPr>
          <w:rFonts w:ascii="Franklin Gothic Book"/>
          <w:sz w:val="16"/>
        </w:rPr>
      </w:pPr>
      <w:r>
        <w:rPr>
          <w:rFonts w:ascii="Franklin Gothic Book"/>
          <w:sz w:val="16"/>
        </w:rPr>
        <w:t>2014T2</w:t>
      </w:r>
    </w:p>
    <w:p>
      <w:pPr>
        <w:pStyle w:val="BodyText"/>
        <w:rPr>
          <w:rFonts w:ascii="Franklin Gothic Book"/>
          <w:sz w:val="26"/>
        </w:rPr>
      </w:pPr>
      <w:r>
        <w:rPr/>
        <w:br w:type="column"/>
      </w:r>
      <w:r>
        <w:rPr>
          <w:rFonts w:ascii="Franklin Gothic Book"/>
          <w:sz w:val="26"/>
        </w:rPr>
      </w:r>
    </w:p>
    <w:p>
      <w:pPr>
        <w:spacing w:before="0"/>
        <w:ind w:left="677" w:right="0" w:firstLine="0"/>
        <w:jc w:val="left"/>
        <w:rPr>
          <w:rFonts w:ascii="Franklin Gothic Book"/>
          <w:sz w:val="16"/>
        </w:rPr>
      </w:pPr>
      <w:r>
        <w:rPr>
          <w:rFonts w:ascii="Franklin Gothic Book"/>
          <w:sz w:val="16"/>
        </w:rPr>
        <w:t>2015T3</w:t>
      </w:r>
    </w:p>
    <w:p>
      <w:pPr>
        <w:pStyle w:val="BodyText"/>
        <w:rPr>
          <w:rFonts w:ascii="Franklin Gothic Book"/>
          <w:sz w:val="26"/>
        </w:rPr>
      </w:pPr>
      <w:r>
        <w:rPr/>
        <w:br w:type="column"/>
      </w:r>
      <w:r>
        <w:rPr>
          <w:rFonts w:ascii="Franklin Gothic Book"/>
          <w:sz w:val="26"/>
        </w:rPr>
      </w:r>
    </w:p>
    <w:p>
      <w:pPr>
        <w:spacing w:before="0"/>
        <w:ind w:left="677" w:right="0" w:firstLine="0"/>
        <w:jc w:val="left"/>
        <w:rPr>
          <w:rFonts w:ascii="Franklin Gothic Book"/>
          <w:sz w:val="16"/>
        </w:rPr>
      </w:pPr>
      <w:r>
        <w:rPr>
          <w:rFonts w:ascii="Franklin Gothic Book"/>
          <w:sz w:val="16"/>
        </w:rPr>
        <w:t>2016T4</w:t>
      </w:r>
    </w:p>
    <w:p>
      <w:pPr>
        <w:pStyle w:val="BodyText"/>
        <w:rPr>
          <w:rFonts w:ascii="Franklin Gothic Book"/>
          <w:sz w:val="26"/>
        </w:rPr>
      </w:pPr>
      <w:r>
        <w:rPr/>
        <w:br w:type="column"/>
      </w:r>
      <w:r>
        <w:rPr>
          <w:rFonts w:ascii="Franklin Gothic Book"/>
          <w:sz w:val="26"/>
        </w:rPr>
      </w:r>
    </w:p>
    <w:p>
      <w:pPr>
        <w:spacing w:before="0"/>
        <w:ind w:left="677" w:right="0" w:firstLine="0"/>
        <w:jc w:val="left"/>
        <w:rPr>
          <w:rFonts w:ascii="Franklin Gothic Book"/>
          <w:sz w:val="16"/>
        </w:rPr>
      </w:pPr>
      <w:r>
        <w:rPr>
          <w:rFonts w:ascii="Franklin Gothic Book"/>
          <w:sz w:val="16"/>
        </w:rPr>
        <w:t>2018T1</w:t>
      </w:r>
    </w:p>
    <w:p>
      <w:pPr>
        <w:spacing w:before="101"/>
        <w:ind w:left="0" w:right="2662" w:firstLine="0"/>
        <w:jc w:val="right"/>
        <w:rPr>
          <w:rFonts w:ascii="Franklin Gothic Book"/>
          <w:sz w:val="16"/>
        </w:rPr>
      </w:pPr>
      <w:r>
        <w:rPr/>
        <w:br w:type="column"/>
      </w:r>
      <w:r>
        <w:rPr>
          <w:rFonts w:ascii="Franklin Gothic Book"/>
          <w:sz w:val="16"/>
        </w:rPr>
        <w:t>0</w:t>
      </w:r>
    </w:p>
    <w:p>
      <w:pPr>
        <w:spacing w:before="12"/>
        <w:ind w:left="0" w:right="2756" w:firstLine="0"/>
        <w:jc w:val="right"/>
        <w:rPr>
          <w:rFonts w:ascii="Franklin Gothic Book"/>
          <w:sz w:val="16"/>
        </w:rPr>
      </w:pPr>
      <w:r>
        <w:rPr>
          <w:rFonts w:ascii="Franklin Gothic Book"/>
          <w:sz w:val="16"/>
        </w:rPr>
        <w:t>2019T2</w:t>
      </w:r>
    </w:p>
    <w:p>
      <w:pPr>
        <w:spacing w:after="0"/>
        <w:jc w:val="right"/>
        <w:rPr>
          <w:rFonts w:ascii="Franklin Gothic Book"/>
          <w:sz w:val="16"/>
        </w:rPr>
        <w:sectPr>
          <w:type w:val="continuous"/>
          <w:pgSz w:w="11910" w:h="16840"/>
          <w:pgMar w:top="1580" w:bottom="280" w:left="1140" w:right="0"/>
          <w:cols w:num="6" w:equalWidth="0">
            <w:col w:w="1359" w:space="72"/>
            <w:col w:w="1266" w:space="73"/>
            <w:col w:w="1266" w:space="72"/>
            <w:col w:w="1266" w:space="72"/>
            <w:col w:w="1266" w:space="72"/>
            <w:col w:w="3986"/>
          </w:cols>
        </w:sectPr>
      </w:pPr>
    </w:p>
    <w:p>
      <w:pPr>
        <w:tabs>
          <w:tab w:pos="4933" w:val="left" w:leader="none"/>
        </w:tabs>
        <w:spacing w:line="264" w:lineRule="auto" w:before="43"/>
        <w:ind w:left="1033" w:right="2634" w:firstLine="0"/>
        <w:jc w:val="left"/>
        <w:rPr>
          <w:rFonts w:ascii="Franklin Gothic Book"/>
          <w:sz w:val="14"/>
        </w:rPr>
      </w:pPr>
      <w:r>
        <w:rPr/>
        <w:pict>
          <v:line style="position:absolute;mso-position-horizontal-relative:page;mso-position-vertical-relative:paragraph;z-index:-251573248;mso-wrap-distance-left:0;mso-wrap-distance-right:0" from="70.944pt,33.765526pt" to="482.014pt,33.765526pt" stroked="true" strokeweight=".48001pt" strokecolor="#000000">
            <v:stroke dashstyle="solid"/>
            <w10:wrap type="topAndBottom"/>
          </v:line>
        </w:pict>
      </w:r>
      <w:r>
        <w:rPr/>
        <w:pict>
          <v:line style="position:absolute;mso-position-horizontal-relative:page;mso-position-vertical-relative:paragraph;z-index:251746304" from="87.391998pt,6.36018pt" to="106.591998pt,6.36018pt" stroked="true" strokeweight="3.5707pt" strokecolor="#086d44">
            <v:stroke dashstyle="solid"/>
            <w10:wrap type="none"/>
          </v:line>
        </w:pict>
      </w:r>
      <w:r>
        <w:rPr/>
        <w:pict>
          <v:line style="position:absolute;mso-position-horizontal-relative:page;mso-position-vertical-relative:paragraph;z-index:-266260480" from="282.420013pt,6.36553pt" to="301.620013pt,6.36553pt" stroked="true" strokeweight="2.25pt" strokecolor="#4f2109">
            <v:stroke dashstyle="solid"/>
            <w10:wrap type="none"/>
          </v:line>
        </w:pict>
      </w:r>
      <w:r>
        <w:rPr/>
        <w:pict>
          <v:line style="position:absolute;mso-position-horizontal-relative:page;mso-position-vertical-relative:paragraph;z-index:251748352" from="87.391998pt,15.06553pt" to="106.589998pt,15.06553pt" stroked="true" strokeweight="2.25pt" strokecolor="#d6c700">
            <v:stroke dashstyle="solid"/>
            <w10:wrap type="none"/>
          </v:line>
        </w:pict>
      </w:r>
      <w:r>
        <w:rPr/>
        <w:pict>
          <v:line style="position:absolute;mso-position-horizontal-relative:page;mso-position-vertical-relative:paragraph;z-index:-266258432" from="282.420013pt,15.06553pt" to="301.620013pt,15.06553pt" stroked="true" strokeweight="2.25pt" strokecolor="#c74b0e">
            <v:stroke dashstyle="solid"/>
            <w10:wrap type="none"/>
          </v:line>
        </w:pict>
      </w:r>
      <w:r>
        <w:rPr/>
        <w:pict>
          <v:line style="position:absolute;mso-position-horizontal-relative:page;mso-position-vertical-relative:paragraph;z-index:251750400" from="87.391998pt,23.76553pt" to="106.589998pt,23.76553pt" stroked="true" strokeweight="2.25pt" strokecolor="#9f0d00">
            <v:stroke dashstyle="solid"/>
            <w10:wrap type="none"/>
          </v:line>
        </w:pict>
      </w:r>
      <w:r>
        <w:rPr>
          <w:rFonts w:ascii="Franklin Gothic Book"/>
          <w:sz w:val="14"/>
        </w:rPr>
        <w:t>Trasformazioni tempo indeterminato - Totale</w:t>
      </w:r>
      <w:r>
        <w:rPr>
          <w:rFonts w:ascii="Franklin Gothic Book"/>
          <w:spacing w:val="-16"/>
          <w:sz w:val="14"/>
        </w:rPr>
        <w:t> </w:t>
      </w:r>
      <w:r>
        <w:rPr>
          <w:rFonts w:ascii="Franklin Gothic Book"/>
          <w:sz w:val="14"/>
        </w:rPr>
        <w:t>(scala</w:t>
      </w:r>
      <w:r>
        <w:rPr>
          <w:rFonts w:ascii="Franklin Gothic Book"/>
          <w:spacing w:val="-4"/>
          <w:sz w:val="14"/>
        </w:rPr>
        <w:t> </w:t>
      </w:r>
      <w:r>
        <w:rPr>
          <w:rFonts w:ascii="Franklin Gothic Book"/>
          <w:sz w:val="14"/>
        </w:rPr>
        <w:t>dx)</w:t>
        <w:tab/>
        <w:t>Trasformazioni tempo indeterminato - &lt;= 9 dip Trasformazioni tempo indeterminato - 10 &lt;=</w:t>
      </w:r>
      <w:r>
        <w:rPr>
          <w:rFonts w:ascii="Franklin Gothic Book"/>
          <w:spacing w:val="-17"/>
          <w:sz w:val="14"/>
        </w:rPr>
        <w:t> </w:t>
      </w:r>
      <w:r>
        <w:rPr>
          <w:rFonts w:ascii="Franklin Gothic Book"/>
          <w:sz w:val="14"/>
        </w:rPr>
        <w:t>dip</w:t>
      </w:r>
      <w:r>
        <w:rPr>
          <w:rFonts w:ascii="Franklin Gothic Book"/>
          <w:spacing w:val="-3"/>
          <w:sz w:val="14"/>
        </w:rPr>
        <w:t> </w:t>
      </w:r>
      <w:r>
        <w:rPr>
          <w:rFonts w:ascii="Franklin Gothic Book"/>
          <w:sz w:val="14"/>
        </w:rPr>
        <w:t>&lt;49</w:t>
        <w:tab/>
        <w:t>Trasformazioni tempo indeterminato - 50 &lt;= dip &lt;249 Trasformazioni tempo indeterminato - dip &gt;=</w:t>
      </w:r>
      <w:r>
        <w:rPr>
          <w:rFonts w:ascii="Franklin Gothic Book"/>
          <w:spacing w:val="-3"/>
          <w:sz w:val="14"/>
        </w:rPr>
        <w:t> </w:t>
      </w:r>
      <w:r>
        <w:rPr>
          <w:rFonts w:ascii="Franklin Gothic Book"/>
          <w:sz w:val="14"/>
        </w:rPr>
        <w:t>250</w:t>
      </w:r>
    </w:p>
    <w:p>
      <w:pPr>
        <w:spacing w:before="0" w:after="25"/>
        <w:ind w:left="278" w:right="0" w:firstLine="0"/>
        <w:jc w:val="left"/>
        <w:rPr>
          <w:rFonts w:ascii="Franklin Gothic Book" w:hAnsi="Franklin Gothic Book"/>
          <w:sz w:val="16"/>
        </w:rPr>
      </w:pPr>
      <w:r>
        <w:rPr>
          <w:rFonts w:ascii="Franklin Gothic Book" w:hAnsi="Franklin Gothic Book"/>
          <w:sz w:val="16"/>
        </w:rPr>
        <w:t>Fonte: Nota trimestrale sulle tendenze dell’occupazione, ISTAT, Ministero del Lavoro e INPS.</w:t>
      </w:r>
    </w:p>
    <w:p>
      <w:pPr>
        <w:pStyle w:val="BodyText"/>
        <w:spacing w:line="30" w:lineRule="exact"/>
        <w:ind w:left="249"/>
        <w:rPr>
          <w:rFonts w:ascii="Franklin Gothic Book"/>
          <w:sz w:val="3"/>
        </w:rPr>
      </w:pPr>
      <w:r>
        <w:rPr>
          <w:rFonts w:ascii="Franklin Gothic Book"/>
          <w:position w:val="0"/>
          <w:sz w:val="3"/>
        </w:rPr>
        <w:pict>
          <v:group style="width:411.8pt;height:1.45pt;mso-position-horizontal-relative:char;mso-position-vertical-relative:line" coordorigin="0,0" coordsize="8236,29">
            <v:line style="position:absolute" from="0,14" to="8236,14" stroked="true" strokeweight="1.44pt" strokecolor="#086d44">
              <v:stroke dashstyle="solid"/>
            </v:line>
          </v:group>
        </w:pict>
      </w:r>
      <w:r>
        <w:rPr>
          <w:rFonts w:ascii="Franklin Gothic Book"/>
          <w:position w:val="0"/>
          <w:sz w:val="3"/>
        </w:rPr>
      </w:r>
    </w:p>
    <w:p>
      <w:pPr>
        <w:pStyle w:val="BodyText"/>
        <w:spacing w:before="10"/>
        <w:rPr>
          <w:rFonts w:ascii="Franklin Gothic Book"/>
          <w:sz w:val="13"/>
        </w:rPr>
      </w:pPr>
    </w:p>
    <w:p>
      <w:pPr>
        <w:pStyle w:val="BodyText"/>
        <w:spacing w:line="252" w:lineRule="auto" w:before="101"/>
        <w:ind w:left="278" w:right="2261" w:firstLine="453"/>
        <w:jc w:val="both"/>
      </w:pPr>
      <w:r>
        <w:rPr/>
        <w:t>Tenuto conto del marginale aumento dell’attività economica e della contestuale tenuta del mercato del lavoro, la crescita della produttività (misurata sulle</w:t>
      </w:r>
      <w:r>
        <w:rPr>
          <w:spacing w:val="-10"/>
        </w:rPr>
        <w:t> </w:t>
      </w:r>
      <w:r>
        <w:rPr/>
        <w:t>unità</w:t>
      </w:r>
      <w:r>
        <w:rPr>
          <w:spacing w:val="-9"/>
        </w:rPr>
        <w:t> </w:t>
      </w:r>
      <w:r>
        <w:rPr/>
        <w:t>di</w:t>
      </w:r>
      <w:r>
        <w:rPr>
          <w:spacing w:val="-11"/>
        </w:rPr>
        <w:t> </w:t>
      </w:r>
      <w:r>
        <w:rPr/>
        <w:t>lavoro)</w:t>
      </w:r>
      <w:r>
        <w:rPr>
          <w:spacing w:val="-9"/>
        </w:rPr>
        <w:t> </w:t>
      </w:r>
      <w:r>
        <w:rPr/>
        <w:t>è</w:t>
      </w:r>
      <w:r>
        <w:rPr>
          <w:spacing w:val="-12"/>
        </w:rPr>
        <w:t> </w:t>
      </w:r>
      <w:r>
        <w:rPr/>
        <w:t>risultata</w:t>
      </w:r>
      <w:r>
        <w:rPr>
          <w:spacing w:val="-9"/>
        </w:rPr>
        <w:t> </w:t>
      </w:r>
      <w:r>
        <w:rPr/>
        <w:t>nella</w:t>
      </w:r>
      <w:r>
        <w:rPr>
          <w:spacing w:val="-10"/>
        </w:rPr>
        <w:t> </w:t>
      </w:r>
      <w:r>
        <w:rPr/>
        <w:t>media</w:t>
      </w:r>
      <w:r>
        <w:rPr>
          <w:spacing w:val="-10"/>
        </w:rPr>
        <w:t> </w:t>
      </w:r>
      <w:r>
        <w:rPr/>
        <w:t>dei</w:t>
      </w:r>
      <w:r>
        <w:rPr>
          <w:spacing w:val="-10"/>
        </w:rPr>
        <w:t> </w:t>
      </w:r>
      <w:r>
        <w:rPr/>
        <w:t>primi</w:t>
      </w:r>
      <w:r>
        <w:rPr>
          <w:spacing w:val="-9"/>
        </w:rPr>
        <w:t> </w:t>
      </w:r>
      <w:r>
        <w:rPr/>
        <w:t>sei</w:t>
      </w:r>
      <w:r>
        <w:rPr>
          <w:spacing w:val="-10"/>
        </w:rPr>
        <w:t> </w:t>
      </w:r>
      <w:r>
        <w:rPr/>
        <w:t>mesi</w:t>
      </w:r>
      <w:r>
        <w:rPr>
          <w:spacing w:val="-9"/>
        </w:rPr>
        <w:t> </w:t>
      </w:r>
      <w:r>
        <w:rPr/>
        <w:t>dell’anno</w:t>
      </w:r>
      <w:r>
        <w:rPr>
          <w:spacing w:val="-11"/>
        </w:rPr>
        <w:t> </w:t>
      </w:r>
      <w:r>
        <w:rPr/>
        <w:t>lievemente negativa con andamenti differenti tra settori. Sul costo del lavoro medio del primo semestre incide un aumento delle retribuzioni pro-capite nei primi tre mesi dell’anno che però non trova riscontro nell’aumento, più contenuto, delle retribuzioni contrattuali orarie nello stesso periodo. L’accelerazione della crescita salariale,</w:t>
      </w:r>
      <w:r>
        <w:rPr>
          <w:spacing w:val="-5"/>
        </w:rPr>
        <w:t> </w:t>
      </w:r>
      <w:r>
        <w:rPr/>
        <w:t>accompagnata</w:t>
      </w:r>
      <w:r>
        <w:rPr>
          <w:spacing w:val="-6"/>
        </w:rPr>
        <w:t> </w:t>
      </w:r>
      <w:r>
        <w:rPr/>
        <w:t>da</w:t>
      </w:r>
      <w:r>
        <w:rPr>
          <w:spacing w:val="-6"/>
        </w:rPr>
        <w:t> </w:t>
      </w:r>
      <w:r>
        <w:rPr/>
        <w:t>una</w:t>
      </w:r>
      <w:r>
        <w:rPr>
          <w:spacing w:val="-6"/>
        </w:rPr>
        <w:t> </w:t>
      </w:r>
      <w:r>
        <w:rPr/>
        <w:t>debole</w:t>
      </w:r>
      <w:r>
        <w:rPr>
          <w:spacing w:val="-6"/>
        </w:rPr>
        <w:t> </w:t>
      </w:r>
      <w:r>
        <w:rPr/>
        <w:t>dinamica</w:t>
      </w:r>
      <w:r>
        <w:rPr>
          <w:spacing w:val="-5"/>
        </w:rPr>
        <w:t> </w:t>
      </w:r>
      <w:r>
        <w:rPr/>
        <w:t>della</w:t>
      </w:r>
      <w:r>
        <w:rPr>
          <w:spacing w:val="-6"/>
        </w:rPr>
        <w:t> </w:t>
      </w:r>
      <w:r>
        <w:rPr/>
        <w:t>produttività,</w:t>
      </w:r>
      <w:r>
        <w:rPr>
          <w:spacing w:val="-4"/>
        </w:rPr>
        <w:t> </w:t>
      </w:r>
      <w:r>
        <w:rPr/>
        <w:t>ha</w:t>
      </w:r>
      <w:r>
        <w:rPr>
          <w:spacing w:val="-6"/>
        </w:rPr>
        <w:t> </w:t>
      </w:r>
      <w:r>
        <w:rPr/>
        <w:t>prodotto</w:t>
      </w:r>
      <w:r>
        <w:rPr>
          <w:spacing w:val="-3"/>
        </w:rPr>
        <w:t> </w:t>
      </w:r>
      <w:r>
        <w:rPr/>
        <w:t>un modesto aumento del costo del lavoro per unità di prodotto (CLUP), specie nel 1T del 2019, per poi rallentare sensibilmente nel 2T 2019. Analogamente, il deflatore del PIL ha registrato un andamento più sostenuto nei primi tre mesi dell’anno per poi decelerare per effetto del venir mento della spinta</w:t>
      </w:r>
      <w:r>
        <w:rPr>
          <w:spacing w:val="-11"/>
        </w:rPr>
        <w:t> </w:t>
      </w:r>
      <w:r>
        <w:rPr/>
        <w:t>salariale.</w:t>
      </w:r>
    </w:p>
    <w:p>
      <w:pPr>
        <w:pStyle w:val="BodyText"/>
        <w:spacing w:line="252" w:lineRule="auto"/>
        <w:ind w:left="278" w:right="2260" w:firstLine="453"/>
        <w:jc w:val="both"/>
      </w:pPr>
      <w:r>
        <w:rPr/>
        <w:t>Considerando i prezzi al consumo, la prima parte dell’anno è stata caratterizzata da un basso tasso di crescita dell’inflazione, inferiore tanto alle attese quanto a quello della media dell’area euro. La tendenza è proseguita nei mesi estivi. In agosto l’IPCA ha segnato una crescita allo 0,5 per cento tendenziale dallo</w:t>
      </w:r>
      <w:r>
        <w:rPr>
          <w:spacing w:val="-6"/>
        </w:rPr>
        <w:t> </w:t>
      </w:r>
      <w:r>
        <w:rPr/>
        <w:t>0,3</w:t>
      </w:r>
      <w:r>
        <w:rPr>
          <w:spacing w:val="-6"/>
        </w:rPr>
        <w:t> </w:t>
      </w:r>
      <w:r>
        <w:rPr/>
        <w:t>per</w:t>
      </w:r>
      <w:r>
        <w:rPr>
          <w:spacing w:val="-9"/>
        </w:rPr>
        <w:t> </w:t>
      </w:r>
      <w:r>
        <w:rPr/>
        <w:t>cento</w:t>
      </w:r>
      <w:r>
        <w:rPr>
          <w:spacing w:val="-6"/>
        </w:rPr>
        <w:t> </w:t>
      </w:r>
      <w:r>
        <w:rPr/>
        <w:t>di</w:t>
      </w:r>
      <w:r>
        <w:rPr>
          <w:spacing w:val="-5"/>
        </w:rPr>
        <w:t> </w:t>
      </w:r>
      <w:r>
        <w:rPr/>
        <w:t>luglio,</w:t>
      </w:r>
      <w:r>
        <w:rPr>
          <w:spacing w:val="-4"/>
        </w:rPr>
        <w:t> </w:t>
      </w:r>
      <w:r>
        <w:rPr/>
        <w:t>legata</w:t>
      </w:r>
      <w:r>
        <w:rPr>
          <w:spacing w:val="-6"/>
        </w:rPr>
        <w:t> </w:t>
      </w:r>
      <w:r>
        <w:rPr/>
        <w:t>principalmente</w:t>
      </w:r>
      <w:r>
        <w:rPr>
          <w:spacing w:val="-5"/>
        </w:rPr>
        <w:t> </w:t>
      </w:r>
      <w:r>
        <w:rPr/>
        <w:t>alla</w:t>
      </w:r>
      <w:r>
        <w:rPr>
          <w:spacing w:val="-6"/>
        </w:rPr>
        <w:t> </w:t>
      </w:r>
      <w:r>
        <w:rPr/>
        <w:t>componente</w:t>
      </w:r>
      <w:r>
        <w:rPr>
          <w:spacing w:val="-5"/>
        </w:rPr>
        <w:t> </w:t>
      </w:r>
      <w:r>
        <w:rPr/>
        <w:t>energetica</w:t>
      </w:r>
      <w:r>
        <w:rPr>
          <w:spacing w:val="-5"/>
        </w:rPr>
        <w:t> </w:t>
      </w:r>
      <w:r>
        <w:rPr/>
        <w:t>e</w:t>
      </w:r>
      <w:r>
        <w:rPr>
          <w:spacing w:val="-7"/>
        </w:rPr>
        <w:t> </w:t>
      </w:r>
      <w:r>
        <w:rPr/>
        <w:t>a quella</w:t>
      </w:r>
      <w:r>
        <w:rPr>
          <w:spacing w:val="-5"/>
        </w:rPr>
        <w:t> </w:t>
      </w:r>
      <w:r>
        <w:rPr/>
        <w:t>dei</w:t>
      </w:r>
      <w:r>
        <w:rPr>
          <w:spacing w:val="-5"/>
        </w:rPr>
        <w:t> </w:t>
      </w:r>
      <w:r>
        <w:rPr/>
        <w:t>beni</w:t>
      </w:r>
      <w:r>
        <w:rPr>
          <w:spacing w:val="-5"/>
        </w:rPr>
        <w:t> </w:t>
      </w:r>
      <w:r>
        <w:rPr/>
        <w:t>alimentari.</w:t>
      </w:r>
      <w:r>
        <w:rPr>
          <w:spacing w:val="-6"/>
        </w:rPr>
        <w:t> </w:t>
      </w:r>
      <w:r>
        <w:rPr/>
        <w:t>L’inflazione</w:t>
      </w:r>
      <w:r>
        <w:rPr>
          <w:spacing w:val="-5"/>
        </w:rPr>
        <w:t> </w:t>
      </w:r>
      <w:r>
        <w:rPr/>
        <w:t>di</w:t>
      </w:r>
      <w:r>
        <w:rPr>
          <w:spacing w:val="-5"/>
        </w:rPr>
        <w:t> </w:t>
      </w:r>
      <w:r>
        <w:rPr/>
        <w:t>fondo</w:t>
      </w:r>
      <w:r>
        <w:rPr>
          <w:spacing w:val="-7"/>
        </w:rPr>
        <w:t> </w:t>
      </w:r>
      <w:r>
        <w:rPr/>
        <w:t>rimane</w:t>
      </w:r>
      <w:r>
        <w:rPr>
          <w:spacing w:val="-5"/>
        </w:rPr>
        <w:t> </w:t>
      </w:r>
      <w:r>
        <w:rPr/>
        <w:t>tuttavia</w:t>
      </w:r>
      <w:r>
        <w:rPr>
          <w:spacing w:val="-5"/>
        </w:rPr>
        <w:t> </w:t>
      </w:r>
      <w:r>
        <w:rPr/>
        <w:t>debole</w:t>
      </w:r>
      <w:r>
        <w:rPr>
          <w:spacing w:val="-5"/>
        </w:rPr>
        <w:t> </w:t>
      </w:r>
      <w:r>
        <w:rPr/>
        <w:t>e</w:t>
      </w:r>
      <w:r>
        <w:rPr>
          <w:spacing w:val="-2"/>
        </w:rPr>
        <w:t> </w:t>
      </w:r>
      <w:r>
        <w:rPr/>
        <w:t>si</w:t>
      </w:r>
      <w:r>
        <w:rPr>
          <w:spacing w:val="-5"/>
        </w:rPr>
        <w:t> </w:t>
      </w:r>
      <w:r>
        <w:rPr/>
        <w:t>colloca abbondantemente sotto l’1 per</w:t>
      </w:r>
      <w:r>
        <w:rPr>
          <w:spacing w:val="-4"/>
        </w:rPr>
        <w:t> </w:t>
      </w:r>
      <w:r>
        <w:rPr/>
        <w:t>cento.</w:t>
      </w:r>
    </w:p>
    <w:p>
      <w:pPr>
        <w:pStyle w:val="BodyText"/>
        <w:spacing w:before="7"/>
        <w:rPr>
          <w:sz w:val="33"/>
        </w:rPr>
      </w:pPr>
    </w:p>
    <w:p>
      <w:pPr>
        <w:spacing w:before="0"/>
        <w:ind w:left="278" w:right="0" w:firstLine="0"/>
        <w:jc w:val="left"/>
        <w:rPr>
          <w:rFonts w:ascii="Franklin Gothic Medium"/>
          <w:sz w:val="26"/>
        </w:rPr>
      </w:pPr>
      <w:r>
        <w:rPr>
          <w:rFonts w:ascii="Franklin Gothic Medium"/>
          <w:color w:val="585858"/>
          <w:sz w:val="26"/>
        </w:rPr>
        <w:t>Il commercio estero</w:t>
      </w:r>
    </w:p>
    <w:p>
      <w:pPr>
        <w:pStyle w:val="BodyText"/>
        <w:spacing w:line="252" w:lineRule="auto" w:before="150"/>
        <w:ind w:left="278" w:right="2260" w:firstLine="453"/>
        <w:jc w:val="both"/>
      </w:pPr>
      <w:r>
        <w:rPr/>
        <w:t>Le statistiche del commercio estero di beni rilevano una buona tenuta delle esportazioni italiane nella prima metà del 2019. Tra i maggiori partner europei, la decelerazione dell’export su base annua è più intensa verso la Germania (allo 0,5 per cento, in calo per oltre 3 punti percentuali) e la Spagna (all’1,7 dal 2,9 per</w:t>
      </w:r>
    </w:p>
    <w:p>
      <w:pPr>
        <w:spacing w:after="0" w:line="252" w:lineRule="auto"/>
        <w:jc w:val="both"/>
        <w:sectPr>
          <w:type w:val="continuous"/>
          <w:pgSz w:w="11910" w:h="16840"/>
          <w:pgMar w:top="1580" w:bottom="28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1128" w:right="1413"/>
        <w:jc w:val="both"/>
      </w:pPr>
      <w:r>
        <w:rPr/>
        <w:t>cento). Si rafforzano invece quelle verso la Francia, per poco più di 2 punti percentuali (al 5,3 per cento).</w:t>
      </w:r>
    </w:p>
    <w:p>
      <w:pPr>
        <w:pStyle w:val="BodyText"/>
        <w:spacing w:line="252" w:lineRule="auto" w:before="2"/>
        <w:ind w:left="1128" w:right="1412" w:firstLine="453"/>
        <w:jc w:val="both"/>
      </w:pPr>
      <w:r>
        <w:rPr/>
        <w:t>Nonostante le crescenti misure protezionistiche</w:t>
      </w:r>
      <w:r>
        <w:rPr>
          <w:vertAlign w:val="superscript"/>
        </w:rPr>
        <w:t>9</w:t>
      </w:r>
      <w:r>
        <w:rPr>
          <w:vertAlign w:val="baseline"/>
        </w:rPr>
        <w:t>, i dazi statunitensi imposti sulle importazioni di acciaio e alluminio hanno influito direttamente su meno dello 0,2 per cento sul valore complessivo delle esportazioni italiane di beni. Tuttavia l’eventuale inclusione del settore automobilistico toccherebbe un ulteriore 1,0 per cento delle esportazioni italiane e, considerando le relazioni economiche internazionali, il 10 per cento del valore aggiunto di tale comparto sarebbe influenzato da tali misure</w:t>
      </w:r>
      <w:r>
        <w:rPr>
          <w:vertAlign w:val="superscript"/>
        </w:rPr>
        <w:t>10</w:t>
      </w:r>
      <w:r>
        <w:rPr>
          <w:vertAlign w:val="baseline"/>
        </w:rPr>
        <w:t>.</w:t>
      </w:r>
    </w:p>
    <w:p>
      <w:pPr>
        <w:pStyle w:val="BodyText"/>
        <w:spacing w:line="252" w:lineRule="auto"/>
        <w:ind w:left="1128" w:right="1409" w:firstLine="453"/>
        <w:jc w:val="both"/>
      </w:pPr>
      <w:r>
        <w:rPr/>
        <w:t>Se, nella prima metà dell’anno, i volumi scambiati su base tendenziale mostrano una flessione, rimane invece positiva la variazione dell’export in valore (2,7 per cento), pur rallentando di poco più di mezzo punto percentuale. Nell'insieme, il saldo commerciale dell’Italia (pari a 22,1 miliardi dai circa 19,1 miliardi</w:t>
      </w:r>
      <w:r>
        <w:rPr>
          <w:spacing w:val="-15"/>
        </w:rPr>
        <w:t> </w:t>
      </w:r>
      <w:r>
        <w:rPr/>
        <w:t>della</w:t>
      </w:r>
      <w:r>
        <w:rPr>
          <w:spacing w:val="-15"/>
        </w:rPr>
        <w:t> </w:t>
      </w:r>
      <w:r>
        <w:rPr/>
        <w:t>prima</w:t>
      </w:r>
      <w:r>
        <w:rPr>
          <w:spacing w:val="-15"/>
        </w:rPr>
        <w:t> </w:t>
      </w:r>
      <w:r>
        <w:rPr/>
        <w:t>metà</w:t>
      </w:r>
      <w:r>
        <w:rPr>
          <w:spacing w:val="-15"/>
        </w:rPr>
        <w:t> </w:t>
      </w:r>
      <w:r>
        <w:rPr/>
        <w:t>del</w:t>
      </w:r>
      <w:r>
        <w:rPr>
          <w:spacing w:val="-15"/>
        </w:rPr>
        <w:t> </w:t>
      </w:r>
      <w:r>
        <w:rPr/>
        <w:t>2018)</w:t>
      </w:r>
      <w:r>
        <w:rPr>
          <w:spacing w:val="-16"/>
        </w:rPr>
        <w:t> </w:t>
      </w:r>
      <w:r>
        <w:rPr/>
        <w:t>si</w:t>
      </w:r>
      <w:r>
        <w:rPr>
          <w:spacing w:val="-17"/>
        </w:rPr>
        <w:t> </w:t>
      </w:r>
      <w:r>
        <w:rPr/>
        <w:t>conferma</w:t>
      </w:r>
      <w:r>
        <w:rPr>
          <w:spacing w:val="-18"/>
        </w:rPr>
        <w:t> </w:t>
      </w:r>
      <w:r>
        <w:rPr/>
        <w:t>tra</w:t>
      </w:r>
      <w:r>
        <w:rPr>
          <w:spacing w:val="-15"/>
        </w:rPr>
        <w:t> </w:t>
      </w:r>
      <w:r>
        <w:rPr/>
        <w:t>i</w:t>
      </w:r>
      <w:r>
        <w:rPr>
          <w:spacing w:val="-18"/>
        </w:rPr>
        <w:t> </w:t>
      </w:r>
      <w:r>
        <w:rPr/>
        <w:t>più</w:t>
      </w:r>
      <w:r>
        <w:rPr>
          <w:spacing w:val="-15"/>
        </w:rPr>
        <w:t> </w:t>
      </w:r>
      <w:r>
        <w:rPr/>
        <w:t>elevati</w:t>
      </w:r>
      <w:r>
        <w:rPr>
          <w:spacing w:val="-15"/>
        </w:rPr>
        <w:t> </w:t>
      </w:r>
      <w:r>
        <w:rPr/>
        <w:t>dell’Unione</w:t>
      </w:r>
      <w:r>
        <w:rPr>
          <w:spacing w:val="-15"/>
        </w:rPr>
        <w:t> </w:t>
      </w:r>
      <w:r>
        <w:rPr/>
        <w:t>Europea dopo quelli della Germania, dell’Irlanda e dei Paesi Bassi, tornando su livelli analoghi a quelli della prima parte del 2016, i più elevati</w:t>
      </w:r>
      <w:r>
        <w:rPr>
          <w:spacing w:val="-12"/>
        </w:rPr>
        <w:t> </w:t>
      </w:r>
      <w:r>
        <w:rPr/>
        <w:t>storicamente.</w:t>
      </w:r>
    </w:p>
    <w:p>
      <w:pPr>
        <w:pStyle w:val="BodyText"/>
        <w:spacing w:line="252" w:lineRule="auto"/>
        <w:ind w:left="1128" w:right="1410" w:firstLine="453"/>
        <w:jc w:val="both"/>
      </w:pPr>
      <w:r>
        <w:rPr/>
        <w:t>La composizione della crescita dell’export in valore mostra una maggiore dinamicità dell’area extra-UE (3,2 per cento rispetto al 2,0 per cento), mentre rallentano</w:t>
      </w:r>
      <w:r>
        <w:rPr>
          <w:spacing w:val="-11"/>
        </w:rPr>
        <w:t> </w:t>
      </w:r>
      <w:r>
        <w:rPr/>
        <w:t>di</w:t>
      </w:r>
      <w:r>
        <w:rPr>
          <w:spacing w:val="-11"/>
        </w:rPr>
        <w:t> </w:t>
      </w:r>
      <w:r>
        <w:rPr/>
        <w:t>due</w:t>
      </w:r>
      <w:r>
        <w:rPr>
          <w:spacing w:val="-9"/>
        </w:rPr>
        <w:t> </w:t>
      </w:r>
      <w:r>
        <w:rPr/>
        <w:t>punti</w:t>
      </w:r>
      <w:r>
        <w:rPr>
          <w:spacing w:val="-10"/>
        </w:rPr>
        <w:t> </w:t>
      </w:r>
      <w:r>
        <w:rPr/>
        <w:t>percentuali</w:t>
      </w:r>
      <w:r>
        <w:rPr>
          <w:spacing w:val="-10"/>
        </w:rPr>
        <w:t> </w:t>
      </w:r>
      <w:r>
        <w:rPr/>
        <w:t>gli</w:t>
      </w:r>
      <w:r>
        <w:rPr>
          <w:spacing w:val="-9"/>
        </w:rPr>
        <w:t> </w:t>
      </w:r>
      <w:r>
        <w:rPr/>
        <w:t>scambi</w:t>
      </w:r>
      <w:r>
        <w:rPr>
          <w:spacing w:val="-12"/>
        </w:rPr>
        <w:t> </w:t>
      </w:r>
      <w:r>
        <w:rPr/>
        <w:t>con</w:t>
      </w:r>
      <w:r>
        <w:rPr>
          <w:spacing w:val="-13"/>
        </w:rPr>
        <w:t> </w:t>
      </w:r>
      <w:r>
        <w:rPr/>
        <w:t>i</w:t>
      </w:r>
      <w:r>
        <w:rPr>
          <w:spacing w:val="-9"/>
        </w:rPr>
        <w:t> </w:t>
      </w:r>
      <w:r>
        <w:rPr/>
        <w:t>paesi</w:t>
      </w:r>
      <w:r>
        <w:rPr>
          <w:spacing w:val="-13"/>
        </w:rPr>
        <w:t> </w:t>
      </w:r>
      <w:r>
        <w:rPr/>
        <w:t>europei</w:t>
      </w:r>
      <w:r>
        <w:rPr>
          <w:spacing w:val="-12"/>
        </w:rPr>
        <w:t> </w:t>
      </w:r>
      <w:r>
        <w:rPr/>
        <w:t>(al</w:t>
      </w:r>
      <w:r>
        <w:rPr>
          <w:spacing w:val="-10"/>
        </w:rPr>
        <w:t> </w:t>
      </w:r>
      <w:r>
        <w:rPr/>
        <w:t>2,3</w:t>
      </w:r>
      <w:r>
        <w:rPr>
          <w:spacing w:val="-10"/>
        </w:rPr>
        <w:t> </w:t>
      </w:r>
      <w:r>
        <w:rPr/>
        <w:t>per</w:t>
      </w:r>
      <w:r>
        <w:rPr>
          <w:spacing w:val="-11"/>
        </w:rPr>
        <w:t> </w:t>
      </w:r>
      <w:r>
        <w:rPr/>
        <w:t>cento), in particolare con la Germania e la Francia (rispettivamente a circa l’1 per cento dal 3,9 per cento e al 2,5 per cento, dal 4,7 per cento). La robusta crescita delle esportazioni</w:t>
      </w:r>
      <w:r>
        <w:rPr>
          <w:spacing w:val="-8"/>
        </w:rPr>
        <w:t> </w:t>
      </w:r>
      <w:r>
        <w:rPr/>
        <w:t>verso</w:t>
      </w:r>
      <w:r>
        <w:rPr>
          <w:spacing w:val="-8"/>
        </w:rPr>
        <w:t> </w:t>
      </w:r>
      <w:r>
        <w:rPr/>
        <w:t>il</w:t>
      </w:r>
      <w:r>
        <w:rPr>
          <w:spacing w:val="-8"/>
        </w:rPr>
        <w:t> </w:t>
      </w:r>
      <w:r>
        <w:rPr/>
        <w:t>Regno</w:t>
      </w:r>
      <w:r>
        <w:rPr>
          <w:spacing w:val="-8"/>
        </w:rPr>
        <w:t> </w:t>
      </w:r>
      <w:r>
        <w:rPr/>
        <w:t>Unito</w:t>
      </w:r>
      <w:r>
        <w:rPr>
          <w:spacing w:val="-8"/>
        </w:rPr>
        <w:t> </w:t>
      </w:r>
      <w:r>
        <w:rPr/>
        <w:t>(lievemente</w:t>
      </w:r>
      <w:r>
        <w:rPr>
          <w:spacing w:val="-6"/>
        </w:rPr>
        <w:t> </w:t>
      </w:r>
      <w:r>
        <w:rPr/>
        <w:t>inferiore</w:t>
      </w:r>
      <w:r>
        <w:rPr>
          <w:spacing w:val="-7"/>
        </w:rPr>
        <w:t> </w:t>
      </w:r>
      <w:r>
        <w:rPr/>
        <w:t>al</w:t>
      </w:r>
      <w:r>
        <w:rPr>
          <w:spacing w:val="-7"/>
        </w:rPr>
        <w:t> </w:t>
      </w:r>
      <w:r>
        <w:rPr/>
        <w:t>10</w:t>
      </w:r>
      <w:r>
        <w:rPr>
          <w:spacing w:val="-9"/>
        </w:rPr>
        <w:t> </w:t>
      </w:r>
      <w:r>
        <w:rPr/>
        <w:t>per</w:t>
      </w:r>
      <w:r>
        <w:rPr>
          <w:spacing w:val="-8"/>
        </w:rPr>
        <w:t> </w:t>
      </w:r>
      <w:r>
        <w:rPr/>
        <w:t>cento,</w:t>
      </w:r>
      <w:r>
        <w:rPr>
          <w:spacing w:val="-7"/>
        </w:rPr>
        <w:t> </w:t>
      </w:r>
      <w:r>
        <w:rPr/>
        <w:t>dal</w:t>
      </w:r>
      <w:r>
        <w:rPr>
          <w:spacing w:val="-6"/>
        </w:rPr>
        <w:t> </w:t>
      </w:r>
      <w:r>
        <w:rPr/>
        <w:t>-0,5</w:t>
      </w:r>
      <w:r>
        <w:rPr>
          <w:spacing w:val="-8"/>
        </w:rPr>
        <w:t> </w:t>
      </w:r>
      <w:r>
        <w:rPr/>
        <w:t>per cento) riflette acquisti preventivi motivati dall’incombere dell’uscita del Regno Unito dall’UE e beneficia i principali prodotti del Made in Italy (moda, alimentari, macchinari e mezzi di trasporto), unitamente agli articoli</w:t>
      </w:r>
      <w:r>
        <w:rPr>
          <w:spacing w:val="-14"/>
        </w:rPr>
        <w:t> </w:t>
      </w:r>
      <w:r>
        <w:rPr/>
        <w:t>farmaceutici.</w:t>
      </w:r>
    </w:p>
    <w:p>
      <w:pPr>
        <w:pStyle w:val="BodyText"/>
        <w:spacing w:line="252" w:lineRule="auto"/>
        <w:ind w:left="1128" w:right="1410" w:firstLine="453"/>
        <w:jc w:val="both"/>
      </w:pPr>
      <w:r>
        <w:rPr/>
        <w:t>Tra</w:t>
      </w:r>
      <w:r>
        <w:rPr>
          <w:spacing w:val="-4"/>
        </w:rPr>
        <w:t> </w:t>
      </w:r>
      <w:r>
        <w:rPr/>
        <w:t>i</w:t>
      </w:r>
      <w:r>
        <w:rPr>
          <w:spacing w:val="-5"/>
        </w:rPr>
        <w:t> </w:t>
      </w:r>
      <w:r>
        <w:rPr/>
        <w:t>mercati</w:t>
      </w:r>
      <w:r>
        <w:rPr>
          <w:spacing w:val="-5"/>
        </w:rPr>
        <w:t> </w:t>
      </w:r>
      <w:r>
        <w:rPr/>
        <w:t>esterni</w:t>
      </w:r>
      <w:r>
        <w:rPr>
          <w:spacing w:val="-5"/>
        </w:rPr>
        <w:t> </w:t>
      </w:r>
      <w:r>
        <w:rPr/>
        <w:t>all’UE,</w:t>
      </w:r>
      <w:r>
        <w:rPr>
          <w:spacing w:val="-3"/>
        </w:rPr>
        <w:t> </w:t>
      </w:r>
      <w:r>
        <w:rPr/>
        <w:t>si</w:t>
      </w:r>
      <w:r>
        <w:rPr>
          <w:spacing w:val="-7"/>
        </w:rPr>
        <w:t> </w:t>
      </w:r>
      <w:r>
        <w:rPr/>
        <w:t>rafforzano</w:t>
      </w:r>
      <w:r>
        <w:rPr>
          <w:spacing w:val="-6"/>
        </w:rPr>
        <w:t> </w:t>
      </w:r>
      <w:r>
        <w:rPr/>
        <w:t>le</w:t>
      </w:r>
      <w:r>
        <w:rPr>
          <w:spacing w:val="-5"/>
        </w:rPr>
        <w:t> </w:t>
      </w:r>
      <w:r>
        <w:rPr/>
        <w:t>vendite</w:t>
      </w:r>
      <w:r>
        <w:rPr>
          <w:spacing w:val="-4"/>
        </w:rPr>
        <w:t> </w:t>
      </w:r>
      <w:r>
        <w:rPr/>
        <w:t>verso</w:t>
      </w:r>
      <w:r>
        <w:rPr>
          <w:spacing w:val="-5"/>
        </w:rPr>
        <w:t> </w:t>
      </w:r>
      <w:r>
        <w:rPr/>
        <w:t>gli</w:t>
      </w:r>
      <w:r>
        <w:rPr>
          <w:spacing w:val="-5"/>
        </w:rPr>
        <w:t> </w:t>
      </w:r>
      <w:r>
        <w:rPr/>
        <w:t>Stati</w:t>
      </w:r>
      <w:r>
        <w:rPr>
          <w:spacing w:val="-5"/>
        </w:rPr>
        <w:t> </w:t>
      </w:r>
      <w:r>
        <w:rPr/>
        <w:t>Uniti</w:t>
      </w:r>
      <w:r>
        <w:rPr>
          <w:spacing w:val="-5"/>
        </w:rPr>
        <w:t> </w:t>
      </w:r>
      <w:r>
        <w:rPr/>
        <w:t>(al</w:t>
      </w:r>
      <w:r>
        <w:rPr>
          <w:spacing w:val="-4"/>
        </w:rPr>
        <w:t> </w:t>
      </w:r>
      <w:r>
        <w:rPr/>
        <w:t>7,7 per cento dal 4,2 per cento) e restano sostenute le esportazioni verso la Svizzera, pur decelerando (all’11,2 per cento dal 16,7 per cento); tornano leggermente positive quelle verso la Cina (allo 0,3 per cento dal -0,5 per cento). L’entrata in vigore</w:t>
      </w:r>
      <w:r>
        <w:rPr>
          <w:spacing w:val="-6"/>
        </w:rPr>
        <w:t> </w:t>
      </w:r>
      <w:r>
        <w:rPr/>
        <w:t>dell’accordo</w:t>
      </w:r>
      <w:r>
        <w:rPr>
          <w:spacing w:val="-6"/>
        </w:rPr>
        <w:t> </w:t>
      </w:r>
      <w:r>
        <w:rPr/>
        <w:t>di</w:t>
      </w:r>
      <w:r>
        <w:rPr>
          <w:spacing w:val="-6"/>
        </w:rPr>
        <w:t> </w:t>
      </w:r>
      <w:r>
        <w:rPr/>
        <w:t>libero</w:t>
      </w:r>
      <w:r>
        <w:rPr>
          <w:spacing w:val="-6"/>
        </w:rPr>
        <w:t> </w:t>
      </w:r>
      <w:r>
        <w:rPr/>
        <w:t>scambio</w:t>
      </w:r>
      <w:r>
        <w:rPr>
          <w:spacing w:val="-6"/>
        </w:rPr>
        <w:t> </w:t>
      </w:r>
      <w:r>
        <w:rPr/>
        <w:t>tra</w:t>
      </w:r>
      <w:r>
        <w:rPr>
          <w:spacing w:val="-5"/>
        </w:rPr>
        <w:t> </w:t>
      </w:r>
      <w:r>
        <w:rPr/>
        <w:t>l’UE</w:t>
      </w:r>
      <w:r>
        <w:rPr>
          <w:spacing w:val="-6"/>
        </w:rPr>
        <w:t> </w:t>
      </w:r>
      <w:r>
        <w:rPr/>
        <w:t>e</w:t>
      </w:r>
      <w:r>
        <w:rPr>
          <w:spacing w:val="-7"/>
        </w:rPr>
        <w:t> </w:t>
      </w:r>
      <w:r>
        <w:rPr/>
        <w:t>il</w:t>
      </w:r>
      <w:r>
        <w:rPr>
          <w:spacing w:val="-6"/>
        </w:rPr>
        <w:t> </w:t>
      </w:r>
      <w:r>
        <w:rPr/>
        <w:t>Giappone</w:t>
      </w:r>
      <w:r>
        <w:rPr>
          <w:vertAlign w:val="superscript"/>
        </w:rPr>
        <w:t>11</w:t>
      </w:r>
      <w:r>
        <w:rPr>
          <w:spacing w:val="-6"/>
          <w:vertAlign w:val="baseline"/>
        </w:rPr>
        <w:t> </w:t>
      </w:r>
      <w:r>
        <w:rPr>
          <w:vertAlign w:val="baseline"/>
        </w:rPr>
        <w:t>(avvenuta</w:t>
      </w:r>
      <w:r>
        <w:rPr>
          <w:spacing w:val="-6"/>
          <w:vertAlign w:val="baseline"/>
        </w:rPr>
        <w:t> </w:t>
      </w:r>
      <w:r>
        <w:rPr>
          <w:vertAlign w:val="baseline"/>
        </w:rPr>
        <w:t>lo</w:t>
      </w:r>
      <w:r>
        <w:rPr>
          <w:spacing w:val="-7"/>
          <w:vertAlign w:val="baseline"/>
        </w:rPr>
        <w:t> </w:t>
      </w:r>
      <w:r>
        <w:rPr>
          <w:vertAlign w:val="baseline"/>
        </w:rPr>
        <w:t>scorso</w:t>
      </w:r>
      <w:r>
        <w:rPr>
          <w:spacing w:val="-7"/>
          <w:vertAlign w:val="baseline"/>
        </w:rPr>
        <w:t> </w:t>
      </w:r>
      <w:r>
        <w:rPr>
          <w:vertAlign w:val="baseline"/>
        </w:rPr>
        <w:t>1° febbraio)</w:t>
      </w:r>
      <w:r>
        <w:rPr>
          <w:spacing w:val="-9"/>
          <w:vertAlign w:val="baseline"/>
        </w:rPr>
        <w:t> </w:t>
      </w:r>
      <w:r>
        <w:rPr>
          <w:vertAlign w:val="baseline"/>
        </w:rPr>
        <w:t>ha</w:t>
      </w:r>
      <w:r>
        <w:rPr>
          <w:spacing w:val="-10"/>
          <w:vertAlign w:val="baseline"/>
        </w:rPr>
        <w:t> </w:t>
      </w:r>
      <w:r>
        <w:rPr>
          <w:vertAlign w:val="baseline"/>
        </w:rPr>
        <w:t>agevolato</w:t>
      </w:r>
      <w:r>
        <w:rPr>
          <w:spacing w:val="-10"/>
          <w:vertAlign w:val="baseline"/>
        </w:rPr>
        <w:t> </w:t>
      </w:r>
      <w:r>
        <w:rPr>
          <w:vertAlign w:val="baseline"/>
        </w:rPr>
        <w:t>le</w:t>
      </w:r>
      <w:r>
        <w:rPr>
          <w:spacing w:val="-9"/>
          <w:vertAlign w:val="baseline"/>
        </w:rPr>
        <w:t> </w:t>
      </w:r>
      <w:r>
        <w:rPr>
          <w:vertAlign w:val="baseline"/>
        </w:rPr>
        <w:t>vendite</w:t>
      </w:r>
      <w:r>
        <w:rPr>
          <w:spacing w:val="-9"/>
          <w:vertAlign w:val="baseline"/>
        </w:rPr>
        <w:t> </w:t>
      </w:r>
      <w:r>
        <w:rPr>
          <w:vertAlign w:val="baseline"/>
        </w:rPr>
        <w:t>italiane</w:t>
      </w:r>
      <w:r>
        <w:rPr>
          <w:spacing w:val="-11"/>
          <w:vertAlign w:val="baseline"/>
        </w:rPr>
        <w:t> </w:t>
      </w:r>
      <w:r>
        <w:rPr>
          <w:vertAlign w:val="baseline"/>
        </w:rPr>
        <w:t>in</w:t>
      </w:r>
      <w:r>
        <w:rPr>
          <w:spacing w:val="-10"/>
          <w:vertAlign w:val="baseline"/>
        </w:rPr>
        <w:t> </w:t>
      </w:r>
      <w:r>
        <w:rPr>
          <w:vertAlign w:val="baseline"/>
        </w:rPr>
        <w:t>questo</w:t>
      </w:r>
      <w:r>
        <w:rPr>
          <w:spacing w:val="-10"/>
          <w:vertAlign w:val="baseline"/>
        </w:rPr>
        <w:t> </w:t>
      </w:r>
      <w:r>
        <w:rPr>
          <w:vertAlign w:val="baseline"/>
        </w:rPr>
        <w:t>Paese</w:t>
      </w:r>
      <w:r>
        <w:rPr>
          <w:spacing w:val="-9"/>
          <w:vertAlign w:val="baseline"/>
        </w:rPr>
        <w:t> </w:t>
      </w:r>
      <w:r>
        <w:rPr>
          <w:vertAlign w:val="baseline"/>
        </w:rPr>
        <w:t>(con</w:t>
      </w:r>
      <w:r>
        <w:rPr>
          <w:spacing w:val="-10"/>
          <w:vertAlign w:val="baseline"/>
        </w:rPr>
        <w:t> </w:t>
      </w:r>
      <w:r>
        <w:rPr>
          <w:vertAlign w:val="baseline"/>
        </w:rPr>
        <w:t>un</w:t>
      </w:r>
      <w:r>
        <w:rPr>
          <w:spacing w:val="-10"/>
          <w:vertAlign w:val="baseline"/>
        </w:rPr>
        <w:t> </w:t>
      </w:r>
      <w:r>
        <w:rPr>
          <w:vertAlign w:val="baseline"/>
        </w:rPr>
        <w:t>aumento</w:t>
      </w:r>
      <w:r>
        <w:rPr>
          <w:spacing w:val="-10"/>
          <w:vertAlign w:val="baseline"/>
        </w:rPr>
        <w:t> </w:t>
      </w:r>
      <w:r>
        <w:rPr>
          <w:vertAlign w:val="baseline"/>
        </w:rPr>
        <w:t>del</w:t>
      </w:r>
      <w:r>
        <w:rPr>
          <w:spacing w:val="-10"/>
          <w:vertAlign w:val="baseline"/>
        </w:rPr>
        <w:t> </w:t>
      </w:r>
      <w:r>
        <w:rPr>
          <w:vertAlign w:val="baseline"/>
        </w:rPr>
        <w:t>17,3 per cento), registrando uno degli incrementi più elevati dell’ultimo decennio; ne hanno beneficiato soprattutto i prodotti alimentari, del tessile e abbigliamento (rispettivamente del 47,5 e del 24 per cento) e i mezzi di trasporto (16 per cento). Ancora deboli gli scambi con l’area del Mercosur e con la Turchia, mentre tornano leggermente positive le vendite verso la Russia ed è meno pronunciata la flessione verso i paesi dell’OPEC (al -5,1 per cento dal -14,3 per</w:t>
      </w:r>
      <w:r>
        <w:rPr>
          <w:spacing w:val="-13"/>
          <w:vertAlign w:val="baseline"/>
        </w:rPr>
        <w:t> </w:t>
      </w:r>
      <w:r>
        <w:rPr>
          <w:vertAlign w:val="baseline"/>
        </w:rPr>
        <w:t>cento).</w:t>
      </w:r>
    </w:p>
    <w:p>
      <w:pPr>
        <w:pStyle w:val="BodyText"/>
        <w:rPr>
          <w:sz w:val="20"/>
        </w:rPr>
      </w:pPr>
    </w:p>
    <w:p>
      <w:pPr>
        <w:pStyle w:val="BodyText"/>
        <w:spacing w:before="9"/>
        <w:rPr>
          <w:sz w:val="18"/>
        </w:rPr>
      </w:pPr>
      <w:r>
        <w:rPr/>
        <w:pict>
          <v:group style="position:absolute;margin-left:136.100006pt;margin-top:12.891748pt;width:21.4pt;height:2.15pt;mso-position-horizontal-relative:page;mso-position-vertical-relative:paragraph;z-index:-251565056;mso-wrap-distance-left:0;mso-wrap-distance-right:0" coordorigin="2722,258" coordsize="428,43">
            <v:line style="position:absolute" from="2722,278" to="3149,278" stroked="true" strokeweight="2.050pt" strokecolor="#aaaaaa">
              <v:stroke dashstyle="solid"/>
            </v:line>
            <v:rect style="position:absolute;left:2722;top:259;width:5;height:5" filled="true" fillcolor="#9f9f9f" stroked="false">
              <v:fill type="solid"/>
            </v:rect>
            <v:rect style="position:absolute;left:2722;top:259;width:5;height:5" filled="true" fillcolor="#9f9f9f" stroked="false">
              <v:fill type="solid"/>
            </v:rect>
            <v:line style="position:absolute" from="2727,262" to="3144,262" stroked="true" strokeweight=".23999pt" strokecolor="#9f9f9f">
              <v:stroke dashstyle="solid"/>
            </v:line>
            <v:rect style="position:absolute;left:3144;top:259;width:5;height:5" filled="true" fillcolor="#e2e2e2" stroked="false">
              <v:fill type="solid"/>
            </v:rect>
            <v:rect style="position:absolute;left:3144;top:259;width:5;height:5" filled="true" fillcolor="#9f9f9f" stroked="false">
              <v:fill type="solid"/>
            </v:rect>
            <v:rect style="position:absolute;left:2722;top:264;width:5;height:32" filled="true" fillcolor="#9f9f9f" stroked="false">
              <v:fill type="solid"/>
            </v:rect>
            <v:rect style="position:absolute;left:3144;top:264;width:5;height:32" filled="true" fillcolor="#e2e2e2" stroked="false">
              <v:fill type="solid"/>
            </v:rect>
            <v:rect style="position:absolute;left:2722;top:295;width:5;height:5" filled="true" fillcolor="#9f9f9f" stroked="false">
              <v:fill type="solid"/>
            </v:rect>
            <v:rect style="position:absolute;left:2722;top:295;width:5;height:5" filled="true" fillcolor="#e2e2e2" stroked="false">
              <v:fill type="solid"/>
            </v:rect>
            <v:line style="position:absolute" from="2727,298" to="3144,298" stroked="true" strokeweight=".23999pt" strokecolor="#e2e2e2">
              <v:stroke dashstyle="solid"/>
            </v:line>
            <v:rect style="position:absolute;left:3144;top:295;width:5;height:5" filled="true" fillcolor="#e2e2e2" stroked="false">
              <v:fill type="solid"/>
            </v:rect>
            <v:rect style="position:absolute;left:3144;top:295;width:5;height:5" filled="true" fillcolor="#e2e2e2" stroked="false">
              <v:fill type="solid"/>
            </v:rect>
            <w10:wrap type="topAndBottom"/>
          </v:group>
        </w:pict>
      </w:r>
    </w:p>
    <w:p>
      <w:pPr>
        <w:spacing w:line="240" w:lineRule="auto" w:before="20"/>
        <w:ind w:left="1128" w:right="1412" w:firstLine="453"/>
        <w:jc w:val="both"/>
        <w:rPr>
          <w:sz w:val="16"/>
        </w:rPr>
      </w:pPr>
      <w:r>
        <w:rPr>
          <w:position w:val="6"/>
          <w:sz w:val="10"/>
        </w:rPr>
        <w:t>9</w:t>
      </w:r>
      <w:r>
        <w:rPr>
          <w:spacing w:val="14"/>
          <w:position w:val="6"/>
          <w:sz w:val="10"/>
        </w:rPr>
        <w:t> </w:t>
      </w:r>
      <w:r>
        <w:rPr>
          <w:sz w:val="16"/>
        </w:rPr>
        <w:t>Dal</w:t>
      </w:r>
      <w:r>
        <w:rPr>
          <w:spacing w:val="-3"/>
          <w:sz w:val="16"/>
        </w:rPr>
        <w:t> </w:t>
      </w:r>
      <w:r>
        <w:rPr>
          <w:sz w:val="16"/>
        </w:rPr>
        <w:t>1°</w:t>
      </w:r>
      <w:r>
        <w:rPr>
          <w:spacing w:val="-5"/>
          <w:sz w:val="16"/>
        </w:rPr>
        <w:t> </w:t>
      </w:r>
      <w:r>
        <w:rPr>
          <w:sz w:val="16"/>
        </w:rPr>
        <w:t>settembre,</w:t>
      </w:r>
      <w:r>
        <w:rPr>
          <w:spacing w:val="-2"/>
          <w:sz w:val="16"/>
        </w:rPr>
        <w:t> </w:t>
      </w:r>
      <w:r>
        <w:rPr>
          <w:sz w:val="16"/>
        </w:rPr>
        <w:t>gli</w:t>
      </w:r>
      <w:r>
        <w:rPr>
          <w:spacing w:val="-4"/>
          <w:sz w:val="16"/>
        </w:rPr>
        <w:t> </w:t>
      </w:r>
      <w:r>
        <w:rPr>
          <w:sz w:val="16"/>
        </w:rPr>
        <w:t>Stati</w:t>
      </w:r>
      <w:r>
        <w:rPr>
          <w:spacing w:val="-4"/>
          <w:sz w:val="16"/>
        </w:rPr>
        <w:t> </w:t>
      </w:r>
      <w:r>
        <w:rPr>
          <w:sz w:val="16"/>
        </w:rPr>
        <w:t>Uniti</w:t>
      </w:r>
      <w:r>
        <w:rPr>
          <w:spacing w:val="-6"/>
          <w:sz w:val="16"/>
        </w:rPr>
        <w:t> </w:t>
      </w:r>
      <w:r>
        <w:rPr>
          <w:sz w:val="16"/>
        </w:rPr>
        <w:t>hanno</w:t>
      </w:r>
      <w:r>
        <w:rPr>
          <w:spacing w:val="-4"/>
          <w:sz w:val="16"/>
        </w:rPr>
        <w:t> </w:t>
      </w:r>
      <w:r>
        <w:rPr>
          <w:sz w:val="16"/>
        </w:rPr>
        <w:t>introdotto</w:t>
      </w:r>
      <w:r>
        <w:rPr>
          <w:spacing w:val="-3"/>
          <w:sz w:val="16"/>
        </w:rPr>
        <w:t> </w:t>
      </w:r>
      <w:r>
        <w:rPr>
          <w:sz w:val="16"/>
        </w:rPr>
        <w:t>nuovi</w:t>
      </w:r>
      <w:r>
        <w:rPr>
          <w:spacing w:val="-4"/>
          <w:sz w:val="16"/>
        </w:rPr>
        <w:t> </w:t>
      </w:r>
      <w:r>
        <w:rPr>
          <w:sz w:val="16"/>
        </w:rPr>
        <w:t>dazi</w:t>
      </w:r>
      <w:r>
        <w:rPr>
          <w:spacing w:val="-3"/>
          <w:sz w:val="16"/>
        </w:rPr>
        <w:t> </w:t>
      </w:r>
      <w:r>
        <w:rPr>
          <w:sz w:val="16"/>
        </w:rPr>
        <w:t>del</w:t>
      </w:r>
      <w:r>
        <w:rPr>
          <w:spacing w:val="-4"/>
          <w:sz w:val="16"/>
        </w:rPr>
        <w:t> </w:t>
      </w:r>
      <w:r>
        <w:rPr>
          <w:sz w:val="16"/>
        </w:rPr>
        <w:t>15</w:t>
      </w:r>
      <w:r>
        <w:rPr>
          <w:spacing w:val="-4"/>
          <w:sz w:val="16"/>
        </w:rPr>
        <w:t> </w:t>
      </w:r>
      <w:r>
        <w:rPr>
          <w:sz w:val="16"/>
        </w:rPr>
        <w:t>per</w:t>
      </w:r>
      <w:r>
        <w:rPr>
          <w:spacing w:val="-4"/>
          <w:sz w:val="16"/>
        </w:rPr>
        <w:t> </w:t>
      </w:r>
      <w:r>
        <w:rPr>
          <w:sz w:val="16"/>
        </w:rPr>
        <w:t>cento</w:t>
      </w:r>
      <w:r>
        <w:rPr>
          <w:spacing w:val="-3"/>
          <w:sz w:val="16"/>
        </w:rPr>
        <w:t> </w:t>
      </w:r>
      <w:r>
        <w:rPr>
          <w:sz w:val="16"/>
        </w:rPr>
        <w:t>su</w:t>
      </w:r>
      <w:r>
        <w:rPr>
          <w:spacing w:val="-4"/>
          <w:sz w:val="16"/>
        </w:rPr>
        <w:t> </w:t>
      </w:r>
      <w:r>
        <w:rPr>
          <w:sz w:val="16"/>
        </w:rPr>
        <w:t>altri</w:t>
      </w:r>
      <w:r>
        <w:rPr>
          <w:spacing w:val="-4"/>
          <w:sz w:val="16"/>
        </w:rPr>
        <w:t> </w:t>
      </w:r>
      <w:r>
        <w:rPr>
          <w:sz w:val="16"/>
        </w:rPr>
        <w:t>300</w:t>
      </w:r>
      <w:r>
        <w:rPr>
          <w:spacing w:val="-4"/>
          <w:sz w:val="16"/>
        </w:rPr>
        <w:t> </w:t>
      </w:r>
      <w:r>
        <w:rPr>
          <w:sz w:val="16"/>
        </w:rPr>
        <w:t>miliardi</w:t>
      </w:r>
      <w:r>
        <w:rPr>
          <w:spacing w:val="-3"/>
          <w:sz w:val="16"/>
        </w:rPr>
        <w:t> </w:t>
      </w:r>
      <w:r>
        <w:rPr>
          <w:sz w:val="16"/>
        </w:rPr>
        <w:t>di</w:t>
      </w:r>
      <w:r>
        <w:rPr>
          <w:spacing w:val="-4"/>
          <w:sz w:val="16"/>
        </w:rPr>
        <w:t> </w:t>
      </w:r>
      <w:r>
        <w:rPr>
          <w:sz w:val="16"/>
        </w:rPr>
        <w:t>dollari di</w:t>
      </w:r>
      <w:r>
        <w:rPr>
          <w:spacing w:val="-3"/>
          <w:sz w:val="16"/>
        </w:rPr>
        <w:t> </w:t>
      </w:r>
      <w:r>
        <w:rPr>
          <w:sz w:val="16"/>
        </w:rPr>
        <w:t>prodotti</w:t>
      </w:r>
      <w:r>
        <w:rPr>
          <w:spacing w:val="-2"/>
          <w:sz w:val="16"/>
        </w:rPr>
        <w:t> </w:t>
      </w:r>
      <w:r>
        <w:rPr>
          <w:sz w:val="16"/>
        </w:rPr>
        <w:t>cinesi</w:t>
      </w:r>
      <w:r>
        <w:rPr>
          <w:spacing w:val="-4"/>
          <w:sz w:val="16"/>
        </w:rPr>
        <w:t> </w:t>
      </w:r>
      <w:r>
        <w:rPr>
          <w:sz w:val="16"/>
        </w:rPr>
        <w:t>(per</w:t>
      </w:r>
      <w:r>
        <w:rPr>
          <w:spacing w:val="-4"/>
          <w:sz w:val="16"/>
        </w:rPr>
        <w:t> </w:t>
      </w:r>
      <w:r>
        <w:rPr>
          <w:sz w:val="16"/>
        </w:rPr>
        <w:t>circa</w:t>
      </w:r>
      <w:r>
        <w:rPr>
          <w:spacing w:val="-3"/>
          <w:sz w:val="16"/>
        </w:rPr>
        <w:t> </w:t>
      </w:r>
      <w:r>
        <w:rPr>
          <w:sz w:val="16"/>
        </w:rPr>
        <w:t>la</w:t>
      </w:r>
      <w:r>
        <w:rPr>
          <w:spacing w:val="-4"/>
          <w:sz w:val="16"/>
        </w:rPr>
        <w:t> </w:t>
      </w:r>
      <w:r>
        <w:rPr>
          <w:sz w:val="16"/>
        </w:rPr>
        <w:t>metà</w:t>
      </w:r>
      <w:r>
        <w:rPr>
          <w:spacing w:val="-2"/>
          <w:sz w:val="16"/>
        </w:rPr>
        <w:t> </w:t>
      </w:r>
      <w:r>
        <w:rPr>
          <w:sz w:val="16"/>
        </w:rPr>
        <w:t>di</w:t>
      </w:r>
      <w:r>
        <w:rPr>
          <w:spacing w:val="-4"/>
          <w:sz w:val="16"/>
        </w:rPr>
        <w:t> </w:t>
      </w:r>
      <w:r>
        <w:rPr>
          <w:sz w:val="16"/>
        </w:rPr>
        <w:t>tale valore),</w:t>
      </w:r>
      <w:r>
        <w:rPr>
          <w:spacing w:val="-4"/>
          <w:sz w:val="16"/>
        </w:rPr>
        <w:t> </w:t>
      </w:r>
      <w:r>
        <w:rPr>
          <w:sz w:val="16"/>
        </w:rPr>
        <w:t>cui</w:t>
      </w:r>
      <w:r>
        <w:rPr>
          <w:spacing w:val="-4"/>
          <w:sz w:val="16"/>
        </w:rPr>
        <w:t> </w:t>
      </w:r>
      <w:r>
        <w:rPr>
          <w:sz w:val="16"/>
        </w:rPr>
        <w:t>la</w:t>
      </w:r>
      <w:r>
        <w:rPr>
          <w:spacing w:val="-2"/>
          <w:sz w:val="16"/>
        </w:rPr>
        <w:t> </w:t>
      </w:r>
      <w:r>
        <w:rPr>
          <w:sz w:val="16"/>
        </w:rPr>
        <w:t>Cina</w:t>
      </w:r>
      <w:r>
        <w:rPr>
          <w:spacing w:val="-5"/>
          <w:sz w:val="16"/>
        </w:rPr>
        <w:t> </w:t>
      </w:r>
      <w:r>
        <w:rPr>
          <w:sz w:val="16"/>
        </w:rPr>
        <w:t>ha</w:t>
      </w:r>
      <w:r>
        <w:rPr>
          <w:spacing w:val="-2"/>
          <w:sz w:val="16"/>
        </w:rPr>
        <w:t> </w:t>
      </w:r>
      <w:r>
        <w:rPr>
          <w:sz w:val="16"/>
        </w:rPr>
        <w:t>risposto</w:t>
      </w:r>
      <w:r>
        <w:rPr>
          <w:spacing w:val="-2"/>
          <w:sz w:val="16"/>
        </w:rPr>
        <w:t> </w:t>
      </w:r>
      <w:r>
        <w:rPr>
          <w:sz w:val="16"/>
        </w:rPr>
        <w:t>con</w:t>
      </w:r>
      <w:r>
        <w:rPr>
          <w:spacing w:val="-3"/>
          <w:sz w:val="16"/>
        </w:rPr>
        <w:t> </w:t>
      </w:r>
      <w:r>
        <w:rPr>
          <w:sz w:val="16"/>
        </w:rPr>
        <w:t>nuove</w:t>
      </w:r>
      <w:r>
        <w:rPr>
          <w:spacing w:val="-3"/>
          <w:sz w:val="16"/>
        </w:rPr>
        <w:t> </w:t>
      </w:r>
      <w:r>
        <w:rPr>
          <w:sz w:val="16"/>
        </w:rPr>
        <w:t>tariffe</w:t>
      </w:r>
      <w:r>
        <w:rPr>
          <w:spacing w:val="-3"/>
          <w:sz w:val="16"/>
        </w:rPr>
        <w:t> </w:t>
      </w:r>
      <w:r>
        <w:rPr>
          <w:sz w:val="16"/>
        </w:rPr>
        <w:t>(+5</w:t>
      </w:r>
      <w:r>
        <w:rPr>
          <w:spacing w:val="-3"/>
          <w:sz w:val="16"/>
        </w:rPr>
        <w:t> </w:t>
      </w:r>
      <w:r>
        <w:rPr>
          <w:sz w:val="16"/>
        </w:rPr>
        <w:t>per</w:t>
      </w:r>
      <w:r>
        <w:rPr>
          <w:spacing w:val="-2"/>
          <w:sz w:val="16"/>
        </w:rPr>
        <w:t> </w:t>
      </w:r>
      <w:r>
        <w:rPr>
          <w:sz w:val="16"/>
        </w:rPr>
        <w:t>cento</w:t>
      </w:r>
      <w:r>
        <w:rPr>
          <w:spacing w:val="-1"/>
          <w:sz w:val="16"/>
        </w:rPr>
        <w:t> </w:t>
      </w:r>
      <w:r>
        <w:rPr>
          <w:sz w:val="16"/>
        </w:rPr>
        <w:t>sui</w:t>
      </w:r>
      <w:r>
        <w:rPr>
          <w:spacing w:val="-2"/>
          <w:sz w:val="16"/>
        </w:rPr>
        <w:t> </w:t>
      </w:r>
      <w:r>
        <w:rPr>
          <w:sz w:val="16"/>
        </w:rPr>
        <w:t>semi di soia e sul petrolio greggio importati). Nuovi innalzamenti delle tariffe sono previsti per la metà di dicembre. Tuttavia, per agevolare il round negoziale previsto per ottobre, gli Stati Uniti hanno posticipato al 15 ottobre l’aumento del 5 per cento dei dazi attualmente in vigore (pari al 25 per cento) su 250 miliardi di dollari. La Cina ha</w:t>
      </w:r>
      <w:r>
        <w:rPr>
          <w:spacing w:val="-6"/>
          <w:sz w:val="16"/>
        </w:rPr>
        <w:t> </w:t>
      </w:r>
      <w:r>
        <w:rPr>
          <w:sz w:val="16"/>
        </w:rPr>
        <w:t>annunciato</w:t>
      </w:r>
      <w:r>
        <w:rPr>
          <w:spacing w:val="-4"/>
          <w:sz w:val="16"/>
        </w:rPr>
        <w:t> </w:t>
      </w:r>
      <w:r>
        <w:rPr>
          <w:sz w:val="16"/>
        </w:rPr>
        <w:t>che,</w:t>
      </w:r>
      <w:r>
        <w:rPr>
          <w:spacing w:val="-2"/>
          <w:sz w:val="16"/>
        </w:rPr>
        <w:t> </w:t>
      </w:r>
      <w:r>
        <w:rPr>
          <w:sz w:val="16"/>
        </w:rPr>
        <w:t>a</w:t>
      </w:r>
      <w:r>
        <w:rPr>
          <w:spacing w:val="-5"/>
          <w:sz w:val="16"/>
        </w:rPr>
        <w:t> </w:t>
      </w:r>
      <w:r>
        <w:rPr>
          <w:sz w:val="16"/>
        </w:rPr>
        <w:t>partire</w:t>
      </w:r>
      <w:r>
        <w:rPr>
          <w:spacing w:val="-3"/>
          <w:sz w:val="16"/>
        </w:rPr>
        <w:t> </w:t>
      </w:r>
      <w:r>
        <w:rPr>
          <w:sz w:val="16"/>
        </w:rPr>
        <w:t>dal</w:t>
      </w:r>
      <w:r>
        <w:rPr>
          <w:spacing w:val="-4"/>
          <w:sz w:val="16"/>
        </w:rPr>
        <w:t> </w:t>
      </w:r>
      <w:r>
        <w:rPr>
          <w:sz w:val="16"/>
        </w:rPr>
        <w:t>17</w:t>
      </w:r>
      <w:r>
        <w:rPr>
          <w:spacing w:val="-5"/>
          <w:sz w:val="16"/>
        </w:rPr>
        <w:t> </w:t>
      </w:r>
      <w:r>
        <w:rPr>
          <w:sz w:val="16"/>
        </w:rPr>
        <w:t>settembre</w:t>
      </w:r>
      <w:r>
        <w:rPr>
          <w:spacing w:val="-4"/>
          <w:sz w:val="16"/>
        </w:rPr>
        <w:t> </w:t>
      </w:r>
      <w:r>
        <w:rPr>
          <w:sz w:val="16"/>
        </w:rPr>
        <w:t>fino</w:t>
      </w:r>
      <w:r>
        <w:rPr>
          <w:spacing w:val="-4"/>
          <w:sz w:val="16"/>
        </w:rPr>
        <w:t> </w:t>
      </w:r>
      <w:r>
        <w:rPr>
          <w:sz w:val="16"/>
        </w:rPr>
        <w:t>al</w:t>
      </w:r>
      <w:r>
        <w:rPr>
          <w:spacing w:val="-4"/>
          <w:sz w:val="16"/>
        </w:rPr>
        <w:t> </w:t>
      </w:r>
      <w:r>
        <w:rPr>
          <w:sz w:val="16"/>
        </w:rPr>
        <w:t>settembre</w:t>
      </w:r>
      <w:r>
        <w:rPr>
          <w:spacing w:val="-3"/>
          <w:sz w:val="16"/>
        </w:rPr>
        <w:t> </w:t>
      </w:r>
      <w:r>
        <w:rPr>
          <w:sz w:val="16"/>
        </w:rPr>
        <w:t>del</w:t>
      </w:r>
      <w:r>
        <w:rPr>
          <w:spacing w:val="-6"/>
          <w:sz w:val="16"/>
        </w:rPr>
        <w:t> </w:t>
      </w:r>
      <w:r>
        <w:rPr>
          <w:sz w:val="16"/>
        </w:rPr>
        <w:t>2020,</w:t>
      </w:r>
      <w:r>
        <w:rPr>
          <w:spacing w:val="-3"/>
          <w:sz w:val="16"/>
        </w:rPr>
        <w:t> </w:t>
      </w:r>
      <w:r>
        <w:rPr>
          <w:sz w:val="16"/>
        </w:rPr>
        <w:t>entreranno</w:t>
      </w:r>
      <w:r>
        <w:rPr>
          <w:spacing w:val="-4"/>
          <w:sz w:val="16"/>
        </w:rPr>
        <w:t> </w:t>
      </w:r>
      <w:r>
        <w:rPr>
          <w:sz w:val="16"/>
        </w:rPr>
        <w:t>in</w:t>
      </w:r>
      <w:r>
        <w:rPr>
          <w:spacing w:val="-4"/>
          <w:sz w:val="16"/>
        </w:rPr>
        <w:t> </w:t>
      </w:r>
      <w:r>
        <w:rPr>
          <w:sz w:val="16"/>
        </w:rPr>
        <w:t>vigore</w:t>
      </w:r>
      <w:r>
        <w:rPr>
          <w:spacing w:val="-3"/>
          <w:sz w:val="16"/>
        </w:rPr>
        <w:t> </w:t>
      </w:r>
      <w:r>
        <w:rPr>
          <w:sz w:val="16"/>
        </w:rPr>
        <w:t>delle</w:t>
      </w:r>
      <w:r>
        <w:rPr>
          <w:spacing w:val="-3"/>
          <w:sz w:val="16"/>
        </w:rPr>
        <w:t> </w:t>
      </w:r>
      <w:r>
        <w:rPr>
          <w:sz w:val="16"/>
        </w:rPr>
        <w:t>esenzioni</w:t>
      </w:r>
      <w:r>
        <w:rPr>
          <w:spacing w:val="-4"/>
          <w:sz w:val="16"/>
        </w:rPr>
        <w:t> </w:t>
      </w:r>
      <w:r>
        <w:rPr>
          <w:sz w:val="16"/>
        </w:rPr>
        <w:t>per 16 categorie di prodotti statunitensi (dai medicinali ai prodotti chimici). Nuovi innalzamenti delle tariffe sono ancora previsti per la metà di</w:t>
      </w:r>
      <w:r>
        <w:rPr>
          <w:spacing w:val="-7"/>
          <w:sz w:val="16"/>
        </w:rPr>
        <w:t> </w:t>
      </w:r>
      <w:r>
        <w:rPr>
          <w:sz w:val="16"/>
        </w:rPr>
        <w:t>dicembre.</w:t>
      </w:r>
    </w:p>
    <w:p>
      <w:pPr>
        <w:spacing w:line="185" w:lineRule="exact" w:before="0"/>
        <w:ind w:left="1582" w:right="0" w:firstLine="0"/>
        <w:jc w:val="both"/>
        <w:rPr>
          <w:sz w:val="16"/>
        </w:rPr>
      </w:pPr>
      <w:r>
        <w:rPr>
          <w:position w:val="6"/>
          <w:sz w:val="10"/>
        </w:rPr>
        <w:t>10 </w:t>
      </w:r>
      <w:r>
        <w:rPr>
          <w:sz w:val="16"/>
        </w:rPr>
        <w:t>Fonte: Banca d’Italia, Relazione annuale, 31 maggio 2019.</w:t>
      </w:r>
    </w:p>
    <w:p>
      <w:pPr>
        <w:spacing w:before="0"/>
        <w:ind w:left="1128" w:right="1416" w:firstLine="453"/>
        <w:jc w:val="both"/>
        <w:rPr>
          <w:sz w:val="16"/>
        </w:rPr>
      </w:pPr>
      <w:r>
        <w:rPr>
          <w:position w:val="6"/>
          <w:sz w:val="10"/>
        </w:rPr>
        <w:t>11 </w:t>
      </w:r>
      <w:r>
        <w:rPr>
          <w:sz w:val="16"/>
        </w:rPr>
        <w:t>Tale accordo prevede l’abolizione dei dazi sui prodotti europei esportati in Giappone, inclusi 250 prodotti agricoli di cui 45 di origine italiana. È prevista l’agevolazione dell’esportazione di servizi e l’accesso al mercato degli appalti. Per maggiori dettagli si veda il seguente link:</w:t>
      </w:r>
    </w:p>
    <w:p>
      <w:pPr>
        <w:spacing w:line="185" w:lineRule="exact" w:before="0"/>
        <w:ind w:left="1128" w:right="0" w:firstLine="0"/>
        <w:jc w:val="left"/>
        <w:rPr>
          <w:sz w:val="16"/>
        </w:rPr>
      </w:pPr>
      <w:hyperlink r:id="rId48">
        <w:r>
          <w:rPr>
            <w:color w:val="006247"/>
            <w:sz w:val="16"/>
            <w:u w:val="single" w:color="006247"/>
          </w:rPr>
          <w:t>https://europa.eu/rapid/press-release_MEMO-18-6784_en.htm</w:t>
        </w:r>
      </w:hyperlink>
    </w:p>
    <w:p>
      <w:pPr>
        <w:spacing w:after="0" w:line="185" w:lineRule="exact"/>
        <w:jc w:val="left"/>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278" w:right="2261" w:firstLine="453"/>
        <w:jc w:val="both"/>
      </w:pPr>
      <w:r>
        <w:rPr/>
        <w:t>Analizzando le performance settoriali, rispetto allo stesso periodo del 2018, sono particolarmente vivaci le vendite di prodotti farmaceutici (+28,0 per cento, con una accelerazione di oltre 21 punti percentuali), sostenute principalmente dal mercato statunitense (+95,8 per cento). Nell’area europea, l’incremento delle vendite è di poco superiore al 21 per cento. Si sono rafforzate le esportazioni del tessile e abbigliamento e dei prodotti alimentari, bevande e tabacco (rispettivamente in crescita del 7,3 e del 6,9 per cento). Risultano più robuste le vendite di macchinari (2 per cento) e rimangono positive quelle dei prodotti in metallo (2,9 per cento). Prosegue la fase di debolezza del settore dei mezzi di trasporto</w:t>
      </w:r>
      <w:r>
        <w:rPr>
          <w:spacing w:val="-15"/>
        </w:rPr>
        <w:t> </w:t>
      </w:r>
      <w:r>
        <w:rPr/>
        <w:t>(le</w:t>
      </w:r>
      <w:r>
        <w:rPr>
          <w:spacing w:val="-14"/>
        </w:rPr>
        <w:t> </w:t>
      </w:r>
      <w:r>
        <w:rPr/>
        <w:t>vendite</w:t>
      </w:r>
      <w:r>
        <w:rPr>
          <w:spacing w:val="-13"/>
        </w:rPr>
        <w:t> </w:t>
      </w:r>
      <w:r>
        <w:rPr/>
        <w:t>si</w:t>
      </w:r>
      <w:r>
        <w:rPr>
          <w:spacing w:val="-15"/>
        </w:rPr>
        <w:t> </w:t>
      </w:r>
      <w:r>
        <w:rPr/>
        <w:t>sono</w:t>
      </w:r>
      <w:r>
        <w:rPr>
          <w:spacing w:val="-14"/>
        </w:rPr>
        <w:t> </w:t>
      </w:r>
      <w:r>
        <w:rPr/>
        <w:t>ridotte</w:t>
      </w:r>
      <w:r>
        <w:rPr>
          <w:spacing w:val="-14"/>
        </w:rPr>
        <w:t> </w:t>
      </w:r>
      <w:r>
        <w:rPr/>
        <w:t>del</w:t>
      </w:r>
      <w:r>
        <w:rPr>
          <w:spacing w:val="-13"/>
        </w:rPr>
        <w:t> </w:t>
      </w:r>
      <w:r>
        <w:rPr/>
        <w:t>6,5</w:t>
      </w:r>
      <w:r>
        <w:rPr>
          <w:spacing w:val="-14"/>
        </w:rPr>
        <w:t> </w:t>
      </w:r>
      <w:r>
        <w:rPr/>
        <w:t>per</w:t>
      </w:r>
      <w:r>
        <w:rPr>
          <w:spacing w:val="-13"/>
        </w:rPr>
        <w:t> </w:t>
      </w:r>
      <w:r>
        <w:rPr/>
        <w:t>cento</w:t>
      </w:r>
      <w:r>
        <w:rPr>
          <w:spacing w:val="-13"/>
        </w:rPr>
        <w:t> </w:t>
      </w:r>
      <w:r>
        <w:rPr/>
        <w:t>dal</w:t>
      </w:r>
      <w:r>
        <w:rPr>
          <w:spacing w:val="-14"/>
        </w:rPr>
        <w:t> </w:t>
      </w:r>
      <w:r>
        <w:rPr/>
        <w:t>+3,5</w:t>
      </w:r>
      <w:r>
        <w:rPr>
          <w:spacing w:val="-13"/>
        </w:rPr>
        <w:t> </w:t>
      </w:r>
      <w:r>
        <w:rPr/>
        <w:t>per</w:t>
      </w:r>
      <w:r>
        <w:rPr>
          <w:spacing w:val="-13"/>
        </w:rPr>
        <w:t> </w:t>
      </w:r>
      <w:r>
        <w:rPr/>
        <w:t>cento</w:t>
      </w:r>
      <w:r>
        <w:rPr>
          <w:spacing w:val="-12"/>
        </w:rPr>
        <w:t> </w:t>
      </w:r>
      <w:r>
        <w:rPr/>
        <w:t>dello</w:t>
      </w:r>
      <w:r>
        <w:rPr>
          <w:spacing w:val="-13"/>
        </w:rPr>
        <w:t> </w:t>
      </w:r>
      <w:r>
        <w:rPr/>
        <w:t>stesso semestre</w:t>
      </w:r>
      <w:r>
        <w:rPr>
          <w:spacing w:val="-6"/>
        </w:rPr>
        <w:t> </w:t>
      </w:r>
      <w:r>
        <w:rPr/>
        <w:t>del</w:t>
      </w:r>
      <w:r>
        <w:rPr>
          <w:spacing w:val="-6"/>
        </w:rPr>
        <w:t> </w:t>
      </w:r>
      <w:r>
        <w:rPr/>
        <w:t>2018),</w:t>
      </w:r>
      <w:r>
        <w:rPr>
          <w:spacing w:val="-8"/>
        </w:rPr>
        <w:t> </w:t>
      </w:r>
      <w:r>
        <w:rPr/>
        <w:t>per</w:t>
      </w:r>
      <w:r>
        <w:rPr>
          <w:spacing w:val="-9"/>
        </w:rPr>
        <w:t> </w:t>
      </w:r>
      <w:r>
        <w:rPr/>
        <w:t>effetto</w:t>
      </w:r>
      <w:r>
        <w:rPr>
          <w:spacing w:val="-7"/>
        </w:rPr>
        <w:t> </w:t>
      </w:r>
      <w:r>
        <w:rPr/>
        <w:t>dell’ampia</w:t>
      </w:r>
      <w:r>
        <w:rPr>
          <w:spacing w:val="-6"/>
        </w:rPr>
        <w:t> </w:t>
      </w:r>
      <w:r>
        <w:rPr/>
        <w:t>contrazione</w:t>
      </w:r>
      <w:r>
        <w:rPr>
          <w:spacing w:val="-7"/>
        </w:rPr>
        <w:t> </w:t>
      </w:r>
      <w:r>
        <w:rPr/>
        <w:t>del</w:t>
      </w:r>
      <w:r>
        <w:rPr>
          <w:spacing w:val="-9"/>
        </w:rPr>
        <w:t> </w:t>
      </w:r>
      <w:r>
        <w:rPr/>
        <w:t>comparto</w:t>
      </w:r>
      <w:r>
        <w:rPr>
          <w:spacing w:val="-7"/>
        </w:rPr>
        <w:t> </w:t>
      </w:r>
      <w:r>
        <w:rPr/>
        <w:t>dell’auto</w:t>
      </w:r>
      <w:r>
        <w:rPr>
          <w:spacing w:val="-7"/>
        </w:rPr>
        <w:t> </w:t>
      </w:r>
      <w:r>
        <w:rPr/>
        <w:t>(8,9 per</w:t>
      </w:r>
      <w:r>
        <w:rPr>
          <w:spacing w:val="-4"/>
        </w:rPr>
        <w:t> </w:t>
      </w:r>
      <w:r>
        <w:rPr/>
        <w:t>cento</w:t>
      </w:r>
      <w:r>
        <w:rPr>
          <w:spacing w:val="-5"/>
        </w:rPr>
        <w:t> </w:t>
      </w:r>
      <w:r>
        <w:rPr/>
        <w:t>dal</w:t>
      </w:r>
      <w:r>
        <w:rPr>
          <w:spacing w:val="-8"/>
        </w:rPr>
        <w:t> </w:t>
      </w:r>
      <w:r>
        <w:rPr/>
        <w:t>-4,6</w:t>
      </w:r>
      <w:r>
        <w:rPr>
          <w:spacing w:val="-7"/>
        </w:rPr>
        <w:t> </w:t>
      </w:r>
      <w:r>
        <w:rPr/>
        <w:t>per</w:t>
      </w:r>
      <w:r>
        <w:rPr>
          <w:spacing w:val="-6"/>
        </w:rPr>
        <w:t> </w:t>
      </w:r>
      <w:r>
        <w:rPr/>
        <w:t>cento</w:t>
      </w:r>
      <w:r>
        <w:rPr>
          <w:spacing w:val="-5"/>
        </w:rPr>
        <w:t> </w:t>
      </w:r>
      <w:r>
        <w:rPr/>
        <w:t>dell’anno</w:t>
      </w:r>
      <w:r>
        <w:rPr>
          <w:spacing w:val="-7"/>
        </w:rPr>
        <w:t> </w:t>
      </w:r>
      <w:r>
        <w:rPr/>
        <w:t>precedente).</w:t>
      </w:r>
      <w:r>
        <w:rPr>
          <w:spacing w:val="-6"/>
        </w:rPr>
        <w:t> </w:t>
      </w:r>
      <w:r>
        <w:rPr/>
        <w:t>Nei</w:t>
      </w:r>
      <w:r>
        <w:rPr>
          <w:spacing w:val="-5"/>
        </w:rPr>
        <w:t> </w:t>
      </w:r>
      <w:r>
        <w:rPr/>
        <w:t>mercati</w:t>
      </w:r>
      <w:r>
        <w:rPr>
          <w:spacing w:val="-6"/>
        </w:rPr>
        <w:t> </w:t>
      </w:r>
      <w:r>
        <w:rPr/>
        <w:t>non</w:t>
      </w:r>
      <w:r>
        <w:rPr>
          <w:spacing w:val="-5"/>
        </w:rPr>
        <w:t> </w:t>
      </w:r>
      <w:r>
        <w:rPr/>
        <w:t>europei</w:t>
      </w:r>
      <w:r>
        <w:rPr>
          <w:spacing w:val="-6"/>
        </w:rPr>
        <w:t> </w:t>
      </w:r>
      <w:r>
        <w:rPr/>
        <w:t>(-13,5 per</w:t>
      </w:r>
      <w:r>
        <w:rPr>
          <w:spacing w:val="-6"/>
        </w:rPr>
        <w:t> </w:t>
      </w:r>
      <w:r>
        <w:rPr/>
        <w:t>cento),</w:t>
      </w:r>
      <w:r>
        <w:rPr>
          <w:spacing w:val="-5"/>
        </w:rPr>
        <w:t> </w:t>
      </w:r>
      <w:r>
        <w:rPr/>
        <w:t>le</w:t>
      </w:r>
      <w:r>
        <w:rPr>
          <w:spacing w:val="-7"/>
        </w:rPr>
        <w:t> </w:t>
      </w:r>
      <w:r>
        <w:rPr/>
        <w:t>riduzioni</w:t>
      </w:r>
      <w:r>
        <w:rPr>
          <w:spacing w:val="-9"/>
        </w:rPr>
        <w:t> </w:t>
      </w:r>
      <w:r>
        <w:rPr/>
        <w:t>maggiori</w:t>
      </w:r>
      <w:r>
        <w:rPr>
          <w:spacing w:val="-6"/>
        </w:rPr>
        <w:t> </w:t>
      </w:r>
      <w:r>
        <w:rPr/>
        <w:t>riguardano</w:t>
      </w:r>
      <w:r>
        <w:rPr>
          <w:spacing w:val="-7"/>
        </w:rPr>
        <w:t> </w:t>
      </w:r>
      <w:r>
        <w:rPr/>
        <w:t>gli</w:t>
      </w:r>
      <w:r>
        <w:rPr>
          <w:spacing w:val="-7"/>
        </w:rPr>
        <w:t> </w:t>
      </w:r>
      <w:r>
        <w:rPr/>
        <w:t>Stati</w:t>
      </w:r>
      <w:r>
        <w:rPr>
          <w:spacing w:val="-7"/>
        </w:rPr>
        <w:t> </w:t>
      </w:r>
      <w:r>
        <w:rPr/>
        <w:t>Uniti</w:t>
      </w:r>
      <w:r>
        <w:rPr>
          <w:spacing w:val="-7"/>
        </w:rPr>
        <w:t> </w:t>
      </w:r>
      <w:r>
        <w:rPr/>
        <w:t>(-25,3</w:t>
      </w:r>
      <w:r>
        <w:rPr>
          <w:spacing w:val="-5"/>
        </w:rPr>
        <w:t> </w:t>
      </w:r>
      <w:r>
        <w:rPr/>
        <w:t>per</w:t>
      </w:r>
      <w:r>
        <w:rPr>
          <w:spacing w:val="-6"/>
        </w:rPr>
        <w:t> </w:t>
      </w:r>
      <w:r>
        <w:rPr/>
        <w:t>cento),</w:t>
      </w:r>
      <w:r>
        <w:rPr>
          <w:spacing w:val="-5"/>
        </w:rPr>
        <w:t> </w:t>
      </w:r>
      <w:r>
        <w:rPr/>
        <w:t>la</w:t>
      </w:r>
      <w:r>
        <w:rPr>
          <w:spacing w:val="-6"/>
        </w:rPr>
        <w:t> </w:t>
      </w:r>
      <w:r>
        <w:rPr/>
        <w:t>Cina (-11,1 per cento) e la Turchia (-28,6 per cento). Rilevante la flessione all’interno dell’UE (del 5,6 per</w:t>
      </w:r>
      <w:r>
        <w:rPr>
          <w:spacing w:val="-6"/>
        </w:rPr>
        <w:t> </w:t>
      </w:r>
      <w:r>
        <w:rPr/>
        <w:t>cento).</w:t>
      </w:r>
    </w:p>
    <w:p>
      <w:pPr>
        <w:pStyle w:val="BodyText"/>
        <w:spacing w:line="252" w:lineRule="auto"/>
        <w:ind w:left="278" w:right="2262" w:firstLine="453"/>
        <w:jc w:val="both"/>
      </w:pPr>
      <w:r>
        <w:rPr/>
        <w:t>Le</w:t>
      </w:r>
      <w:r>
        <w:rPr>
          <w:spacing w:val="-13"/>
        </w:rPr>
        <w:t> </w:t>
      </w:r>
      <w:r>
        <w:rPr/>
        <w:t>prime</w:t>
      </w:r>
      <w:r>
        <w:rPr>
          <w:spacing w:val="-13"/>
        </w:rPr>
        <w:t> </w:t>
      </w:r>
      <w:r>
        <w:rPr/>
        <w:t>informazioni</w:t>
      </w:r>
      <w:r>
        <w:rPr>
          <w:spacing w:val="-13"/>
        </w:rPr>
        <w:t> </w:t>
      </w:r>
      <w:r>
        <w:rPr/>
        <w:t>sulla</w:t>
      </w:r>
      <w:r>
        <w:rPr>
          <w:spacing w:val="-13"/>
        </w:rPr>
        <w:t> </w:t>
      </w:r>
      <w:r>
        <w:rPr/>
        <w:t>seconda</w:t>
      </w:r>
      <w:r>
        <w:rPr>
          <w:spacing w:val="-13"/>
        </w:rPr>
        <w:t> </w:t>
      </w:r>
      <w:r>
        <w:rPr/>
        <w:t>metà</w:t>
      </w:r>
      <w:r>
        <w:rPr>
          <w:spacing w:val="-12"/>
        </w:rPr>
        <w:t> </w:t>
      </w:r>
      <w:r>
        <w:rPr/>
        <w:t>dell’anno</w:t>
      </w:r>
      <w:r>
        <w:rPr>
          <w:spacing w:val="-13"/>
        </w:rPr>
        <w:t> </w:t>
      </w:r>
      <w:r>
        <w:rPr/>
        <w:t>riportano</w:t>
      </w:r>
      <w:r>
        <w:rPr>
          <w:spacing w:val="-14"/>
        </w:rPr>
        <w:t> </w:t>
      </w:r>
      <w:r>
        <w:rPr/>
        <w:t>una</w:t>
      </w:r>
      <w:r>
        <w:rPr>
          <w:spacing w:val="-13"/>
        </w:rPr>
        <w:t> </w:t>
      </w:r>
      <w:r>
        <w:rPr/>
        <w:t>performance favorevole dell’export italiano. A luglio, la crescita tendenziale in valore supera il 6 per cento ed è pari al 2,7 per cento in volume, grazie alla maggiore vivacità dei mercati</w:t>
      </w:r>
      <w:r>
        <w:rPr>
          <w:spacing w:val="-1"/>
        </w:rPr>
        <w:t> </w:t>
      </w:r>
      <w:r>
        <w:rPr/>
        <w:t>esteri.</w:t>
      </w:r>
    </w:p>
    <w:p>
      <w:pPr>
        <w:pStyle w:val="BodyText"/>
        <w:spacing w:line="252" w:lineRule="auto" w:before="2"/>
        <w:ind w:left="278" w:right="2262" w:firstLine="453"/>
        <w:jc w:val="both"/>
      </w:pPr>
      <w:r>
        <w:rPr/>
        <w:pict>
          <v:line style="position:absolute;mso-position-horizontal-relative:page;mso-position-vertical-relative:paragraph;z-index:251754496" from="71.664001pt,94.428619pt" to="71.664001pt,256.448619pt" stroked="true" strokeweight="1.44pt" strokecolor="#086d44">
            <v:stroke dashstyle="solid"/>
            <w10:wrap type="none"/>
          </v:line>
        </w:pict>
      </w:r>
      <w:r>
        <w:rPr/>
        <w:pict>
          <v:shape style="position:absolute;margin-left:71.305954pt;margin-top:96.016754pt;width:15.65pt;height:39.550pt;mso-position-horizontal-relative:page;mso-position-vertical-relative:paragraph;z-index:251755520" type="#_x0000_t202" filled="false" stroked="false">
            <v:textbox inset="0,0,0,0" style="layout-flow:vertical;mso-layout-flow-alt:bottom-to-top">
              <w:txbxContent>
                <w:p>
                  <w:pPr>
                    <w:spacing w:before="20"/>
                    <w:ind w:left="20" w:right="0" w:firstLine="0"/>
                    <w:jc w:val="left"/>
                    <w:rPr>
                      <w:rFonts w:ascii="Franklin Gothic Heavy"/>
                      <w:b/>
                      <w:sz w:val="24"/>
                    </w:rPr>
                  </w:pPr>
                  <w:r>
                    <w:rPr>
                      <w:rFonts w:ascii="Franklin Gothic Heavy"/>
                      <w:b/>
                      <w:color w:val="006247"/>
                      <w:sz w:val="24"/>
                    </w:rPr>
                    <w:t>FOCUS</w:t>
                  </w:r>
                </w:p>
              </w:txbxContent>
            </v:textbox>
            <w10:wrap type="none"/>
          </v:shape>
        </w:pict>
      </w:r>
      <w:r>
        <w:rPr/>
        <w:t>Le indagini più recenti mostrano un lieve peggioramento della fiducia delle imprese manifatturiere con riferimento all’andamento degli ordinativi esteri e alle prospettive di esportazione. Nel complesso del 2019, le esportazioni italiane forniranno un contributo alla crescita positivo diversamente dall’anno scorso, ma i mesi</w:t>
      </w:r>
      <w:r>
        <w:rPr>
          <w:spacing w:val="-8"/>
        </w:rPr>
        <w:t> </w:t>
      </w:r>
      <w:r>
        <w:rPr/>
        <w:t>finali</w:t>
      </w:r>
      <w:r>
        <w:rPr>
          <w:spacing w:val="-7"/>
        </w:rPr>
        <w:t> </w:t>
      </w:r>
      <w:r>
        <w:rPr/>
        <w:t>dell’anno</w:t>
      </w:r>
      <w:r>
        <w:rPr>
          <w:spacing w:val="-8"/>
        </w:rPr>
        <w:t> </w:t>
      </w:r>
      <w:r>
        <w:rPr/>
        <w:t>potrebbero</w:t>
      </w:r>
      <w:r>
        <w:rPr>
          <w:spacing w:val="-8"/>
        </w:rPr>
        <w:t> </w:t>
      </w:r>
      <w:r>
        <w:rPr/>
        <w:t>registrare</w:t>
      </w:r>
      <w:r>
        <w:rPr>
          <w:spacing w:val="-6"/>
        </w:rPr>
        <w:t> </w:t>
      </w:r>
      <w:r>
        <w:rPr/>
        <w:t>andamenti</w:t>
      </w:r>
      <w:r>
        <w:rPr>
          <w:spacing w:val="-7"/>
        </w:rPr>
        <w:t> </w:t>
      </w:r>
      <w:r>
        <w:rPr/>
        <w:t>meno</w:t>
      </w:r>
      <w:r>
        <w:rPr>
          <w:spacing w:val="-8"/>
        </w:rPr>
        <w:t> </w:t>
      </w:r>
      <w:r>
        <w:rPr/>
        <w:t>favorevoli</w:t>
      </w:r>
      <w:r>
        <w:rPr>
          <w:spacing w:val="-7"/>
        </w:rPr>
        <w:t> </w:t>
      </w:r>
      <w:r>
        <w:rPr/>
        <w:t>in</w:t>
      </w:r>
      <w:r>
        <w:rPr>
          <w:spacing w:val="-7"/>
        </w:rPr>
        <w:t> </w:t>
      </w:r>
      <w:r>
        <w:rPr/>
        <w:t>confronto al primo</w:t>
      </w:r>
      <w:r>
        <w:rPr>
          <w:spacing w:val="-2"/>
        </w:rPr>
        <w:t> </w:t>
      </w:r>
      <w:r>
        <w:rPr/>
        <w:t>semestre.</w:t>
      </w:r>
    </w:p>
    <w:p>
      <w:pPr>
        <w:pStyle w:val="BodyText"/>
        <w:spacing w:before="10"/>
        <w:rPr>
          <w:sz w:val="21"/>
        </w:rPr>
      </w:pPr>
      <w:r>
        <w:rPr/>
        <w:pict>
          <v:shape style="position:absolute;margin-left:72.384003pt;margin-top:13.896084pt;width:409.65pt;height:162.050pt;mso-position-horizontal-relative:page;mso-position-vertical-relative:paragraph;z-index:-251564032;mso-wrap-distance-left:0;mso-wrap-distance-right:0" type="#_x0000_t202" filled="true" fillcolor="#efefef" stroked="false">
            <v:textbox inset="0,0,0,0">
              <w:txbxContent>
                <w:p>
                  <w:pPr>
                    <w:spacing w:line="240" w:lineRule="exact" w:before="0"/>
                    <w:ind w:left="453" w:right="0" w:firstLine="0"/>
                    <w:jc w:val="both"/>
                    <w:rPr>
                      <w:rFonts w:ascii="Franklin Gothic Demi Cond"/>
                      <w:b/>
                      <w:sz w:val="22"/>
                    </w:rPr>
                  </w:pPr>
                  <w:r>
                    <w:rPr>
                      <w:rFonts w:ascii="Franklin Gothic Demi Cond"/>
                      <w:b/>
                      <w:sz w:val="22"/>
                    </w:rPr>
                    <w:t>La performance delle esportazioni italiane</w:t>
                  </w:r>
                </w:p>
                <w:p>
                  <w:pPr>
                    <w:spacing w:line="254" w:lineRule="auto" w:before="69"/>
                    <w:ind w:left="453" w:right="3" w:firstLine="0"/>
                    <w:jc w:val="both"/>
                    <w:rPr>
                      <w:rFonts w:ascii="Franklin Gothic Book" w:hAnsi="Franklin Gothic Book"/>
                      <w:sz w:val="20"/>
                    </w:rPr>
                  </w:pPr>
                  <w:r>
                    <w:rPr>
                      <w:rFonts w:ascii="Franklin Gothic Book" w:hAnsi="Franklin Gothic Book"/>
                      <w:sz w:val="20"/>
                    </w:rPr>
                    <w:t>Ricorrendo alla </w:t>
                  </w:r>
                  <w:r>
                    <w:rPr>
                      <w:rFonts w:ascii="Franklin Gothic Book" w:hAnsi="Franklin Gothic Book"/>
                      <w:i/>
                      <w:sz w:val="20"/>
                    </w:rPr>
                    <w:t>Shift and Share Analysis </w:t>
                  </w:r>
                  <w:r>
                    <w:rPr>
                      <w:rFonts w:ascii="Franklin Gothic Book" w:hAnsi="Franklin Gothic Book"/>
                      <w:sz w:val="20"/>
                    </w:rPr>
                    <w:t>(SSA)</w:t>
                  </w:r>
                  <w:r>
                    <w:rPr>
                      <w:rFonts w:ascii="Franklin Gothic Book" w:hAnsi="Franklin Gothic Book"/>
                      <w:position w:val="5"/>
                      <w:sz w:val="13"/>
                    </w:rPr>
                    <w:t>12 </w:t>
                  </w:r>
                  <w:r>
                    <w:rPr>
                      <w:rFonts w:ascii="Franklin Gothic Book" w:hAnsi="Franklin Gothic Book"/>
                      <w:sz w:val="20"/>
                    </w:rPr>
                    <w:t>è possibile valutare la performance dei maggiori paesi europei (Germania, Francia, Italia e Spagna) nei mercati internazionali</w:t>
                  </w:r>
                  <w:r>
                    <w:rPr>
                      <w:rFonts w:ascii="Franklin Gothic Book" w:hAnsi="Franklin Gothic Book"/>
                      <w:position w:val="5"/>
                      <w:sz w:val="13"/>
                    </w:rPr>
                    <w:t>13</w:t>
                  </w:r>
                  <w:r>
                    <w:rPr>
                      <w:rFonts w:ascii="Franklin Gothic Book" w:hAnsi="Franklin Gothic Book"/>
                      <w:sz w:val="20"/>
                    </w:rPr>
                    <w:t>.</w:t>
                  </w:r>
                </w:p>
                <w:p>
                  <w:pPr>
                    <w:spacing w:line="254" w:lineRule="auto" w:before="59"/>
                    <w:ind w:left="453" w:right="1" w:firstLine="0"/>
                    <w:jc w:val="both"/>
                    <w:rPr>
                      <w:rFonts w:ascii="Franklin Gothic Book" w:hAnsi="Franklin Gothic Book"/>
                      <w:sz w:val="20"/>
                    </w:rPr>
                  </w:pPr>
                  <w:r>
                    <w:rPr>
                      <w:rFonts w:ascii="Franklin Gothic Book" w:hAnsi="Franklin Gothic Book"/>
                      <w:sz w:val="20"/>
                    </w:rPr>
                    <w:t>Nel</w:t>
                  </w:r>
                  <w:r>
                    <w:rPr>
                      <w:rFonts w:ascii="Franklin Gothic Book" w:hAnsi="Franklin Gothic Book"/>
                      <w:spacing w:val="-9"/>
                      <w:sz w:val="20"/>
                    </w:rPr>
                    <w:t> </w:t>
                  </w:r>
                  <w:r>
                    <w:rPr>
                      <w:rFonts w:ascii="Franklin Gothic Book" w:hAnsi="Franklin Gothic Book"/>
                      <w:sz w:val="20"/>
                    </w:rPr>
                    <w:t>2018,</w:t>
                  </w:r>
                  <w:r>
                    <w:rPr>
                      <w:rFonts w:ascii="Franklin Gothic Book" w:hAnsi="Franklin Gothic Book"/>
                      <w:spacing w:val="-6"/>
                      <w:sz w:val="20"/>
                    </w:rPr>
                    <w:t> </w:t>
                  </w:r>
                  <w:r>
                    <w:rPr>
                      <w:rFonts w:ascii="Franklin Gothic Book" w:hAnsi="Franklin Gothic Book"/>
                      <w:sz w:val="20"/>
                    </w:rPr>
                    <w:t>si</w:t>
                  </w:r>
                  <w:r>
                    <w:rPr>
                      <w:rFonts w:ascii="Franklin Gothic Book" w:hAnsi="Franklin Gothic Book"/>
                      <w:spacing w:val="-9"/>
                      <w:sz w:val="20"/>
                    </w:rPr>
                    <w:t> </w:t>
                  </w:r>
                  <w:r>
                    <w:rPr>
                      <w:rFonts w:ascii="Franklin Gothic Book" w:hAnsi="Franklin Gothic Book"/>
                      <w:sz w:val="20"/>
                    </w:rPr>
                    <w:t>conferma</w:t>
                  </w:r>
                  <w:r>
                    <w:rPr>
                      <w:rFonts w:ascii="Franklin Gothic Book" w:hAnsi="Franklin Gothic Book"/>
                      <w:spacing w:val="-7"/>
                      <w:sz w:val="20"/>
                    </w:rPr>
                    <w:t> </w:t>
                  </w:r>
                  <w:r>
                    <w:rPr>
                      <w:rFonts w:ascii="Franklin Gothic Book" w:hAnsi="Franklin Gothic Book"/>
                      <w:sz w:val="20"/>
                    </w:rPr>
                    <w:t>l’evoluzione</w:t>
                  </w:r>
                  <w:r>
                    <w:rPr>
                      <w:rFonts w:ascii="Franklin Gothic Book" w:hAnsi="Franklin Gothic Book"/>
                      <w:spacing w:val="-5"/>
                      <w:sz w:val="20"/>
                    </w:rPr>
                    <w:t> </w:t>
                  </w:r>
                  <w:r>
                    <w:rPr>
                      <w:rFonts w:ascii="Franklin Gothic Book" w:hAnsi="Franklin Gothic Book"/>
                      <w:sz w:val="20"/>
                    </w:rPr>
                    <w:t>favorevole</w:t>
                  </w:r>
                  <w:r>
                    <w:rPr>
                      <w:rFonts w:ascii="Franklin Gothic Book" w:hAnsi="Franklin Gothic Book"/>
                      <w:spacing w:val="-7"/>
                      <w:sz w:val="20"/>
                    </w:rPr>
                    <w:t> </w:t>
                  </w:r>
                  <w:r>
                    <w:rPr>
                      <w:rFonts w:ascii="Franklin Gothic Book" w:hAnsi="Franklin Gothic Book"/>
                      <w:sz w:val="20"/>
                    </w:rPr>
                    <w:t>per</w:t>
                  </w:r>
                  <w:r>
                    <w:rPr>
                      <w:rFonts w:ascii="Franklin Gothic Book" w:hAnsi="Franklin Gothic Book"/>
                      <w:spacing w:val="-8"/>
                      <w:sz w:val="20"/>
                    </w:rPr>
                    <w:t> </w:t>
                  </w:r>
                  <w:r>
                    <w:rPr>
                      <w:rFonts w:ascii="Franklin Gothic Book" w:hAnsi="Franklin Gothic Book"/>
                      <w:sz w:val="20"/>
                    </w:rPr>
                    <w:t>tutti</w:t>
                  </w:r>
                  <w:r>
                    <w:rPr>
                      <w:rFonts w:ascii="Franklin Gothic Book" w:hAnsi="Franklin Gothic Book"/>
                      <w:spacing w:val="-7"/>
                      <w:sz w:val="20"/>
                    </w:rPr>
                    <w:t> </w:t>
                  </w:r>
                  <w:r>
                    <w:rPr>
                      <w:rFonts w:ascii="Franklin Gothic Book" w:hAnsi="Franklin Gothic Book"/>
                      <w:sz w:val="20"/>
                    </w:rPr>
                    <w:t>i</w:t>
                  </w:r>
                  <w:r>
                    <w:rPr>
                      <w:rFonts w:ascii="Franklin Gothic Book" w:hAnsi="Franklin Gothic Book"/>
                      <w:spacing w:val="-7"/>
                      <w:sz w:val="20"/>
                    </w:rPr>
                    <w:t> </w:t>
                  </w:r>
                  <w:r>
                    <w:rPr>
                      <w:rFonts w:ascii="Franklin Gothic Book" w:hAnsi="Franklin Gothic Book"/>
                      <w:sz w:val="20"/>
                    </w:rPr>
                    <w:t>quattro</w:t>
                  </w:r>
                  <w:r>
                    <w:rPr>
                      <w:rFonts w:ascii="Franklin Gothic Book" w:hAnsi="Franklin Gothic Book"/>
                      <w:spacing w:val="-7"/>
                      <w:sz w:val="20"/>
                    </w:rPr>
                    <w:t> </w:t>
                  </w:r>
                  <w:r>
                    <w:rPr>
                      <w:rFonts w:ascii="Franklin Gothic Book" w:hAnsi="Franklin Gothic Book"/>
                      <w:sz w:val="20"/>
                    </w:rPr>
                    <w:t>paesi</w:t>
                  </w:r>
                  <w:r>
                    <w:rPr>
                      <w:rFonts w:ascii="Franklin Gothic Book" w:hAnsi="Franklin Gothic Book"/>
                      <w:spacing w:val="-7"/>
                      <w:sz w:val="20"/>
                    </w:rPr>
                    <w:t> </w:t>
                  </w:r>
                  <w:r>
                    <w:rPr>
                      <w:rFonts w:ascii="Franklin Gothic Book" w:hAnsi="Franklin Gothic Book"/>
                      <w:sz w:val="20"/>
                    </w:rPr>
                    <w:t>già</w:t>
                  </w:r>
                  <w:r>
                    <w:rPr>
                      <w:rFonts w:ascii="Franklin Gothic Book" w:hAnsi="Franklin Gothic Book"/>
                      <w:spacing w:val="-6"/>
                      <w:sz w:val="20"/>
                    </w:rPr>
                    <w:t> </w:t>
                  </w:r>
                  <w:r>
                    <w:rPr>
                      <w:rFonts w:ascii="Franklin Gothic Book" w:hAnsi="Franklin Gothic Book"/>
                      <w:sz w:val="20"/>
                    </w:rPr>
                    <w:t>avviatasi</w:t>
                  </w:r>
                  <w:r>
                    <w:rPr>
                      <w:rFonts w:ascii="Franklin Gothic Book" w:hAnsi="Franklin Gothic Book"/>
                      <w:spacing w:val="-7"/>
                      <w:sz w:val="20"/>
                    </w:rPr>
                    <w:t> </w:t>
                  </w:r>
                  <w:r>
                    <w:rPr>
                      <w:rFonts w:ascii="Franklin Gothic Book" w:hAnsi="Franklin Gothic Book"/>
                      <w:sz w:val="20"/>
                    </w:rPr>
                    <w:t>negli</w:t>
                  </w:r>
                  <w:r>
                    <w:rPr>
                      <w:rFonts w:ascii="Franklin Gothic Book" w:hAnsi="Franklin Gothic Book"/>
                      <w:spacing w:val="-7"/>
                      <w:sz w:val="20"/>
                    </w:rPr>
                    <w:t> </w:t>
                  </w:r>
                  <w:r>
                    <w:rPr>
                      <w:rFonts w:ascii="Franklin Gothic Book" w:hAnsi="Franklin Gothic Book"/>
                      <w:sz w:val="20"/>
                    </w:rPr>
                    <w:t>anni precedenti. Per quanto riguarda l’Italia, i risultati del periodo 2016-2018 evidenziano che: i) la specializzazione produttiva non influisce in misura apprezzabile sulle quote di mercato e le</w:t>
                  </w:r>
                  <w:r>
                    <w:rPr>
                      <w:rFonts w:ascii="Franklin Gothic Book" w:hAnsi="Franklin Gothic Book"/>
                      <w:spacing w:val="-9"/>
                      <w:sz w:val="20"/>
                    </w:rPr>
                    <w:t> </w:t>
                  </w:r>
                  <w:r>
                    <w:rPr>
                      <w:rFonts w:ascii="Franklin Gothic Book" w:hAnsi="Franklin Gothic Book"/>
                      <w:sz w:val="20"/>
                    </w:rPr>
                    <w:t>informazioni</w:t>
                  </w:r>
                  <w:r>
                    <w:rPr>
                      <w:rFonts w:ascii="Franklin Gothic Book" w:hAnsi="Franklin Gothic Book"/>
                      <w:spacing w:val="-8"/>
                      <w:sz w:val="20"/>
                    </w:rPr>
                    <w:t> </w:t>
                  </w:r>
                  <w:r>
                    <w:rPr>
                      <w:rFonts w:ascii="Franklin Gothic Book" w:hAnsi="Franklin Gothic Book"/>
                      <w:sz w:val="20"/>
                    </w:rPr>
                    <w:t>disponibili</w:t>
                  </w:r>
                  <w:r>
                    <w:rPr>
                      <w:rFonts w:ascii="Franklin Gothic Book" w:hAnsi="Franklin Gothic Book"/>
                      <w:spacing w:val="-6"/>
                      <w:sz w:val="20"/>
                    </w:rPr>
                    <w:t> </w:t>
                  </w:r>
                  <w:r>
                    <w:rPr>
                      <w:rFonts w:ascii="Franklin Gothic Book" w:hAnsi="Franklin Gothic Book"/>
                      <w:sz w:val="20"/>
                    </w:rPr>
                    <w:t>per</w:t>
                  </w:r>
                  <w:r>
                    <w:rPr>
                      <w:rFonts w:ascii="Franklin Gothic Book" w:hAnsi="Franklin Gothic Book"/>
                      <w:spacing w:val="-8"/>
                      <w:sz w:val="20"/>
                    </w:rPr>
                    <w:t> </w:t>
                  </w:r>
                  <w:r>
                    <w:rPr>
                      <w:rFonts w:ascii="Franklin Gothic Book" w:hAnsi="Franklin Gothic Book"/>
                      <w:sz w:val="20"/>
                    </w:rPr>
                    <w:t>il</w:t>
                  </w:r>
                  <w:r>
                    <w:rPr>
                      <w:rFonts w:ascii="Franklin Gothic Book" w:hAnsi="Franklin Gothic Book"/>
                      <w:spacing w:val="-8"/>
                      <w:sz w:val="20"/>
                    </w:rPr>
                    <w:t> </w:t>
                  </w:r>
                  <w:r>
                    <w:rPr>
                      <w:rFonts w:ascii="Franklin Gothic Book" w:hAnsi="Franklin Gothic Book"/>
                      <w:sz w:val="20"/>
                    </w:rPr>
                    <w:t>2018</w:t>
                  </w:r>
                  <w:r>
                    <w:rPr>
                      <w:rFonts w:ascii="Franklin Gothic Book" w:hAnsi="Franklin Gothic Book"/>
                      <w:spacing w:val="-7"/>
                      <w:sz w:val="20"/>
                    </w:rPr>
                    <w:t> </w:t>
                  </w:r>
                  <w:r>
                    <w:rPr>
                      <w:rFonts w:ascii="Franklin Gothic Book" w:hAnsi="Franklin Gothic Book"/>
                      <w:sz w:val="20"/>
                    </w:rPr>
                    <w:t>suggeriscono</w:t>
                  </w:r>
                  <w:r>
                    <w:rPr>
                      <w:rFonts w:ascii="Franklin Gothic Book" w:hAnsi="Franklin Gothic Book"/>
                      <w:spacing w:val="-9"/>
                      <w:sz w:val="20"/>
                    </w:rPr>
                    <w:t> </w:t>
                  </w:r>
                  <w:r>
                    <w:rPr>
                      <w:rFonts w:ascii="Franklin Gothic Book" w:hAnsi="Franklin Gothic Book"/>
                      <w:sz w:val="20"/>
                    </w:rPr>
                    <w:t>un orientamento</w:t>
                  </w:r>
                  <w:r>
                    <w:rPr>
                      <w:rFonts w:ascii="Franklin Gothic Book" w:hAnsi="Franklin Gothic Book"/>
                      <w:spacing w:val="-7"/>
                      <w:sz w:val="20"/>
                    </w:rPr>
                    <w:t> </w:t>
                  </w:r>
                  <w:r>
                    <w:rPr>
                      <w:rFonts w:ascii="Franklin Gothic Book" w:hAnsi="Franklin Gothic Book"/>
                      <w:sz w:val="20"/>
                    </w:rPr>
                    <w:t>dell’export</w:t>
                  </w:r>
                  <w:r>
                    <w:rPr>
                      <w:rFonts w:ascii="Franklin Gothic Book" w:hAnsi="Franklin Gothic Book"/>
                      <w:spacing w:val="-4"/>
                      <w:sz w:val="20"/>
                    </w:rPr>
                    <w:t> </w:t>
                  </w:r>
                  <w:r>
                    <w:rPr>
                      <w:rFonts w:ascii="Franklin Gothic Book" w:hAnsi="Franklin Gothic Book"/>
                      <w:sz w:val="20"/>
                    </w:rPr>
                    <w:t>verso</w:t>
                  </w:r>
                  <w:r>
                    <w:rPr>
                      <w:rFonts w:ascii="Franklin Gothic Book" w:hAnsi="Franklin Gothic Book"/>
                      <w:spacing w:val="-4"/>
                      <w:sz w:val="20"/>
                    </w:rPr>
                    <w:t> </w:t>
                  </w:r>
                  <w:r>
                    <w:rPr>
                      <w:rFonts w:ascii="Franklin Gothic Book" w:hAnsi="Franklin Gothic Book"/>
                      <w:sz w:val="20"/>
                    </w:rPr>
                    <w:t>settori più</w:t>
                  </w:r>
                  <w:r>
                    <w:rPr>
                      <w:rFonts w:ascii="Franklin Gothic Book" w:hAnsi="Franklin Gothic Book"/>
                      <w:spacing w:val="-13"/>
                      <w:sz w:val="20"/>
                    </w:rPr>
                    <w:t> </w:t>
                  </w:r>
                  <w:r>
                    <w:rPr>
                      <w:rFonts w:ascii="Franklin Gothic Book" w:hAnsi="Franklin Gothic Book"/>
                      <w:sz w:val="20"/>
                    </w:rPr>
                    <w:t>moderni</w:t>
                  </w:r>
                  <w:r>
                    <w:rPr>
                      <w:rFonts w:ascii="Franklin Gothic Book" w:hAnsi="Franklin Gothic Book"/>
                      <w:spacing w:val="-10"/>
                      <w:sz w:val="20"/>
                    </w:rPr>
                    <w:t> </w:t>
                  </w:r>
                  <w:r>
                    <w:rPr>
                      <w:rFonts w:ascii="Franklin Gothic Book" w:hAnsi="Franklin Gothic Book"/>
                      <w:sz w:val="20"/>
                    </w:rPr>
                    <w:t>e</w:t>
                  </w:r>
                  <w:r>
                    <w:rPr>
                      <w:rFonts w:ascii="Franklin Gothic Book" w:hAnsi="Franklin Gothic Book"/>
                      <w:spacing w:val="-12"/>
                      <w:sz w:val="20"/>
                    </w:rPr>
                    <w:t> </w:t>
                  </w:r>
                  <w:r>
                    <w:rPr>
                      <w:rFonts w:ascii="Franklin Gothic Book" w:hAnsi="Franklin Gothic Book"/>
                      <w:sz w:val="20"/>
                    </w:rPr>
                    <w:t>dinamici;</w:t>
                  </w:r>
                  <w:r>
                    <w:rPr>
                      <w:rFonts w:ascii="Franklin Gothic Book" w:hAnsi="Franklin Gothic Book"/>
                      <w:spacing w:val="-12"/>
                      <w:sz w:val="20"/>
                    </w:rPr>
                    <w:t> </w:t>
                  </w:r>
                  <w:r>
                    <w:rPr>
                      <w:rFonts w:ascii="Franklin Gothic Book" w:hAnsi="Franklin Gothic Book"/>
                      <w:sz w:val="20"/>
                    </w:rPr>
                    <w:t>ii)</w:t>
                  </w:r>
                  <w:r>
                    <w:rPr>
                      <w:rFonts w:ascii="Franklin Gothic Book" w:hAnsi="Franklin Gothic Book"/>
                      <w:spacing w:val="-10"/>
                      <w:sz w:val="20"/>
                    </w:rPr>
                    <w:t> </w:t>
                  </w:r>
                  <w:r>
                    <w:rPr>
                      <w:rFonts w:ascii="Franklin Gothic Book" w:hAnsi="Franklin Gothic Book"/>
                      <w:sz w:val="20"/>
                    </w:rPr>
                    <w:t>l’apporto</w:t>
                  </w:r>
                  <w:r>
                    <w:rPr>
                      <w:rFonts w:ascii="Franklin Gothic Book" w:hAnsi="Franklin Gothic Book"/>
                      <w:spacing w:val="-10"/>
                      <w:sz w:val="20"/>
                    </w:rPr>
                    <w:t> </w:t>
                  </w:r>
                  <w:r>
                    <w:rPr>
                      <w:rFonts w:ascii="Franklin Gothic Book" w:hAnsi="Franklin Gothic Book"/>
                      <w:sz w:val="20"/>
                    </w:rPr>
                    <w:t>positivo</w:t>
                  </w:r>
                  <w:r>
                    <w:rPr>
                      <w:rFonts w:ascii="Franklin Gothic Book" w:hAnsi="Franklin Gothic Book"/>
                      <w:spacing w:val="-10"/>
                      <w:sz w:val="20"/>
                    </w:rPr>
                    <w:t> </w:t>
                  </w:r>
                  <w:r>
                    <w:rPr>
                      <w:rFonts w:ascii="Franklin Gothic Book" w:hAnsi="Franklin Gothic Book"/>
                      <w:sz w:val="20"/>
                    </w:rPr>
                    <w:t>dell’esposizione</w:t>
                  </w:r>
                  <w:r>
                    <w:rPr>
                      <w:rFonts w:ascii="Franklin Gothic Book" w:hAnsi="Franklin Gothic Book"/>
                      <w:spacing w:val="-13"/>
                      <w:sz w:val="20"/>
                    </w:rPr>
                    <w:t> </w:t>
                  </w:r>
                  <w:r>
                    <w:rPr>
                      <w:rFonts w:ascii="Franklin Gothic Book" w:hAnsi="Franklin Gothic Book"/>
                      <w:sz w:val="20"/>
                    </w:rPr>
                    <w:t>verso</w:t>
                  </w:r>
                  <w:r>
                    <w:rPr>
                      <w:rFonts w:ascii="Franklin Gothic Book" w:hAnsi="Franklin Gothic Book"/>
                      <w:spacing w:val="-11"/>
                      <w:sz w:val="20"/>
                    </w:rPr>
                    <w:t> </w:t>
                  </w:r>
                  <w:r>
                    <w:rPr>
                      <w:rFonts w:ascii="Franklin Gothic Book" w:hAnsi="Franklin Gothic Book"/>
                      <w:sz w:val="20"/>
                    </w:rPr>
                    <w:t>i</w:t>
                  </w:r>
                  <w:r>
                    <w:rPr>
                      <w:rFonts w:ascii="Franklin Gothic Book" w:hAnsi="Franklin Gothic Book"/>
                      <w:spacing w:val="-12"/>
                      <w:sz w:val="20"/>
                    </w:rPr>
                    <w:t> </w:t>
                  </w:r>
                  <w:r>
                    <w:rPr>
                      <w:rFonts w:ascii="Franklin Gothic Book" w:hAnsi="Franklin Gothic Book"/>
                      <w:sz w:val="20"/>
                    </w:rPr>
                    <w:t>mercati</w:t>
                  </w:r>
                  <w:r>
                    <w:rPr>
                      <w:rFonts w:ascii="Franklin Gothic Book" w:hAnsi="Franklin Gothic Book"/>
                      <w:spacing w:val="-12"/>
                      <w:sz w:val="20"/>
                    </w:rPr>
                    <w:t> </w:t>
                  </w:r>
                  <w:r>
                    <w:rPr>
                      <w:rFonts w:ascii="Franklin Gothic Book" w:hAnsi="Franklin Gothic Book"/>
                      <w:sz w:val="20"/>
                    </w:rPr>
                    <w:t>più</w:t>
                  </w:r>
                  <w:r>
                    <w:rPr>
                      <w:rFonts w:ascii="Franklin Gothic Book" w:hAnsi="Franklin Gothic Book"/>
                      <w:spacing w:val="-11"/>
                      <w:sz w:val="20"/>
                    </w:rPr>
                    <w:t> </w:t>
                  </w:r>
                  <w:r>
                    <w:rPr>
                      <w:rFonts w:ascii="Franklin Gothic Book" w:hAnsi="Franklin Gothic Book"/>
                      <w:sz w:val="20"/>
                    </w:rPr>
                    <w:t>attivi,</w:t>
                  </w:r>
                  <w:r>
                    <w:rPr>
                      <w:rFonts w:ascii="Franklin Gothic Book" w:hAnsi="Franklin Gothic Book"/>
                      <w:spacing w:val="-12"/>
                      <w:sz w:val="20"/>
                    </w:rPr>
                    <w:t> </w:t>
                  </w:r>
                  <w:r>
                    <w:rPr>
                      <w:rFonts w:ascii="Franklin Gothic Book" w:hAnsi="Franklin Gothic Book"/>
                      <w:sz w:val="20"/>
                    </w:rPr>
                    <w:t>iniziata a</w:t>
                  </w:r>
                  <w:r>
                    <w:rPr>
                      <w:rFonts w:ascii="Franklin Gothic Book" w:hAnsi="Franklin Gothic Book"/>
                      <w:spacing w:val="-7"/>
                      <w:sz w:val="20"/>
                    </w:rPr>
                    <w:t> </w:t>
                  </w:r>
                  <w:r>
                    <w:rPr>
                      <w:rFonts w:ascii="Franklin Gothic Book" w:hAnsi="Franklin Gothic Book"/>
                      <w:sz w:val="20"/>
                    </w:rPr>
                    <w:t>partire</w:t>
                  </w:r>
                  <w:r>
                    <w:rPr>
                      <w:rFonts w:ascii="Franklin Gothic Book" w:hAnsi="Franklin Gothic Book"/>
                      <w:spacing w:val="-7"/>
                      <w:sz w:val="20"/>
                    </w:rPr>
                    <w:t> </w:t>
                  </w:r>
                  <w:r>
                    <w:rPr>
                      <w:rFonts w:ascii="Franklin Gothic Book" w:hAnsi="Franklin Gothic Book"/>
                      <w:sz w:val="20"/>
                    </w:rPr>
                    <w:t>dal</w:t>
                  </w:r>
                  <w:r>
                    <w:rPr>
                      <w:rFonts w:ascii="Franklin Gothic Book" w:hAnsi="Franklin Gothic Book"/>
                      <w:spacing w:val="-7"/>
                      <w:sz w:val="20"/>
                    </w:rPr>
                    <w:t> </w:t>
                  </w:r>
                  <w:r>
                    <w:rPr>
                      <w:rFonts w:ascii="Franklin Gothic Book" w:hAnsi="Franklin Gothic Book"/>
                      <w:sz w:val="20"/>
                    </w:rPr>
                    <w:t>2013,</w:t>
                  </w:r>
                  <w:r>
                    <w:rPr>
                      <w:rFonts w:ascii="Franklin Gothic Book" w:hAnsi="Franklin Gothic Book"/>
                      <w:spacing w:val="-5"/>
                      <w:sz w:val="20"/>
                    </w:rPr>
                    <w:t> </w:t>
                  </w:r>
                  <w:r>
                    <w:rPr>
                      <w:rFonts w:ascii="Franklin Gothic Book" w:hAnsi="Franklin Gothic Book"/>
                      <w:sz w:val="20"/>
                    </w:rPr>
                    <w:t>sembra</w:t>
                  </w:r>
                  <w:r>
                    <w:rPr>
                      <w:rFonts w:ascii="Franklin Gothic Book" w:hAnsi="Franklin Gothic Book"/>
                      <w:spacing w:val="-7"/>
                      <w:sz w:val="20"/>
                    </w:rPr>
                    <w:t> </w:t>
                  </w:r>
                  <w:r>
                    <w:rPr>
                      <w:rFonts w:ascii="Franklin Gothic Book" w:hAnsi="Franklin Gothic Book"/>
                      <w:sz w:val="20"/>
                    </w:rPr>
                    <w:t>aver</w:t>
                  </w:r>
                  <w:r>
                    <w:rPr>
                      <w:rFonts w:ascii="Franklin Gothic Book" w:hAnsi="Franklin Gothic Book"/>
                      <w:spacing w:val="-6"/>
                      <w:sz w:val="20"/>
                    </w:rPr>
                    <w:t> </w:t>
                  </w:r>
                  <w:r>
                    <w:rPr>
                      <w:rFonts w:ascii="Franklin Gothic Book" w:hAnsi="Franklin Gothic Book"/>
                      <w:sz w:val="20"/>
                    </w:rPr>
                    <w:t>mutato</w:t>
                  </w:r>
                  <w:r>
                    <w:rPr>
                      <w:rFonts w:ascii="Franklin Gothic Book" w:hAnsi="Franklin Gothic Book"/>
                      <w:spacing w:val="-6"/>
                      <w:sz w:val="20"/>
                    </w:rPr>
                    <w:t> </w:t>
                  </w:r>
                  <w:r>
                    <w:rPr>
                      <w:rFonts w:ascii="Franklin Gothic Book" w:hAnsi="Franklin Gothic Book"/>
                      <w:sz w:val="20"/>
                    </w:rPr>
                    <w:t>di</w:t>
                  </w:r>
                  <w:r>
                    <w:rPr>
                      <w:rFonts w:ascii="Franklin Gothic Book" w:hAnsi="Franklin Gothic Book"/>
                      <w:spacing w:val="-7"/>
                      <w:sz w:val="20"/>
                    </w:rPr>
                    <w:t> </w:t>
                  </w:r>
                  <w:r>
                    <w:rPr>
                      <w:rFonts w:ascii="Franklin Gothic Book" w:hAnsi="Franklin Gothic Book"/>
                      <w:sz w:val="20"/>
                    </w:rPr>
                    <w:t>segno,</w:t>
                  </w:r>
                  <w:r>
                    <w:rPr>
                      <w:rFonts w:ascii="Franklin Gothic Book" w:hAnsi="Franklin Gothic Book"/>
                      <w:spacing w:val="-4"/>
                      <w:sz w:val="20"/>
                    </w:rPr>
                    <w:t> </w:t>
                  </w:r>
                  <w:r>
                    <w:rPr>
                      <w:rFonts w:ascii="Franklin Gothic Book" w:hAnsi="Franklin Gothic Book"/>
                      <w:sz w:val="20"/>
                    </w:rPr>
                    <w:t>riflettendo</w:t>
                  </w:r>
                  <w:r>
                    <w:rPr>
                      <w:rFonts w:ascii="Franklin Gothic Book" w:hAnsi="Franklin Gothic Book"/>
                      <w:spacing w:val="-7"/>
                      <w:sz w:val="20"/>
                    </w:rPr>
                    <w:t> </w:t>
                  </w:r>
                  <w:r>
                    <w:rPr>
                      <w:rFonts w:ascii="Franklin Gothic Book" w:hAnsi="Franklin Gothic Book"/>
                      <w:sz w:val="20"/>
                    </w:rPr>
                    <w:t>le</w:t>
                  </w:r>
                  <w:r>
                    <w:rPr>
                      <w:rFonts w:ascii="Franklin Gothic Book" w:hAnsi="Franklin Gothic Book"/>
                      <w:spacing w:val="-7"/>
                      <w:sz w:val="20"/>
                    </w:rPr>
                    <w:t> </w:t>
                  </w:r>
                  <w:r>
                    <w:rPr>
                      <w:rFonts w:ascii="Franklin Gothic Book" w:hAnsi="Franklin Gothic Book"/>
                      <w:sz w:val="20"/>
                    </w:rPr>
                    <w:t>tensioni</w:t>
                  </w:r>
                  <w:r>
                    <w:rPr>
                      <w:rFonts w:ascii="Franklin Gothic Book" w:hAnsi="Franklin Gothic Book"/>
                      <w:spacing w:val="-7"/>
                      <w:sz w:val="20"/>
                    </w:rPr>
                    <w:t> </w:t>
                  </w:r>
                  <w:r>
                    <w:rPr>
                      <w:rFonts w:ascii="Franklin Gothic Book" w:hAnsi="Franklin Gothic Book"/>
                      <w:sz w:val="20"/>
                    </w:rPr>
                    <w:t>commerciali</w:t>
                  </w:r>
                  <w:r>
                    <w:rPr>
                      <w:rFonts w:ascii="Franklin Gothic Book" w:hAnsi="Franklin Gothic Book"/>
                      <w:spacing w:val="-7"/>
                      <w:sz w:val="20"/>
                    </w:rPr>
                    <w:t> </w:t>
                  </w:r>
                  <w:r>
                    <w:rPr>
                      <w:rFonts w:ascii="Franklin Gothic Book" w:hAnsi="Franklin Gothic Book"/>
                      <w:sz w:val="20"/>
                    </w:rPr>
                    <w:t>acuitesi dalla</w:t>
                  </w:r>
                  <w:r>
                    <w:rPr>
                      <w:rFonts w:ascii="Franklin Gothic Book" w:hAnsi="Franklin Gothic Book"/>
                      <w:spacing w:val="-5"/>
                      <w:sz w:val="20"/>
                    </w:rPr>
                    <w:t> </w:t>
                  </w:r>
                  <w:r>
                    <w:rPr>
                      <w:rFonts w:ascii="Franklin Gothic Book" w:hAnsi="Franklin Gothic Book"/>
                      <w:sz w:val="20"/>
                    </w:rPr>
                    <w:t>seconda</w:t>
                  </w:r>
                  <w:r>
                    <w:rPr>
                      <w:rFonts w:ascii="Franklin Gothic Book" w:hAnsi="Franklin Gothic Book"/>
                      <w:spacing w:val="-5"/>
                      <w:sz w:val="20"/>
                    </w:rPr>
                    <w:t> </w:t>
                  </w:r>
                  <w:r>
                    <w:rPr>
                      <w:rFonts w:ascii="Franklin Gothic Book" w:hAnsi="Franklin Gothic Book"/>
                      <w:sz w:val="20"/>
                    </w:rPr>
                    <w:t>metà</w:t>
                  </w:r>
                  <w:r>
                    <w:rPr>
                      <w:rFonts w:ascii="Franklin Gothic Book" w:hAnsi="Franklin Gothic Book"/>
                      <w:spacing w:val="-4"/>
                      <w:sz w:val="20"/>
                    </w:rPr>
                    <w:t> </w:t>
                  </w:r>
                  <w:r>
                    <w:rPr>
                      <w:rFonts w:ascii="Franklin Gothic Book" w:hAnsi="Franklin Gothic Book"/>
                      <w:sz w:val="20"/>
                    </w:rPr>
                    <w:t>dello</w:t>
                  </w:r>
                  <w:r>
                    <w:rPr>
                      <w:rFonts w:ascii="Franklin Gothic Book" w:hAnsi="Franklin Gothic Book"/>
                      <w:spacing w:val="-6"/>
                      <w:sz w:val="20"/>
                    </w:rPr>
                    <w:t> </w:t>
                  </w:r>
                  <w:r>
                    <w:rPr>
                      <w:rFonts w:ascii="Franklin Gothic Book" w:hAnsi="Franklin Gothic Book"/>
                      <w:sz w:val="20"/>
                    </w:rPr>
                    <w:t>scorso</w:t>
                  </w:r>
                  <w:r>
                    <w:rPr>
                      <w:rFonts w:ascii="Franklin Gothic Book" w:hAnsi="Franklin Gothic Book"/>
                      <w:spacing w:val="-5"/>
                      <w:sz w:val="20"/>
                    </w:rPr>
                    <w:t> </w:t>
                  </w:r>
                  <w:r>
                    <w:rPr>
                      <w:rFonts w:ascii="Franklin Gothic Book" w:hAnsi="Franklin Gothic Book"/>
                      <w:sz w:val="20"/>
                    </w:rPr>
                    <w:t>anno;</w:t>
                  </w:r>
                  <w:r>
                    <w:rPr>
                      <w:rFonts w:ascii="Franklin Gothic Book" w:hAnsi="Franklin Gothic Book"/>
                      <w:spacing w:val="-5"/>
                      <w:sz w:val="20"/>
                    </w:rPr>
                    <w:t> </w:t>
                  </w:r>
                  <w:r>
                    <w:rPr>
                      <w:rFonts w:ascii="Franklin Gothic Book" w:hAnsi="Franklin Gothic Book"/>
                      <w:sz w:val="20"/>
                    </w:rPr>
                    <w:t>iii)</w:t>
                  </w:r>
                  <w:r>
                    <w:rPr>
                      <w:rFonts w:ascii="Franklin Gothic Book" w:hAnsi="Franklin Gothic Book"/>
                      <w:spacing w:val="-5"/>
                      <w:sz w:val="20"/>
                    </w:rPr>
                    <w:t> </w:t>
                  </w:r>
                  <w:r>
                    <w:rPr>
                      <w:rFonts w:ascii="Franklin Gothic Book" w:hAnsi="Franklin Gothic Book"/>
                      <w:sz w:val="20"/>
                    </w:rPr>
                    <w:t>in</w:t>
                  </w:r>
                  <w:r>
                    <w:rPr>
                      <w:rFonts w:ascii="Franklin Gothic Book" w:hAnsi="Franklin Gothic Book"/>
                      <w:spacing w:val="-5"/>
                      <w:sz w:val="20"/>
                    </w:rPr>
                    <w:t> </w:t>
                  </w:r>
                  <w:r>
                    <w:rPr>
                      <w:rFonts w:ascii="Franklin Gothic Book" w:hAnsi="Franklin Gothic Book"/>
                      <w:sz w:val="20"/>
                    </w:rPr>
                    <w:t>termini</w:t>
                  </w:r>
                  <w:r>
                    <w:rPr>
                      <w:rFonts w:ascii="Franklin Gothic Book" w:hAnsi="Franklin Gothic Book"/>
                      <w:spacing w:val="-5"/>
                      <w:sz w:val="20"/>
                    </w:rPr>
                    <w:t> </w:t>
                  </w:r>
                  <w:r>
                    <w:rPr>
                      <w:rFonts w:ascii="Franklin Gothic Book" w:hAnsi="Franklin Gothic Book"/>
                      <w:sz w:val="20"/>
                    </w:rPr>
                    <w:t>di</w:t>
                  </w:r>
                  <w:r>
                    <w:rPr>
                      <w:rFonts w:ascii="Franklin Gothic Book" w:hAnsi="Franklin Gothic Book"/>
                      <w:spacing w:val="-5"/>
                      <w:sz w:val="20"/>
                    </w:rPr>
                    <w:t> </w:t>
                  </w:r>
                  <w:r>
                    <w:rPr>
                      <w:rFonts w:ascii="Franklin Gothic Book" w:hAnsi="Franklin Gothic Book"/>
                      <w:sz w:val="20"/>
                    </w:rPr>
                    <w:t>specializzazione</w:t>
                  </w:r>
                  <w:r>
                    <w:rPr>
                      <w:rFonts w:ascii="Franklin Gothic Book" w:hAnsi="Franklin Gothic Book"/>
                      <w:spacing w:val="-6"/>
                      <w:sz w:val="20"/>
                    </w:rPr>
                    <w:t> </w:t>
                  </w:r>
                  <w:r>
                    <w:rPr>
                      <w:rFonts w:ascii="Franklin Gothic Book" w:hAnsi="Franklin Gothic Book"/>
                      <w:sz w:val="20"/>
                    </w:rPr>
                    <w:t>geografica,</w:t>
                  </w:r>
                  <w:r>
                    <w:rPr>
                      <w:rFonts w:ascii="Franklin Gothic Book" w:hAnsi="Franklin Gothic Book"/>
                      <w:spacing w:val="-4"/>
                      <w:sz w:val="20"/>
                    </w:rPr>
                    <w:t> </w:t>
                  </w:r>
                  <w:r>
                    <w:rPr>
                      <w:rFonts w:ascii="Franklin Gothic Book" w:hAnsi="Franklin Gothic Book"/>
                      <w:sz w:val="20"/>
                    </w:rPr>
                    <w:t>nel</w:t>
                  </w:r>
                  <w:r>
                    <w:rPr>
                      <w:rFonts w:ascii="Franklin Gothic Book" w:hAnsi="Franklin Gothic Book"/>
                      <w:spacing w:val="-4"/>
                      <w:sz w:val="20"/>
                    </w:rPr>
                    <w:t> </w:t>
                  </w:r>
                  <w:r>
                    <w:rPr>
                      <w:rFonts w:ascii="Franklin Gothic Book" w:hAnsi="Franklin Gothic Book"/>
                      <w:sz w:val="20"/>
                    </w:rPr>
                    <w:t>2018 la crescita economica dell’UE ha sostenuto il commercio intra-area in misura maggiore rispetto a quello con paesi terzi, con esiti favorevoli per le esportazioni italiane. Nello stesso triennio, si osservano sviluppi simili anche negli altri partner</w:t>
                  </w:r>
                  <w:r>
                    <w:rPr>
                      <w:rFonts w:ascii="Franklin Gothic Book" w:hAnsi="Franklin Gothic Book"/>
                      <w:spacing w:val="-10"/>
                      <w:sz w:val="20"/>
                    </w:rPr>
                    <w:t> </w:t>
                  </w:r>
                  <w:r>
                    <w:rPr>
                      <w:rFonts w:ascii="Franklin Gothic Book" w:hAnsi="Franklin Gothic Book"/>
                      <w:sz w:val="20"/>
                    </w:rPr>
                    <w:t>europei.</w:t>
                  </w:r>
                </w:p>
              </w:txbxContent>
            </v:textbox>
            <v:fill type="solid"/>
            <w10:wrap type="topAndBottom"/>
          </v:shape>
        </w:pict>
      </w:r>
    </w:p>
    <w:p>
      <w:pPr>
        <w:pStyle w:val="BodyText"/>
        <w:rPr>
          <w:sz w:val="20"/>
        </w:rPr>
      </w:pPr>
    </w:p>
    <w:p>
      <w:pPr>
        <w:pStyle w:val="BodyText"/>
        <w:spacing w:before="8"/>
        <w:rPr>
          <w:sz w:val="23"/>
        </w:rPr>
      </w:pPr>
      <w:r>
        <w:rPr/>
        <w:pict>
          <v:group style="position:absolute;margin-left:93.599998pt;margin-top:15.758672pt;width:21.4pt;height:2.15pt;mso-position-horizontal-relative:page;mso-position-vertical-relative:paragraph;z-index:-251563008;mso-wrap-distance-left:0;mso-wrap-distance-right:0" coordorigin="1872,315" coordsize="428,43">
            <v:line style="position:absolute" from="1872,336" to="2299,336" stroked="true" strokeweight="2.050pt" strokecolor="#aaaaaa">
              <v:stroke dashstyle="solid"/>
            </v:line>
            <v:rect style="position:absolute;left:1872;top:316;width:5;height:5" filled="true" fillcolor="#9f9f9f" stroked="false">
              <v:fill type="solid"/>
            </v:rect>
            <v:rect style="position:absolute;left:1872;top:316;width:5;height:5" filled="true" fillcolor="#9f9f9f" stroked="false">
              <v:fill type="solid"/>
            </v:rect>
            <v:line style="position:absolute" from="1877,319" to="2295,319" stroked="true" strokeweight=".23999pt" strokecolor="#9f9f9f">
              <v:stroke dashstyle="solid"/>
            </v:line>
            <v:rect style="position:absolute;left:2294;top:316;width:5;height:5" filled="true" fillcolor="#e2e2e2" stroked="false">
              <v:fill type="solid"/>
            </v:rect>
            <v:rect style="position:absolute;left:2294;top:316;width:5;height:5" filled="true" fillcolor="#9f9f9f" stroked="false">
              <v:fill type="solid"/>
            </v:rect>
            <v:rect style="position:absolute;left:1872;top:321;width:5;height:32" filled="true" fillcolor="#9f9f9f" stroked="false">
              <v:fill type="solid"/>
            </v:rect>
            <v:rect style="position:absolute;left:2294;top:321;width:5;height:32" filled="true" fillcolor="#e2e2e2" stroked="false">
              <v:fill type="solid"/>
            </v:rect>
            <v:rect style="position:absolute;left:1872;top:352;width:5;height:5" filled="true" fillcolor="#9f9f9f" stroked="false">
              <v:fill type="solid"/>
            </v:rect>
            <v:rect style="position:absolute;left:1872;top:352;width:5;height:5" filled="true" fillcolor="#e2e2e2" stroked="false">
              <v:fill type="solid"/>
            </v:rect>
            <v:line style="position:absolute" from="1877,355" to="2295,355" stroked="true" strokeweight=".24005pt" strokecolor="#e2e2e2">
              <v:stroke dashstyle="solid"/>
            </v:line>
            <v:rect style="position:absolute;left:2294;top:352;width:5;height:5" filled="true" fillcolor="#e2e2e2" stroked="false">
              <v:fill type="solid"/>
            </v:rect>
            <v:rect style="position:absolute;left:2294;top:352;width:5;height:5" filled="true" fillcolor="#e2e2e2" stroked="false">
              <v:fill type="solid"/>
            </v:rect>
            <w10:wrap type="topAndBottom"/>
          </v:group>
        </w:pict>
      </w:r>
    </w:p>
    <w:p>
      <w:pPr>
        <w:spacing w:line="240" w:lineRule="auto" w:before="20"/>
        <w:ind w:left="278" w:right="2263" w:firstLine="453"/>
        <w:jc w:val="both"/>
        <w:rPr>
          <w:sz w:val="16"/>
        </w:rPr>
      </w:pPr>
      <w:r>
        <w:rPr>
          <w:position w:val="6"/>
          <w:sz w:val="10"/>
        </w:rPr>
        <w:t>12 </w:t>
      </w:r>
      <w:r>
        <w:rPr>
          <w:sz w:val="16"/>
        </w:rPr>
        <w:t>Questa analisi esamina la performance di un paese nei mercati internazionali, considerando la differenza tra il tasso di crescita delle esportazioni di un paese e il tasso di crescita delle esportazioni mondiali in un dato periodo. Questo differenziale, che corrisponde alla variazione delle quote di mercato, può essere scomposto in quattro</w:t>
      </w:r>
      <w:r>
        <w:rPr>
          <w:spacing w:val="-9"/>
          <w:sz w:val="16"/>
        </w:rPr>
        <w:t> </w:t>
      </w:r>
      <w:r>
        <w:rPr>
          <w:sz w:val="16"/>
        </w:rPr>
        <w:t>fattori:</w:t>
      </w:r>
      <w:r>
        <w:rPr>
          <w:spacing w:val="-8"/>
          <w:sz w:val="16"/>
        </w:rPr>
        <w:t> </w:t>
      </w:r>
      <w:r>
        <w:rPr>
          <w:sz w:val="16"/>
        </w:rPr>
        <w:t>A)</w:t>
      </w:r>
      <w:r>
        <w:rPr>
          <w:spacing w:val="-9"/>
          <w:sz w:val="16"/>
        </w:rPr>
        <w:t> </w:t>
      </w:r>
      <w:r>
        <w:rPr>
          <w:sz w:val="16"/>
        </w:rPr>
        <w:t>l’effetto</w:t>
      </w:r>
      <w:r>
        <w:rPr>
          <w:spacing w:val="-8"/>
          <w:sz w:val="16"/>
        </w:rPr>
        <w:t> </w:t>
      </w:r>
      <w:r>
        <w:rPr>
          <w:sz w:val="16"/>
        </w:rPr>
        <w:t>della</w:t>
      </w:r>
      <w:r>
        <w:rPr>
          <w:spacing w:val="-9"/>
          <w:sz w:val="16"/>
        </w:rPr>
        <w:t> </w:t>
      </w:r>
      <w:r>
        <w:rPr>
          <w:sz w:val="16"/>
        </w:rPr>
        <w:t>specializzazione</w:t>
      </w:r>
      <w:r>
        <w:rPr>
          <w:spacing w:val="-9"/>
          <w:sz w:val="16"/>
        </w:rPr>
        <w:t> </w:t>
      </w:r>
      <w:r>
        <w:rPr>
          <w:sz w:val="16"/>
        </w:rPr>
        <w:t>settoriale</w:t>
      </w:r>
      <w:r>
        <w:rPr>
          <w:spacing w:val="-8"/>
          <w:sz w:val="16"/>
        </w:rPr>
        <w:t> </w:t>
      </w:r>
      <w:r>
        <w:rPr>
          <w:sz w:val="16"/>
        </w:rPr>
        <w:t>inziale</w:t>
      </w:r>
      <w:r>
        <w:rPr>
          <w:spacing w:val="-10"/>
          <w:sz w:val="16"/>
        </w:rPr>
        <w:t> </w:t>
      </w:r>
      <w:r>
        <w:rPr>
          <w:sz w:val="16"/>
        </w:rPr>
        <w:t>dell’export;</w:t>
      </w:r>
      <w:r>
        <w:rPr>
          <w:spacing w:val="-9"/>
          <w:sz w:val="16"/>
        </w:rPr>
        <w:t> </w:t>
      </w:r>
      <w:r>
        <w:rPr>
          <w:sz w:val="16"/>
        </w:rPr>
        <w:t>B)</w:t>
      </w:r>
      <w:r>
        <w:rPr>
          <w:spacing w:val="-10"/>
          <w:sz w:val="16"/>
        </w:rPr>
        <w:t> </w:t>
      </w:r>
      <w:r>
        <w:rPr>
          <w:sz w:val="16"/>
        </w:rPr>
        <w:t>l’impatto</w:t>
      </w:r>
      <w:r>
        <w:rPr>
          <w:spacing w:val="-8"/>
          <w:sz w:val="16"/>
        </w:rPr>
        <w:t> </w:t>
      </w:r>
      <w:r>
        <w:rPr>
          <w:sz w:val="16"/>
        </w:rPr>
        <w:t>della</w:t>
      </w:r>
      <w:r>
        <w:rPr>
          <w:spacing w:val="-10"/>
          <w:sz w:val="16"/>
        </w:rPr>
        <w:t> </w:t>
      </w:r>
      <w:r>
        <w:rPr>
          <w:sz w:val="16"/>
        </w:rPr>
        <w:t>specializzazione geografica iniziale; C) la performance del paese in esame nel mercato internazionale a livello merceologico; D) la performance del paese in esame nel mercato internazionale sul piano geografico. Le ultime due componenti riflettono la capacità competitiva di un paese di esportare i prodotti a domanda più dinamica e nei mercati a maggiore crescita. La somma delle componenti C e D è uno strumento utile per confrontare la competitività nello spazio e nel</w:t>
      </w:r>
      <w:r>
        <w:rPr>
          <w:spacing w:val="-4"/>
          <w:sz w:val="16"/>
        </w:rPr>
        <w:t> </w:t>
      </w:r>
      <w:r>
        <w:rPr>
          <w:sz w:val="16"/>
        </w:rPr>
        <w:t>tempo.</w:t>
      </w:r>
    </w:p>
    <w:p>
      <w:pPr>
        <w:spacing w:line="237" w:lineRule="auto" w:before="0"/>
        <w:ind w:left="278" w:right="2265" w:firstLine="453"/>
        <w:jc w:val="both"/>
        <w:rPr>
          <w:sz w:val="16"/>
        </w:rPr>
      </w:pPr>
      <w:r>
        <w:rPr>
          <w:position w:val="6"/>
          <w:sz w:val="10"/>
        </w:rPr>
        <w:t>13 </w:t>
      </w:r>
      <w:r>
        <w:rPr>
          <w:sz w:val="16"/>
        </w:rPr>
        <w:t>L’elaborazione si basa sui dati disponibili (circa l’82 per cento del totale) nella banca dati UNComtrade al 16 settembre</w:t>
      </w:r>
      <w:r>
        <w:rPr>
          <w:spacing w:val="-1"/>
          <w:sz w:val="16"/>
        </w:rPr>
        <w:t> </w:t>
      </w:r>
      <w:r>
        <w:rPr>
          <w:sz w:val="16"/>
        </w:rPr>
        <w:t>2019.</w:t>
      </w:r>
    </w:p>
    <w:p>
      <w:pPr>
        <w:spacing w:after="0" w:line="237" w:lineRule="auto"/>
        <w:jc w:val="both"/>
        <w:rPr>
          <w:sz w:val="16"/>
        </w:rPr>
        <w:sectPr>
          <w:pgSz w:w="11910" w:h="16840"/>
          <w:pgMar w:header="838" w:footer="866" w:top="1100" w:bottom="1060" w:left="1140" w:right="0"/>
        </w:sectPr>
      </w:pPr>
    </w:p>
    <w:p>
      <w:pPr>
        <w:pStyle w:val="BodyText"/>
        <w:rPr>
          <w:sz w:val="20"/>
        </w:rPr>
      </w:pPr>
      <w:r>
        <w:rPr/>
        <w:pict>
          <v:shape style="position:absolute;margin-left:160.331314pt;margin-top:426.249817pt;width:158.550pt;height:20.75pt;mso-position-horizontal-relative:page;mso-position-vertical-relative:page;z-index:251766784" type="#_x0000_t202" filled="false" stroked="false">
            <v:textbox inset="0,0,0,0" style="layout-flow:vertical;mso-layout-flow-alt:bottom-to-top">
              <w:txbxContent>
                <w:p>
                  <w:pPr>
                    <w:spacing w:before="20"/>
                    <w:ind w:left="20" w:right="0" w:firstLine="0"/>
                    <w:jc w:val="left"/>
                    <w:rPr>
                      <w:rFonts w:ascii="Franklin Gothic Book"/>
                      <w:sz w:val="16"/>
                    </w:rPr>
                  </w:pPr>
                  <w:r>
                    <w:rPr>
                      <w:rFonts w:ascii="Franklin Gothic Book"/>
                      <w:sz w:val="16"/>
                    </w:rPr>
                    <w:t>2003</w:t>
                  </w:r>
                </w:p>
                <w:p>
                  <w:pPr>
                    <w:spacing w:before="15"/>
                    <w:ind w:left="20" w:right="0" w:firstLine="0"/>
                    <w:jc w:val="left"/>
                    <w:rPr>
                      <w:rFonts w:ascii="Franklin Gothic Book"/>
                      <w:sz w:val="16"/>
                    </w:rPr>
                  </w:pPr>
                  <w:r>
                    <w:rPr>
                      <w:rFonts w:ascii="Franklin Gothic Book"/>
                      <w:sz w:val="16"/>
                    </w:rPr>
                    <w:t>2004</w:t>
                  </w:r>
                </w:p>
                <w:p>
                  <w:pPr>
                    <w:spacing w:before="16"/>
                    <w:ind w:left="20" w:right="0" w:firstLine="0"/>
                    <w:jc w:val="left"/>
                    <w:rPr>
                      <w:rFonts w:ascii="Franklin Gothic Book"/>
                      <w:sz w:val="16"/>
                    </w:rPr>
                  </w:pPr>
                  <w:r>
                    <w:rPr>
                      <w:rFonts w:ascii="Franklin Gothic Book"/>
                      <w:sz w:val="16"/>
                    </w:rPr>
                    <w:t>2005</w:t>
                  </w:r>
                </w:p>
                <w:p>
                  <w:pPr>
                    <w:spacing w:before="15"/>
                    <w:ind w:left="20" w:right="0" w:firstLine="0"/>
                    <w:jc w:val="left"/>
                    <w:rPr>
                      <w:rFonts w:ascii="Franklin Gothic Book"/>
                      <w:sz w:val="16"/>
                    </w:rPr>
                  </w:pPr>
                  <w:r>
                    <w:rPr>
                      <w:rFonts w:ascii="Franklin Gothic Book"/>
                      <w:sz w:val="16"/>
                    </w:rPr>
                    <w:t>2006</w:t>
                  </w:r>
                </w:p>
                <w:p>
                  <w:pPr>
                    <w:spacing w:before="15"/>
                    <w:ind w:left="20" w:right="0" w:firstLine="0"/>
                    <w:jc w:val="left"/>
                    <w:rPr>
                      <w:rFonts w:ascii="Franklin Gothic Book"/>
                      <w:sz w:val="16"/>
                    </w:rPr>
                  </w:pPr>
                  <w:r>
                    <w:rPr>
                      <w:rFonts w:ascii="Franklin Gothic Book"/>
                      <w:sz w:val="16"/>
                    </w:rPr>
                    <w:t>2007</w:t>
                  </w:r>
                </w:p>
                <w:p>
                  <w:pPr>
                    <w:spacing w:before="15"/>
                    <w:ind w:left="20" w:right="0" w:firstLine="0"/>
                    <w:jc w:val="left"/>
                    <w:rPr>
                      <w:rFonts w:ascii="Franklin Gothic Book"/>
                      <w:sz w:val="16"/>
                    </w:rPr>
                  </w:pPr>
                  <w:r>
                    <w:rPr>
                      <w:rFonts w:ascii="Franklin Gothic Book"/>
                      <w:sz w:val="16"/>
                    </w:rPr>
                    <w:t>2008</w:t>
                  </w:r>
                </w:p>
                <w:p>
                  <w:pPr>
                    <w:spacing w:before="15"/>
                    <w:ind w:left="20" w:right="0" w:firstLine="0"/>
                    <w:jc w:val="left"/>
                    <w:rPr>
                      <w:rFonts w:ascii="Franklin Gothic Book"/>
                      <w:sz w:val="16"/>
                    </w:rPr>
                  </w:pPr>
                  <w:r>
                    <w:rPr>
                      <w:rFonts w:ascii="Franklin Gothic Book"/>
                      <w:sz w:val="16"/>
                    </w:rPr>
                    <w:t>2009</w:t>
                  </w:r>
                </w:p>
                <w:p>
                  <w:pPr>
                    <w:spacing w:before="15"/>
                    <w:ind w:left="20" w:right="0" w:firstLine="0"/>
                    <w:jc w:val="left"/>
                    <w:rPr>
                      <w:rFonts w:ascii="Franklin Gothic Book"/>
                      <w:sz w:val="16"/>
                    </w:rPr>
                  </w:pPr>
                  <w:r>
                    <w:rPr>
                      <w:rFonts w:ascii="Franklin Gothic Book"/>
                      <w:sz w:val="16"/>
                    </w:rPr>
                    <w:t>2010</w:t>
                  </w:r>
                </w:p>
                <w:p>
                  <w:pPr>
                    <w:spacing w:before="16"/>
                    <w:ind w:left="20" w:right="0" w:firstLine="0"/>
                    <w:jc w:val="left"/>
                    <w:rPr>
                      <w:rFonts w:ascii="Franklin Gothic Book"/>
                      <w:sz w:val="16"/>
                    </w:rPr>
                  </w:pPr>
                  <w:r>
                    <w:rPr>
                      <w:rFonts w:ascii="Franklin Gothic Book"/>
                      <w:sz w:val="16"/>
                    </w:rPr>
                    <w:t>2011</w:t>
                  </w:r>
                </w:p>
                <w:p>
                  <w:pPr>
                    <w:spacing w:before="15"/>
                    <w:ind w:left="20" w:right="0" w:firstLine="0"/>
                    <w:jc w:val="left"/>
                    <w:rPr>
                      <w:rFonts w:ascii="Franklin Gothic Book"/>
                      <w:sz w:val="16"/>
                    </w:rPr>
                  </w:pPr>
                  <w:r>
                    <w:rPr>
                      <w:rFonts w:ascii="Franklin Gothic Book"/>
                      <w:sz w:val="16"/>
                    </w:rPr>
                    <w:t>2012</w:t>
                  </w:r>
                </w:p>
                <w:p>
                  <w:pPr>
                    <w:spacing w:before="15"/>
                    <w:ind w:left="20" w:right="0" w:firstLine="0"/>
                    <w:jc w:val="left"/>
                    <w:rPr>
                      <w:rFonts w:ascii="Franklin Gothic Book"/>
                      <w:sz w:val="16"/>
                    </w:rPr>
                  </w:pPr>
                  <w:r>
                    <w:rPr>
                      <w:rFonts w:ascii="Franklin Gothic Book"/>
                      <w:sz w:val="16"/>
                    </w:rPr>
                    <w:t>2013</w:t>
                  </w:r>
                </w:p>
                <w:p>
                  <w:pPr>
                    <w:spacing w:before="15"/>
                    <w:ind w:left="20" w:right="0" w:firstLine="0"/>
                    <w:jc w:val="left"/>
                    <w:rPr>
                      <w:rFonts w:ascii="Franklin Gothic Book"/>
                      <w:sz w:val="16"/>
                    </w:rPr>
                  </w:pPr>
                  <w:r>
                    <w:rPr>
                      <w:rFonts w:ascii="Franklin Gothic Book"/>
                      <w:sz w:val="16"/>
                    </w:rPr>
                    <w:t>2014</w:t>
                  </w:r>
                </w:p>
                <w:p>
                  <w:pPr>
                    <w:spacing w:before="15"/>
                    <w:ind w:left="20" w:right="0" w:firstLine="0"/>
                    <w:jc w:val="left"/>
                    <w:rPr>
                      <w:rFonts w:ascii="Franklin Gothic Book"/>
                      <w:sz w:val="16"/>
                    </w:rPr>
                  </w:pPr>
                  <w:r>
                    <w:rPr>
                      <w:rFonts w:ascii="Franklin Gothic Book"/>
                      <w:sz w:val="16"/>
                    </w:rPr>
                    <w:t>2015</w:t>
                  </w:r>
                </w:p>
                <w:p>
                  <w:pPr>
                    <w:spacing w:before="16"/>
                    <w:ind w:left="20" w:right="0" w:firstLine="0"/>
                    <w:jc w:val="left"/>
                    <w:rPr>
                      <w:rFonts w:ascii="Franklin Gothic Book"/>
                      <w:sz w:val="16"/>
                    </w:rPr>
                  </w:pPr>
                  <w:r>
                    <w:rPr>
                      <w:rFonts w:ascii="Franklin Gothic Book"/>
                      <w:sz w:val="16"/>
                    </w:rPr>
                    <w:t>2016</w:t>
                  </w:r>
                </w:p>
                <w:p>
                  <w:pPr>
                    <w:spacing w:before="15"/>
                    <w:ind w:left="20" w:right="0" w:firstLine="0"/>
                    <w:jc w:val="left"/>
                    <w:rPr>
                      <w:rFonts w:ascii="Franklin Gothic Book"/>
                      <w:sz w:val="16"/>
                    </w:rPr>
                  </w:pPr>
                  <w:r>
                    <w:rPr>
                      <w:rFonts w:ascii="Franklin Gothic Book"/>
                      <w:sz w:val="16"/>
                    </w:rPr>
                    <w:t>2017</w:t>
                  </w:r>
                </w:p>
                <w:p>
                  <w:pPr>
                    <w:spacing w:before="15"/>
                    <w:ind w:left="20" w:right="0" w:firstLine="0"/>
                    <w:jc w:val="left"/>
                    <w:rPr>
                      <w:rFonts w:ascii="Franklin Gothic Book"/>
                      <w:sz w:val="16"/>
                    </w:rPr>
                  </w:pPr>
                  <w:r>
                    <w:rPr>
                      <w:rFonts w:ascii="Franklin Gothic Book"/>
                      <w:sz w:val="16"/>
                    </w:rPr>
                    <w:t>2018</w:t>
                  </w:r>
                </w:p>
              </w:txbxContent>
            </v:textbox>
            <w10:wrap type="none"/>
          </v:shape>
        </w:pict>
      </w:r>
      <w:r>
        <w:rPr/>
        <w:pict>
          <v:shape style="position:absolute;margin-left:160.301315pt;margin-top:258.219818pt;width:157.7pt;height:20.75pt;mso-position-horizontal-relative:page;mso-position-vertical-relative:page;z-index:251767808" type="#_x0000_t202" filled="false" stroked="false">
            <v:textbox inset="0,0,0,0" style="layout-flow:vertical;mso-layout-flow-alt:bottom-to-top">
              <w:txbxContent>
                <w:p>
                  <w:pPr>
                    <w:spacing w:before="20"/>
                    <w:ind w:left="20" w:right="0" w:firstLine="0"/>
                    <w:jc w:val="left"/>
                    <w:rPr>
                      <w:rFonts w:ascii="Franklin Gothic Book"/>
                      <w:sz w:val="16"/>
                    </w:rPr>
                  </w:pPr>
                  <w:r>
                    <w:rPr>
                      <w:rFonts w:ascii="Franklin Gothic Book"/>
                      <w:sz w:val="16"/>
                    </w:rPr>
                    <w:t>2003</w:t>
                  </w:r>
                </w:p>
                <w:p>
                  <w:pPr>
                    <w:spacing w:before="14"/>
                    <w:ind w:left="20" w:right="0" w:firstLine="0"/>
                    <w:jc w:val="left"/>
                    <w:rPr>
                      <w:rFonts w:ascii="Franklin Gothic Book"/>
                      <w:sz w:val="16"/>
                    </w:rPr>
                  </w:pPr>
                  <w:r>
                    <w:rPr>
                      <w:rFonts w:ascii="Franklin Gothic Book"/>
                      <w:sz w:val="16"/>
                    </w:rPr>
                    <w:t>2004</w:t>
                  </w:r>
                </w:p>
                <w:p>
                  <w:pPr>
                    <w:spacing w:before="14"/>
                    <w:ind w:left="20" w:right="0" w:firstLine="0"/>
                    <w:jc w:val="left"/>
                    <w:rPr>
                      <w:rFonts w:ascii="Franklin Gothic Book"/>
                      <w:sz w:val="16"/>
                    </w:rPr>
                  </w:pPr>
                  <w:r>
                    <w:rPr>
                      <w:rFonts w:ascii="Franklin Gothic Book"/>
                      <w:sz w:val="16"/>
                    </w:rPr>
                    <w:t>2005</w:t>
                  </w:r>
                </w:p>
                <w:p>
                  <w:pPr>
                    <w:spacing w:before="14"/>
                    <w:ind w:left="20" w:right="0" w:firstLine="0"/>
                    <w:jc w:val="left"/>
                    <w:rPr>
                      <w:rFonts w:ascii="Franklin Gothic Book"/>
                      <w:sz w:val="16"/>
                    </w:rPr>
                  </w:pPr>
                  <w:r>
                    <w:rPr>
                      <w:rFonts w:ascii="Franklin Gothic Book"/>
                      <w:sz w:val="16"/>
                    </w:rPr>
                    <w:t>2006</w:t>
                  </w:r>
                </w:p>
                <w:p>
                  <w:pPr>
                    <w:spacing w:before="14"/>
                    <w:ind w:left="20" w:right="0" w:firstLine="0"/>
                    <w:jc w:val="left"/>
                    <w:rPr>
                      <w:rFonts w:ascii="Franklin Gothic Book"/>
                      <w:sz w:val="16"/>
                    </w:rPr>
                  </w:pPr>
                  <w:r>
                    <w:rPr>
                      <w:rFonts w:ascii="Franklin Gothic Book"/>
                      <w:sz w:val="16"/>
                    </w:rPr>
                    <w:t>2007</w:t>
                  </w:r>
                </w:p>
                <w:p>
                  <w:pPr>
                    <w:spacing w:before="14"/>
                    <w:ind w:left="20" w:right="0" w:firstLine="0"/>
                    <w:jc w:val="left"/>
                    <w:rPr>
                      <w:rFonts w:ascii="Franklin Gothic Book"/>
                      <w:sz w:val="16"/>
                    </w:rPr>
                  </w:pPr>
                  <w:r>
                    <w:rPr>
                      <w:rFonts w:ascii="Franklin Gothic Book"/>
                      <w:sz w:val="16"/>
                    </w:rPr>
                    <w:t>2008</w:t>
                  </w:r>
                </w:p>
                <w:p>
                  <w:pPr>
                    <w:spacing w:before="15"/>
                    <w:ind w:left="20" w:right="0" w:firstLine="0"/>
                    <w:jc w:val="left"/>
                    <w:rPr>
                      <w:rFonts w:ascii="Franklin Gothic Book"/>
                      <w:sz w:val="16"/>
                    </w:rPr>
                  </w:pPr>
                  <w:r>
                    <w:rPr>
                      <w:rFonts w:ascii="Franklin Gothic Book"/>
                      <w:sz w:val="16"/>
                    </w:rPr>
                    <w:t>2009</w:t>
                  </w:r>
                </w:p>
                <w:p>
                  <w:pPr>
                    <w:spacing w:before="14"/>
                    <w:ind w:left="20" w:right="0" w:firstLine="0"/>
                    <w:jc w:val="left"/>
                    <w:rPr>
                      <w:rFonts w:ascii="Franklin Gothic Book"/>
                      <w:sz w:val="16"/>
                    </w:rPr>
                  </w:pPr>
                  <w:r>
                    <w:rPr>
                      <w:rFonts w:ascii="Franklin Gothic Book"/>
                      <w:sz w:val="16"/>
                    </w:rPr>
                    <w:t>2010</w:t>
                  </w:r>
                </w:p>
                <w:p>
                  <w:pPr>
                    <w:spacing w:before="14"/>
                    <w:ind w:left="20" w:right="0" w:firstLine="0"/>
                    <w:jc w:val="left"/>
                    <w:rPr>
                      <w:rFonts w:ascii="Franklin Gothic Book"/>
                      <w:sz w:val="16"/>
                    </w:rPr>
                  </w:pPr>
                  <w:r>
                    <w:rPr>
                      <w:rFonts w:ascii="Franklin Gothic Book"/>
                      <w:sz w:val="16"/>
                    </w:rPr>
                    <w:t>2011</w:t>
                  </w:r>
                </w:p>
                <w:p>
                  <w:pPr>
                    <w:spacing w:before="14"/>
                    <w:ind w:left="20" w:right="0" w:firstLine="0"/>
                    <w:jc w:val="left"/>
                    <w:rPr>
                      <w:rFonts w:ascii="Franklin Gothic Book"/>
                      <w:sz w:val="16"/>
                    </w:rPr>
                  </w:pPr>
                  <w:r>
                    <w:rPr>
                      <w:rFonts w:ascii="Franklin Gothic Book"/>
                      <w:sz w:val="16"/>
                    </w:rPr>
                    <w:t>2012</w:t>
                  </w:r>
                </w:p>
                <w:p>
                  <w:pPr>
                    <w:spacing w:before="14"/>
                    <w:ind w:left="20" w:right="0" w:firstLine="0"/>
                    <w:jc w:val="left"/>
                    <w:rPr>
                      <w:rFonts w:ascii="Franklin Gothic Book"/>
                      <w:sz w:val="16"/>
                    </w:rPr>
                  </w:pPr>
                  <w:r>
                    <w:rPr>
                      <w:rFonts w:ascii="Franklin Gothic Book"/>
                      <w:sz w:val="16"/>
                    </w:rPr>
                    <w:t>2013</w:t>
                  </w:r>
                </w:p>
                <w:p>
                  <w:pPr>
                    <w:spacing w:before="14"/>
                    <w:ind w:left="20" w:right="0" w:firstLine="0"/>
                    <w:jc w:val="left"/>
                    <w:rPr>
                      <w:rFonts w:ascii="Franklin Gothic Book"/>
                      <w:sz w:val="16"/>
                    </w:rPr>
                  </w:pPr>
                  <w:r>
                    <w:rPr>
                      <w:rFonts w:ascii="Franklin Gothic Book"/>
                      <w:sz w:val="16"/>
                    </w:rPr>
                    <w:t>2014</w:t>
                  </w:r>
                </w:p>
                <w:p>
                  <w:pPr>
                    <w:spacing w:before="14"/>
                    <w:ind w:left="20" w:right="0" w:firstLine="0"/>
                    <w:jc w:val="left"/>
                    <w:rPr>
                      <w:rFonts w:ascii="Franklin Gothic Book"/>
                      <w:sz w:val="16"/>
                    </w:rPr>
                  </w:pPr>
                  <w:r>
                    <w:rPr>
                      <w:rFonts w:ascii="Franklin Gothic Book"/>
                      <w:sz w:val="16"/>
                    </w:rPr>
                    <w:t>2015</w:t>
                  </w:r>
                </w:p>
                <w:p>
                  <w:pPr>
                    <w:spacing w:before="14"/>
                    <w:ind w:left="20" w:right="0" w:firstLine="0"/>
                    <w:jc w:val="left"/>
                    <w:rPr>
                      <w:rFonts w:ascii="Franklin Gothic Book"/>
                      <w:sz w:val="16"/>
                    </w:rPr>
                  </w:pPr>
                  <w:r>
                    <w:rPr>
                      <w:rFonts w:ascii="Franklin Gothic Book"/>
                      <w:sz w:val="16"/>
                    </w:rPr>
                    <w:t>2016</w:t>
                  </w:r>
                </w:p>
                <w:p>
                  <w:pPr>
                    <w:spacing w:before="14"/>
                    <w:ind w:left="20" w:right="0" w:firstLine="0"/>
                    <w:jc w:val="left"/>
                    <w:rPr>
                      <w:rFonts w:ascii="Franklin Gothic Book"/>
                      <w:sz w:val="16"/>
                    </w:rPr>
                  </w:pPr>
                  <w:r>
                    <w:rPr>
                      <w:rFonts w:ascii="Franklin Gothic Book"/>
                      <w:sz w:val="16"/>
                    </w:rPr>
                    <w:t>2017</w:t>
                  </w:r>
                </w:p>
                <w:p>
                  <w:pPr>
                    <w:spacing w:before="14"/>
                    <w:ind w:left="20" w:right="0" w:firstLine="0"/>
                    <w:jc w:val="left"/>
                    <w:rPr>
                      <w:rFonts w:ascii="Franklin Gothic Book"/>
                      <w:sz w:val="16"/>
                    </w:rPr>
                  </w:pPr>
                  <w:r>
                    <w:rPr>
                      <w:rFonts w:ascii="Franklin Gothic Book"/>
                      <w:sz w:val="16"/>
                    </w:rPr>
                    <w:t>2018</w:t>
                  </w:r>
                </w:p>
              </w:txbxContent>
            </v:textbox>
            <w10:wrap type="none"/>
          </v:shape>
        </w:pict>
      </w:r>
      <w:r>
        <w:rPr/>
        <w:pict>
          <v:shape style="position:absolute;margin-left:353.451294pt;margin-top:426.249817pt;width:158.25pt;height:20.75pt;mso-position-horizontal-relative:page;mso-position-vertical-relative:page;z-index:251768832" type="#_x0000_t202" filled="false" stroked="false">
            <v:textbox inset="0,0,0,0" style="layout-flow:vertical;mso-layout-flow-alt:bottom-to-top">
              <w:txbxContent>
                <w:p>
                  <w:pPr>
                    <w:spacing w:before="20"/>
                    <w:ind w:left="20" w:right="0" w:firstLine="0"/>
                    <w:jc w:val="left"/>
                    <w:rPr>
                      <w:rFonts w:ascii="Franklin Gothic Book"/>
                      <w:sz w:val="16"/>
                    </w:rPr>
                  </w:pPr>
                  <w:r>
                    <w:rPr>
                      <w:rFonts w:ascii="Franklin Gothic Book"/>
                      <w:sz w:val="16"/>
                    </w:rPr>
                    <w:t>2003</w:t>
                  </w:r>
                </w:p>
                <w:p>
                  <w:pPr>
                    <w:spacing w:before="15"/>
                    <w:ind w:left="20" w:right="0" w:firstLine="0"/>
                    <w:jc w:val="left"/>
                    <w:rPr>
                      <w:rFonts w:ascii="Franklin Gothic Book"/>
                      <w:sz w:val="16"/>
                    </w:rPr>
                  </w:pPr>
                  <w:r>
                    <w:rPr>
                      <w:rFonts w:ascii="Franklin Gothic Book"/>
                      <w:sz w:val="16"/>
                    </w:rPr>
                    <w:t>2004</w:t>
                  </w:r>
                </w:p>
                <w:p>
                  <w:pPr>
                    <w:spacing w:before="15"/>
                    <w:ind w:left="20" w:right="0" w:firstLine="0"/>
                    <w:jc w:val="left"/>
                    <w:rPr>
                      <w:rFonts w:ascii="Franklin Gothic Book"/>
                      <w:sz w:val="16"/>
                    </w:rPr>
                  </w:pPr>
                  <w:r>
                    <w:rPr>
                      <w:rFonts w:ascii="Franklin Gothic Book"/>
                      <w:sz w:val="16"/>
                    </w:rPr>
                    <w:t>2005</w:t>
                  </w:r>
                </w:p>
                <w:p>
                  <w:pPr>
                    <w:spacing w:before="15"/>
                    <w:ind w:left="20" w:right="0" w:firstLine="0"/>
                    <w:jc w:val="left"/>
                    <w:rPr>
                      <w:rFonts w:ascii="Franklin Gothic Book"/>
                      <w:sz w:val="16"/>
                    </w:rPr>
                  </w:pPr>
                  <w:r>
                    <w:rPr>
                      <w:rFonts w:ascii="Franklin Gothic Book"/>
                      <w:sz w:val="16"/>
                    </w:rPr>
                    <w:t>2006</w:t>
                  </w:r>
                </w:p>
                <w:p>
                  <w:pPr>
                    <w:spacing w:before="14"/>
                    <w:ind w:left="20" w:right="0" w:firstLine="0"/>
                    <w:jc w:val="left"/>
                    <w:rPr>
                      <w:rFonts w:ascii="Franklin Gothic Book"/>
                      <w:sz w:val="16"/>
                    </w:rPr>
                  </w:pPr>
                  <w:r>
                    <w:rPr>
                      <w:rFonts w:ascii="Franklin Gothic Book"/>
                      <w:sz w:val="16"/>
                    </w:rPr>
                    <w:t>2007</w:t>
                  </w:r>
                </w:p>
                <w:p>
                  <w:pPr>
                    <w:spacing w:before="15"/>
                    <w:ind w:left="20" w:right="0" w:firstLine="0"/>
                    <w:jc w:val="left"/>
                    <w:rPr>
                      <w:rFonts w:ascii="Franklin Gothic Book"/>
                      <w:sz w:val="16"/>
                    </w:rPr>
                  </w:pPr>
                  <w:r>
                    <w:rPr>
                      <w:rFonts w:ascii="Franklin Gothic Book"/>
                      <w:sz w:val="16"/>
                    </w:rPr>
                    <w:t>2008</w:t>
                  </w:r>
                </w:p>
                <w:p>
                  <w:pPr>
                    <w:spacing w:before="15"/>
                    <w:ind w:left="20" w:right="0" w:firstLine="0"/>
                    <w:jc w:val="left"/>
                    <w:rPr>
                      <w:rFonts w:ascii="Franklin Gothic Book"/>
                      <w:sz w:val="16"/>
                    </w:rPr>
                  </w:pPr>
                  <w:r>
                    <w:rPr>
                      <w:rFonts w:ascii="Franklin Gothic Book"/>
                      <w:sz w:val="16"/>
                    </w:rPr>
                    <w:t>2009</w:t>
                  </w:r>
                </w:p>
                <w:p>
                  <w:pPr>
                    <w:spacing w:before="14"/>
                    <w:ind w:left="20" w:right="0" w:firstLine="0"/>
                    <w:jc w:val="left"/>
                    <w:rPr>
                      <w:rFonts w:ascii="Franklin Gothic Book"/>
                      <w:sz w:val="16"/>
                    </w:rPr>
                  </w:pPr>
                  <w:r>
                    <w:rPr>
                      <w:rFonts w:ascii="Franklin Gothic Book"/>
                      <w:sz w:val="16"/>
                    </w:rPr>
                    <w:t>2010</w:t>
                  </w:r>
                </w:p>
                <w:p>
                  <w:pPr>
                    <w:spacing w:before="15"/>
                    <w:ind w:left="20" w:right="0" w:firstLine="0"/>
                    <w:jc w:val="left"/>
                    <w:rPr>
                      <w:rFonts w:ascii="Franklin Gothic Book"/>
                      <w:sz w:val="16"/>
                    </w:rPr>
                  </w:pPr>
                  <w:r>
                    <w:rPr>
                      <w:rFonts w:ascii="Franklin Gothic Book"/>
                      <w:sz w:val="16"/>
                    </w:rPr>
                    <w:t>2011</w:t>
                  </w:r>
                </w:p>
                <w:p>
                  <w:pPr>
                    <w:spacing w:before="15"/>
                    <w:ind w:left="20" w:right="0" w:firstLine="0"/>
                    <w:jc w:val="left"/>
                    <w:rPr>
                      <w:rFonts w:ascii="Franklin Gothic Book"/>
                      <w:sz w:val="16"/>
                    </w:rPr>
                  </w:pPr>
                  <w:r>
                    <w:rPr>
                      <w:rFonts w:ascii="Franklin Gothic Book"/>
                      <w:sz w:val="16"/>
                    </w:rPr>
                    <w:t>2012</w:t>
                  </w:r>
                </w:p>
                <w:p>
                  <w:pPr>
                    <w:spacing w:before="15"/>
                    <w:ind w:left="20" w:right="0" w:firstLine="0"/>
                    <w:jc w:val="left"/>
                    <w:rPr>
                      <w:rFonts w:ascii="Franklin Gothic Book"/>
                      <w:sz w:val="16"/>
                    </w:rPr>
                  </w:pPr>
                  <w:r>
                    <w:rPr>
                      <w:rFonts w:ascii="Franklin Gothic Book"/>
                      <w:sz w:val="16"/>
                    </w:rPr>
                    <w:t>2013</w:t>
                  </w:r>
                </w:p>
                <w:p>
                  <w:pPr>
                    <w:spacing w:before="15"/>
                    <w:ind w:left="20" w:right="0" w:firstLine="0"/>
                    <w:jc w:val="left"/>
                    <w:rPr>
                      <w:rFonts w:ascii="Franklin Gothic Book"/>
                      <w:sz w:val="16"/>
                    </w:rPr>
                  </w:pPr>
                  <w:r>
                    <w:rPr>
                      <w:rFonts w:ascii="Franklin Gothic Book"/>
                      <w:sz w:val="16"/>
                    </w:rPr>
                    <w:t>2014</w:t>
                  </w:r>
                </w:p>
                <w:p>
                  <w:pPr>
                    <w:spacing w:before="14"/>
                    <w:ind w:left="20" w:right="0" w:firstLine="0"/>
                    <w:jc w:val="left"/>
                    <w:rPr>
                      <w:rFonts w:ascii="Franklin Gothic Book"/>
                      <w:sz w:val="16"/>
                    </w:rPr>
                  </w:pPr>
                  <w:r>
                    <w:rPr>
                      <w:rFonts w:ascii="Franklin Gothic Book"/>
                      <w:sz w:val="16"/>
                    </w:rPr>
                    <w:t>2015</w:t>
                  </w:r>
                </w:p>
                <w:p>
                  <w:pPr>
                    <w:spacing w:before="15"/>
                    <w:ind w:left="20" w:right="0" w:firstLine="0"/>
                    <w:jc w:val="left"/>
                    <w:rPr>
                      <w:rFonts w:ascii="Franklin Gothic Book"/>
                      <w:sz w:val="16"/>
                    </w:rPr>
                  </w:pPr>
                  <w:r>
                    <w:rPr>
                      <w:rFonts w:ascii="Franklin Gothic Book"/>
                      <w:sz w:val="16"/>
                    </w:rPr>
                    <w:t>2016</w:t>
                  </w:r>
                </w:p>
                <w:p>
                  <w:pPr>
                    <w:spacing w:before="15"/>
                    <w:ind w:left="20" w:right="0" w:firstLine="0"/>
                    <w:jc w:val="left"/>
                    <w:rPr>
                      <w:rFonts w:ascii="Franklin Gothic Book"/>
                      <w:sz w:val="16"/>
                    </w:rPr>
                  </w:pPr>
                  <w:r>
                    <w:rPr>
                      <w:rFonts w:ascii="Franklin Gothic Book"/>
                      <w:sz w:val="16"/>
                    </w:rPr>
                    <w:t>2017</w:t>
                  </w:r>
                </w:p>
                <w:p>
                  <w:pPr>
                    <w:spacing w:before="14"/>
                    <w:ind w:left="20" w:right="0" w:firstLine="0"/>
                    <w:jc w:val="left"/>
                    <w:rPr>
                      <w:rFonts w:ascii="Franklin Gothic Book"/>
                      <w:sz w:val="16"/>
                    </w:rPr>
                  </w:pPr>
                  <w:r>
                    <w:rPr>
                      <w:rFonts w:ascii="Franklin Gothic Book"/>
                      <w:sz w:val="16"/>
                    </w:rPr>
                    <w:t>2018</w:t>
                  </w:r>
                </w:p>
              </w:txbxContent>
            </v:textbox>
            <w10:wrap type="none"/>
          </v:shape>
        </w:pict>
      </w:r>
      <w:r>
        <w:rPr/>
        <w:pict>
          <v:shape style="position:absolute;margin-left:355.161316pt;margin-top:257.909821pt;width:154pt;height:20.75pt;mso-position-horizontal-relative:page;mso-position-vertical-relative:page;z-index:251769856" type="#_x0000_t202" filled="false" stroked="false">
            <v:textbox inset="0,0,0,0" style="layout-flow:vertical;mso-layout-flow-alt:bottom-to-top">
              <w:txbxContent>
                <w:p>
                  <w:pPr>
                    <w:spacing w:before="20"/>
                    <w:ind w:left="20" w:right="0" w:firstLine="0"/>
                    <w:jc w:val="left"/>
                    <w:rPr>
                      <w:rFonts w:ascii="Franklin Gothic Book"/>
                      <w:sz w:val="16"/>
                    </w:rPr>
                  </w:pPr>
                  <w:r>
                    <w:rPr>
                      <w:rFonts w:ascii="Franklin Gothic Book"/>
                      <w:sz w:val="16"/>
                    </w:rPr>
                    <w:t>2003</w:t>
                  </w:r>
                </w:p>
                <w:p>
                  <w:pPr>
                    <w:spacing w:before="10"/>
                    <w:ind w:left="20" w:right="0" w:firstLine="0"/>
                    <w:jc w:val="left"/>
                    <w:rPr>
                      <w:rFonts w:ascii="Franklin Gothic Book"/>
                      <w:sz w:val="16"/>
                    </w:rPr>
                  </w:pPr>
                  <w:r>
                    <w:rPr>
                      <w:rFonts w:ascii="Franklin Gothic Book"/>
                      <w:sz w:val="16"/>
                    </w:rPr>
                    <w:t>2004</w:t>
                  </w:r>
                </w:p>
                <w:p>
                  <w:pPr>
                    <w:spacing w:before="8"/>
                    <w:ind w:left="20" w:right="0" w:firstLine="0"/>
                    <w:jc w:val="left"/>
                    <w:rPr>
                      <w:rFonts w:ascii="Franklin Gothic Book"/>
                      <w:sz w:val="16"/>
                    </w:rPr>
                  </w:pPr>
                  <w:r>
                    <w:rPr>
                      <w:rFonts w:ascii="Franklin Gothic Book"/>
                      <w:sz w:val="16"/>
                    </w:rPr>
                    <w:t>2005</w:t>
                  </w:r>
                </w:p>
                <w:p>
                  <w:pPr>
                    <w:spacing w:before="9"/>
                    <w:ind w:left="20" w:right="0" w:firstLine="0"/>
                    <w:jc w:val="left"/>
                    <w:rPr>
                      <w:rFonts w:ascii="Franklin Gothic Book"/>
                      <w:sz w:val="16"/>
                    </w:rPr>
                  </w:pPr>
                  <w:r>
                    <w:rPr>
                      <w:rFonts w:ascii="Franklin Gothic Book"/>
                      <w:sz w:val="16"/>
                    </w:rPr>
                    <w:t>2006</w:t>
                  </w:r>
                </w:p>
                <w:p>
                  <w:pPr>
                    <w:spacing w:before="10"/>
                    <w:ind w:left="20" w:right="0" w:firstLine="0"/>
                    <w:jc w:val="left"/>
                    <w:rPr>
                      <w:rFonts w:ascii="Franklin Gothic Book"/>
                      <w:sz w:val="16"/>
                    </w:rPr>
                  </w:pPr>
                  <w:r>
                    <w:rPr>
                      <w:rFonts w:ascii="Franklin Gothic Book"/>
                      <w:sz w:val="16"/>
                    </w:rPr>
                    <w:t>2007</w:t>
                  </w:r>
                </w:p>
                <w:p>
                  <w:pPr>
                    <w:spacing w:before="9"/>
                    <w:ind w:left="20" w:right="0" w:firstLine="0"/>
                    <w:jc w:val="left"/>
                    <w:rPr>
                      <w:rFonts w:ascii="Franklin Gothic Book"/>
                      <w:sz w:val="16"/>
                    </w:rPr>
                  </w:pPr>
                  <w:r>
                    <w:rPr>
                      <w:rFonts w:ascii="Franklin Gothic Book"/>
                      <w:sz w:val="16"/>
                    </w:rPr>
                    <w:t>2008</w:t>
                  </w:r>
                </w:p>
                <w:p>
                  <w:pPr>
                    <w:spacing w:before="9"/>
                    <w:ind w:left="20" w:right="0" w:firstLine="0"/>
                    <w:jc w:val="left"/>
                    <w:rPr>
                      <w:rFonts w:ascii="Franklin Gothic Book"/>
                      <w:sz w:val="16"/>
                    </w:rPr>
                  </w:pPr>
                  <w:r>
                    <w:rPr>
                      <w:rFonts w:ascii="Franklin Gothic Book"/>
                      <w:sz w:val="16"/>
                    </w:rPr>
                    <w:t>2009</w:t>
                  </w:r>
                </w:p>
                <w:p>
                  <w:pPr>
                    <w:spacing w:before="9"/>
                    <w:ind w:left="20" w:right="0" w:firstLine="0"/>
                    <w:jc w:val="left"/>
                    <w:rPr>
                      <w:rFonts w:ascii="Franklin Gothic Book"/>
                      <w:sz w:val="16"/>
                    </w:rPr>
                  </w:pPr>
                  <w:r>
                    <w:rPr>
                      <w:rFonts w:ascii="Franklin Gothic Book"/>
                      <w:sz w:val="16"/>
                    </w:rPr>
                    <w:t>2010</w:t>
                  </w:r>
                </w:p>
                <w:p>
                  <w:pPr>
                    <w:spacing w:before="9"/>
                    <w:ind w:left="20" w:right="0" w:firstLine="0"/>
                    <w:jc w:val="left"/>
                    <w:rPr>
                      <w:rFonts w:ascii="Franklin Gothic Book"/>
                      <w:sz w:val="16"/>
                    </w:rPr>
                  </w:pPr>
                  <w:r>
                    <w:rPr>
                      <w:rFonts w:ascii="Franklin Gothic Book"/>
                      <w:sz w:val="16"/>
                    </w:rPr>
                    <w:t>2011</w:t>
                  </w:r>
                </w:p>
                <w:p>
                  <w:pPr>
                    <w:spacing w:before="9"/>
                    <w:ind w:left="20" w:right="0" w:firstLine="0"/>
                    <w:jc w:val="left"/>
                    <w:rPr>
                      <w:rFonts w:ascii="Franklin Gothic Book"/>
                      <w:sz w:val="16"/>
                    </w:rPr>
                  </w:pPr>
                  <w:r>
                    <w:rPr>
                      <w:rFonts w:ascii="Franklin Gothic Book"/>
                      <w:sz w:val="16"/>
                    </w:rPr>
                    <w:t>2012</w:t>
                  </w:r>
                </w:p>
                <w:p>
                  <w:pPr>
                    <w:spacing w:before="9"/>
                    <w:ind w:left="20" w:right="0" w:firstLine="0"/>
                    <w:jc w:val="left"/>
                    <w:rPr>
                      <w:rFonts w:ascii="Franklin Gothic Book"/>
                      <w:sz w:val="16"/>
                    </w:rPr>
                  </w:pPr>
                  <w:r>
                    <w:rPr>
                      <w:rFonts w:ascii="Franklin Gothic Book"/>
                      <w:sz w:val="16"/>
                    </w:rPr>
                    <w:t>2013</w:t>
                  </w:r>
                </w:p>
                <w:p>
                  <w:pPr>
                    <w:spacing w:before="9"/>
                    <w:ind w:left="20" w:right="0" w:firstLine="0"/>
                    <w:jc w:val="left"/>
                    <w:rPr>
                      <w:rFonts w:ascii="Franklin Gothic Book"/>
                      <w:sz w:val="16"/>
                    </w:rPr>
                  </w:pPr>
                  <w:r>
                    <w:rPr>
                      <w:rFonts w:ascii="Franklin Gothic Book"/>
                      <w:sz w:val="16"/>
                    </w:rPr>
                    <w:t>2014</w:t>
                  </w:r>
                </w:p>
                <w:p>
                  <w:pPr>
                    <w:spacing w:before="9"/>
                    <w:ind w:left="20" w:right="0" w:firstLine="0"/>
                    <w:jc w:val="left"/>
                    <w:rPr>
                      <w:rFonts w:ascii="Franklin Gothic Book"/>
                      <w:sz w:val="16"/>
                    </w:rPr>
                  </w:pPr>
                  <w:r>
                    <w:rPr>
                      <w:rFonts w:ascii="Franklin Gothic Book"/>
                      <w:sz w:val="16"/>
                    </w:rPr>
                    <w:t>2015</w:t>
                  </w:r>
                </w:p>
                <w:p>
                  <w:pPr>
                    <w:spacing w:before="9"/>
                    <w:ind w:left="20" w:right="0" w:firstLine="0"/>
                    <w:jc w:val="left"/>
                    <w:rPr>
                      <w:rFonts w:ascii="Franklin Gothic Book"/>
                      <w:sz w:val="16"/>
                    </w:rPr>
                  </w:pPr>
                  <w:r>
                    <w:rPr>
                      <w:rFonts w:ascii="Franklin Gothic Book"/>
                      <w:sz w:val="16"/>
                    </w:rPr>
                    <w:t>2016</w:t>
                  </w:r>
                </w:p>
                <w:p>
                  <w:pPr>
                    <w:spacing w:before="9"/>
                    <w:ind w:left="20" w:right="0" w:firstLine="0"/>
                    <w:jc w:val="left"/>
                    <w:rPr>
                      <w:rFonts w:ascii="Franklin Gothic Book"/>
                      <w:sz w:val="16"/>
                    </w:rPr>
                  </w:pPr>
                  <w:r>
                    <w:rPr>
                      <w:rFonts w:ascii="Franklin Gothic Book"/>
                      <w:sz w:val="16"/>
                    </w:rPr>
                    <w:t>2017</w:t>
                  </w:r>
                </w:p>
                <w:p>
                  <w:pPr>
                    <w:spacing w:before="9"/>
                    <w:ind w:left="20" w:right="0" w:firstLine="0"/>
                    <w:jc w:val="left"/>
                    <w:rPr>
                      <w:rFonts w:ascii="Franklin Gothic Book"/>
                      <w:sz w:val="16"/>
                    </w:rPr>
                  </w:pPr>
                  <w:r>
                    <w:rPr>
                      <w:rFonts w:ascii="Franklin Gothic Book"/>
                      <w:sz w:val="16"/>
                    </w:rPr>
                    <w:t>2018</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p>
    <w:p>
      <w:pPr>
        <w:pStyle w:val="BodyText"/>
        <w:spacing w:line="43" w:lineRule="exact"/>
        <w:ind w:left="1582"/>
        <w:rPr>
          <w:sz w:val="4"/>
        </w:rPr>
      </w:pPr>
      <w:r>
        <w:rPr>
          <w:position w:val="0"/>
          <w:sz w:val="4"/>
        </w:rPr>
        <w:drawing>
          <wp:inline distT="0" distB="0" distL="0" distR="0">
            <wp:extent cx="272533" cy="27431"/>
            <wp:effectExtent l="0" t="0" r="0" b="0"/>
            <wp:docPr id="13" name="image18.png"/>
            <wp:cNvGraphicFramePr>
              <a:graphicFrameLocks noChangeAspect="1"/>
            </wp:cNvGraphicFramePr>
            <a:graphic>
              <a:graphicData uri="http://schemas.openxmlformats.org/drawingml/2006/picture">
                <pic:pic>
                  <pic:nvPicPr>
                    <pic:cNvPr id="14" name="image18.png"/>
                    <pic:cNvPicPr/>
                  </pic:nvPicPr>
                  <pic:blipFill>
                    <a:blip r:embed="rId49" cstate="print"/>
                    <a:stretch>
                      <a:fillRect/>
                    </a:stretch>
                  </pic:blipFill>
                  <pic:spPr>
                    <a:xfrm>
                      <a:off x="0" y="0"/>
                      <a:ext cx="272533" cy="27431"/>
                    </a:xfrm>
                    <a:prstGeom prst="rect">
                      <a:avLst/>
                    </a:prstGeom>
                  </pic:spPr>
                </pic:pic>
              </a:graphicData>
            </a:graphic>
          </wp:inline>
        </w:drawing>
      </w:r>
      <w:r>
        <w:rPr>
          <w:position w:val="0"/>
          <w:sz w:val="4"/>
        </w:rPr>
      </w:r>
    </w:p>
    <w:p>
      <w:pPr>
        <w:spacing w:before="50"/>
        <w:ind w:left="1128" w:right="1413" w:firstLine="453"/>
        <w:jc w:val="both"/>
        <w:rPr>
          <w:sz w:val="16"/>
        </w:rPr>
      </w:pPr>
      <w:r>
        <w:rPr/>
        <w:pict>
          <v:group style="position:absolute;margin-left:113.419998pt;margin-top:-578.245178pt;width:412.25pt;height:552.9pt;mso-position-horizontal-relative:page;mso-position-vertical-relative:paragraph;z-index:251765760" coordorigin="2268,-11565" coordsize="8245,11058">
            <v:shape style="position:absolute;left:2268;top:-11565;width:8222;height:11058" type="#_x0000_t75" stroked="false">
              <v:imagedata r:id="rId50" o:title=""/>
            </v:shape>
            <v:shape style="position:absolute;left:4527;top:-11081;width:374;height:194" type="#_x0000_t202" filled="false" stroked="false">
              <v:textbox inset="0,0,0,0">
                <w:txbxContent>
                  <w:p>
                    <w:pPr>
                      <w:spacing w:before="0"/>
                      <w:ind w:left="0" w:right="0" w:firstLine="0"/>
                      <w:jc w:val="left"/>
                      <w:rPr>
                        <w:rFonts w:ascii="Franklin Gothic Book"/>
                        <w:sz w:val="17"/>
                      </w:rPr>
                    </w:pPr>
                    <w:r>
                      <w:rPr>
                        <w:rFonts w:ascii="Franklin Gothic Book"/>
                        <w:sz w:val="17"/>
                      </w:rPr>
                      <w:t>Italia</w:t>
                    </w:r>
                  </w:p>
                </w:txbxContent>
              </v:textbox>
              <w10:wrap type="none"/>
            </v:shape>
            <v:shape style="position:absolute;left:8303;top:-11081;width:554;height:194" type="#_x0000_t202" filled="false" stroked="false">
              <v:textbox inset="0,0,0,0">
                <w:txbxContent>
                  <w:p>
                    <w:pPr>
                      <w:spacing w:before="0"/>
                      <w:ind w:left="0" w:right="0" w:firstLine="0"/>
                      <w:jc w:val="left"/>
                      <w:rPr>
                        <w:rFonts w:ascii="Franklin Gothic Book"/>
                        <w:sz w:val="17"/>
                      </w:rPr>
                    </w:pPr>
                    <w:r>
                      <w:rPr>
                        <w:rFonts w:ascii="Franklin Gothic Book"/>
                        <w:sz w:val="17"/>
                      </w:rPr>
                      <w:t>Francia</w:t>
                    </w:r>
                  </w:p>
                </w:txbxContent>
              </v:textbox>
              <w10:wrap type="none"/>
            </v:shape>
            <v:shape style="position:absolute;left:2852;top:-10849;width:4150;height:2470" type="#_x0000_t202" filled="false" stroked="false">
              <v:textbox inset="0,0,0,0">
                <w:txbxContent>
                  <w:p>
                    <w:pPr>
                      <w:tabs>
                        <w:tab w:pos="3939" w:val="left" w:leader="none"/>
                      </w:tabs>
                      <w:spacing w:line="190" w:lineRule="exact" w:before="4"/>
                      <w:ind w:left="39" w:right="0" w:firstLine="0"/>
                      <w:jc w:val="left"/>
                      <w:rPr>
                        <w:rFonts w:ascii="Franklin Gothic Book"/>
                        <w:sz w:val="16"/>
                      </w:rPr>
                    </w:pPr>
                    <w:r>
                      <w:rPr>
                        <w:rFonts w:ascii="Franklin Gothic Book"/>
                        <w:position w:val="1"/>
                        <w:sz w:val="16"/>
                      </w:rPr>
                      <w:t>12</w:t>
                      <w:tab/>
                    </w:r>
                    <w:r>
                      <w:rPr>
                        <w:rFonts w:ascii="Franklin Gothic Book"/>
                        <w:sz w:val="16"/>
                      </w:rPr>
                      <w:t>12</w:t>
                    </w:r>
                  </w:p>
                  <w:p>
                    <w:pPr>
                      <w:tabs>
                        <w:tab w:pos="3939" w:val="left" w:leader="none"/>
                      </w:tabs>
                      <w:spacing w:line="189" w:lineRule="exact" w:before="0"/>
                      <w:ind w:left="39" w:right="0" w:firstLine="0"/>
                      <w:jc w:val="left"/>
                      <w:rPr>
                        <w:rFonts w:ascii="Franklin Gothic Book"/>
                        <w:sz w:val="16"/>
                      </w:rPr>
                    </w:pPr>
                    <w:r>
                      <w:rPr>
                        <w:rFonts w:ascii="Franklin Gothic Book"/>
                        <w:position w:val="1"/>
                        <w:sz w:val="16"/>
                      </w:rPr>
                      <w:t>10</w:t>
                      <w:tab/>
                    </w:r>
                    <w:r>
                      <w:rPr>
                        <w:rFonts w:ascii="Franklin Gothic Book"/>
                        <w:sz w:val="16"/>
                      </w:rPr>
                      <w:t>10</w:t>
                    </w:r>
                  </w:p>
                  <w:p>
                    <w:pPr>
                      <w:tabs>
                        <w:tab w:pos="4033" w:val="left" w:leader="none"/>
                      </w:tabs>
                      <w:spacing w:line="189" w:lineRule="exact" w:before="0"/>
                      <w:ind w:left="134" w:right="0" w:firstLine="0"/>
                      <w:jc w:val="left"/>
                      <w:rPr>
                        <w:rFonts w:ascii="Franklin Gothic Book"/>
                        <w:sz w:val="16"/>
                      </w:rPr>
                    </w:pPr>
                    <w:r>
                      <w:rPr>
                        <w:rFonts w:ascii="Franklin Gothic Book"/>
                        <w:position w:val="1"/>
                        <w:sz w:val="16"/>
                      </w:rPr>
                      <w:t>8</w:t>
                      <w:tab/>
                    </w:r>
                    <w:r>
                      <w:rPr>
                        <w:rFonts w:ascii="Franklin Gothic Book"/>
                        <w:sz w:val="16"/>
                      </w:rPr>
                      <w:t>8</w:t>
                    </w:r>
                  </w:p>
                  <w:p>
                    <w:pPr>
                      <w:tabs>
                        <w:tab w:pos="4033" w:val="left" w:leader="none"/>
                      </w:tabs>
                      <w:spacing w:line="189" w:lineRule="exact" w:before="0"/>
                      <w:ind w:left="134" w:right="0" w:firstLine="0"/>
                      <w:jc w:val="left"/>
                      <w:rPr>
                        <w:rFonts w:ascii="Franklin Gothic Book"/>
                        <w:sz w:val="16"/>
                      </w:rPr>
                    </w:pPr>
                    <w:r>
                      <w:rPr>
                        <w:rFonts w:ascii="Franklin Gothic Book"/>
                        <w:position w:val="1"/>
                        <w:sz w:val="16"/>
                      </w:rPr>
                      <w:t>6</w:t>
                      <w:tab/>
                    </w:r>
                    <w:r>
                      <w:rPr>
                        <w:rFonts w:ascii="Franklin Gothic Book"/>
                        <w:sz w:val="16"/>
                      </w:rPr>
                      <w:t>6</w:t>
                    </w:r>
                  </w:p>
                  <w:p>
                    <w:pPr>
                      <w:tabs>
                        <w:tab w:pos="4033" w:val="left" w:leader="none"/>
                      </w:tabs>
                      <w:spacing w:line="189" w:lineRule="exact" w:before="0"/>
                      <w:ind w:left="134" w:right="0" w:firstLine="0"/>
                      <w:jc w:val="left"/>
                      <w:rPr>
                        <w:rFonts w:ascii="Franklin Gothic Book"/>
                        <w:sz w:val="16"/>
                      </w:rPr>
                    </w:pPr>
                    <w:r>
                      <w:rPr>
                        <w:rFonts w:ascii="Franklin Gothic Book"/>
                        <w:position w:val="1"/>
                        <w:sz w:val="16"/>
                      </w:rPr>
                      <w:t>4</w:t>
                      <w:tab/>
                    </w:r>
                    <w:r>
                      <w:rPr>
                        <w:rFonts w:ascii="Franklin Gothic Book"/>
                        <w:sz w:val="16"/>
                      </w:rPr>
                      <w:t>4</w:t>
                    </w:r>
                  </w:p>
                  <w:p>
                    <w:pPr>
                      <w:tabs>
                        <w:tab w:pos="4033" w:val="left" w:leader="none"/>
                      </w:tabs>
                      <w:spacing w:line="190" w:lineRule="exact" w:before="0"/>
                      <w:ind w:left="134" w:right="0" w:firstLine="0"/>
                      <w:jc w:val="left"/>
                      <w:rPr>
                        <w:rFonts w:ascii="Franklin Gothic Book"/>
                        <w:sz w:val="16"/>
                      </w:rPr>
                    </w:pPr>
                    <w:r>
                      <w:rPr>
                        <w:rFonts w:ascii="Franklin Gothic Book"/>
                        <w:position w:val="1"/>
                        <w:sz w:val="16"/>
                      </w:rPr>
                      <w:t>2</w:t>
                      <w:tab/>
                    </w:r>
                    <w:r>
                      <w:rPr>
                        <w:rFonts w:ascii="Franklin Gothic Book"/>
                        <w:sz w:val="16"/>
                      </w:rPr>
                      <w:t>2</w:t>
                    </w:r>
                  </w:p>
                  <w:p>
                    <w:pPr>
                      <w:tabs>
                        <w:tab w:pos="4033" w:val="left" w:leader="none"/>
                      </w:tabs>
                      <w:spacing w:before="8"/>
                      <w:ind w:left="134" w:right="0" w:firstLine="0"/>
                      <w:jc w:val="left"/>
                      <w:rPr>
                        <w:rFonts w:ascii="Franklin Gothic Book"/>
                        <w:sz w:val="16"/>
                      </w:rPr>
                    </w:pPr>
                    <w:r>
                      <w:rPr>
                        <w:rFonts w:ascii="Franklin Gothic Book"/>
                        <w:sz w:val="16"/>
                      </w:rPr>
                      <w:t>0</w:t>
                      <w:tab/>
                      <w:t>0</w:t>
                    </w:r>
                  </w:p>
                  <w:p>
                    <w:pPr>
                      <w:tabs>
                        <w:tab w:pos="3993" w:val="left" w:leader="none"/>
                      </w:tabs>
                      <w:spacing w:before="7"/>
                      <w:ind w:left="93" w:right="0" w:firstLine="0"/>
                      <w:jc w:val="left"/>
                      <w:rPr>
                        <w:rFonts w:ascii="Franklin Gothic Book"/>
                        <w:sz w:val="16"/>
                      </w:rPr>
                    </w:pPr>
                    <w:r>
                      <w:rPr>
                        <w:rFonts w:ascii="Franklin Gothic Book"/>
                        <w:sz w:val="16"/>
                      </w:rPr>
                      <w:t>-2</w:t>
                      <w:tab/>
                      <w:t>-2</w:t>
                    </w:r>
                  </w:p>
                  <w:p>
                    <w:pPr>
                      <w:tabs>
                        <w:tab w:pos="3993" w:val="left" w:leader="none"/>
                      </w:tabs>
                      <w:spacing w:before="8"/>
                      <w:ind w:left="93" w:right="0" w:firstLine="0"/>
                      <w:jc w:val="left"/>
                      <w:rPr>
                        <w:rFonts w:ascii="Franklin Gothic Book"/>
                        <w:sz w:val="16"/>
                      </w:rPr>
                    </w:pPr>
                    <w:r>
                      <w:rPr>
                        <w:rFonts w:ascii="Franklin Gothic Book"/>
                        <w:sz w:val="16"/>
                      </w:rPr>
                      <w:t>-4</w:t>
                      <w:tab/>
                      <w:t>-4</w:t>
                    </w:r>
                  </w:p>
                  <w:p>
                    <w:pPr>
                      <w:tabs>
                        <w:tab w:pos="3993" w:val="left" w:leader="none"/>
                      </w:tabs>
                      <w:spacing w:before="9"/>
                      <w:ind w:left="93" w:right="0" w:firstLine="0"/>
                      <w:jc w:val="left"/>
                      <w:rPr>
                        <w:rFonts w:ascii="Franklin Gothic Book"/>
                        <w:sz w:val="16"/>
                      </w:rPr>
                    </w:pPr>
                    <w:r>
                      <w:rPr>
                        <w:rFonts w:ascii="Franklin Gothic Book"/>
                        <w:sz w:val="16"/>
                      </w:rPr>
                      <w:t>-6</w:t>
                      <w:tab/>
                      <w:t>-6</w:t>
                    </w:r>
                  </w:p>
                  <w:p>
                    <w:pPr>
                      <w:tabs>
                        <w:tab w:pos="3993" w:val="left" w:leader="none"/>
                      </w:tabs>
                      <w:spacing w:before="9"/>
                      <w:ind w:left="93" w:right="0" w:firstLine="0"/>
                      <w:jc w:val="left"/>
                      <w:rPr>
                        <w:rFonts w:ascii="Franklin Gothic Book"/>
                        <w:sz w:val="16"/>
                      </w:rPr>
                    </w:pPr>
                    <w:r>
                      <w:rPr>
                        <w:rFonts w:ascii="Franklin Gothic Book"/>
                        <w:sz w:val="16"/>
                      </w:rPr>
                      <w:t>-8</w:t>
                      <w:tab/>
                      <w:t>-8</w:t>
                    </w:r>
                  </w:p>
                  <w:p>
                    <w:pPr>
                      <w:tabs>
                        <w:tab w:pos="3899" w:val="left" w:leader="none"/>
                      </w:tabs>
                      <w:spacing w:line="181" w:lineRule="exact" w:before="9"/>
                      <w:ind w:left="0" w:right="0" w:firstLine="0"/>
                      <w:jc w:val="left"/>
                      <w:rPr>
                        <w:rFonts w:ascii="Franklin Gothic Book"/>
                        <w:sz w:val="16"/>
                      </w:rPr>
                    </w:pPr>
                    <w:r>
                      <w:rPr>
                        <w:rFonts w:ascii="Franklin Gothic Book"/>
                        <w:sz w:val="16"/>
                      </w:rPr>
                      <w:t>-10</w:t>
                      <w:tab/>
                      <w:t>-10</w:t>
                    </w:r>
                  </w:p>
                  <w:p>
                    <w:pPr>
                      <w:tabs>
                        <w:tab w:pos="3899" w:val="left" w:leader="none"/>
                      </w:tabs>
                      <w:spacing w:line="191" w:lineRule="exact" w:before="0"/>
                      <w:ind w:left="0" w:right="0" w:firstLine="0"/>
                      <w:jc w:val="left"/>
                      <w:rPr>
                        <w:rFonts w:ascii="Franklin Gothic Book"/>
                        <w:sz w:val="16"/>
                      </w:rPr>
                    </w:pPr>
                    <w:r>
                      <w:rPr>
                        <w:rFonts w:ascii="Franklin Gothic Book"/>
                        <w:sz w:val="16"/>
                      </w:rPr>
                      <w:t>-12</w:t>
                      <w:tab/>
                    </w:r>
                    <w:r>
                      <w:rPr>
                        <w:rFonts w:ascii="Franklin Gothic Book"/>
                        <w:position w:val="1"/>
                        <w:sz w:val="16"/>
                      </w:rPr>
                      <w:t>-12</w:t>
                    </w:r>
                  </w:p>
                </w:txbxContent>
              </v:textbox>
              <w10:wrap type="none"/>
            </v:shape>
            <v:shape style="position:absolute;left:4349;top:-7735;width:725;height:194" type="#_x0000_t202" filled="false" stroked="false">
              <v:textbox inset="0,0,0,0">
                <w:txbxContent>
                  <w:p>
                    <w:pPr>
                      <w:spacing w:before="0"/>
                      <w:ind w:left="0" w:right="0" w:firstLine="0"/>
                      <w:jc w:val="left"/>
                      <w:rPr>
                        <w:rFonts w:ascii="Franklin Gothic Book"/>
                        <w:sz w:val="17"/>
                      </w:rPr>
                    </w:pPr>
                    <w:r>
                      <w:rPr>
                        <w:rFonts w:ascii="Franklin Gothic Book"/>
                        <w:sz w:val="17"/>
                      </w:rPr>
                      <w:t>Germania</w:t>
                    </w:r>
                  </w:p>
                </w:txbxContent>
              </v:textbox>
              <w10:wrap type="none"/>
            </v:shape>
            <v:shape style="position:absolute;left:8298;top:-7735;width:564;height:194" type="#_x0000_t202" filled="false" stroked="false">
              <v:textbox inset="0,0,0,0">
                <w:txbxContent>
                  <w:p>
                    <w:pPr>
                      <w:spacing w:before="0"/>
                      <w:ind w:left="0" w:right="0" w:firstLine="0"/>
                      <w:jc w:val="left"/>
                      <w:rPr>
                        <w:rFonts w:ascii="Franklin Gothic Book"/>
                        <w:sz w:val="17"/>
                      </w:rPr>
                    </w:pPr>
                    <w:r>
                      <w:rPr>
                        <w:rFonts w:ascii="Franklin Gothic Book"/>
                        <w:sz w:val="17"/>
                      </w:rPr>
                      <w:t>Spagna</w:t>
                    </w:r>
                  </w:p>
                </w:txbxContent>
              </v:textbox>
              <w10:wrap type="none"/>
            </v:shape>
            <v:shape style="position:absolute;left:2852;top:-7502;width:4113;height:2483" type="#_x0000_t202" filled="false" stroked="false">
              <v:textbox inset="0,0,0,0">
                <w:txbxContent>
                  <w:p>
                    <w:pPr>
                      <w:tabs>
                        <w:tab w:pos="3902" w:val="left" w:leader="none"/>
                      </w:tabs>
                      <w:spacing w:line="202" w:lineRule="exact" w:before="0"/>
                      <w:ind w:left="39" w:right="0" w:firstLine="0"/>
                      <w:jc w:val="left"/>
                      <w:rPr>
                        <w:rFonts w:ascii="Franklin Gothic Book"/>
                        <w:sz w:val="16"/>
                      </w:rPr>
                    </w:pPr>
                    <w:r>
                      <w:rPr>
                        <w:rFonts w:ascii="Franklin Gothic Book"/>
                        <w:sz w:val="16"/>
                      </w:rPr>
                      <w:t>12</w:t>
                      <w:tab/>
                    </w:r>
                    <w:r>
                      <w:rPr>
                        <w:rFonts w:ascii="Franklin Gothic Book"/>
                        <w:position w:val="-2"/>
                        <w:sz w:val="16"/>
                      </w:rPr>
                      <w:t>12</w:t>
                    </w:r>
                  </w:p>
                  <w:p>
                    <w:pPr>
                      <w:tabs>
                        <w:tab w:pos="3902" w:val="left" w:leader="none"/>
                      </w:tabs>
                      <w:spacing w:line="187" w:lineRule="exact" w:before="0"/>
                      <w:ind w:left="39" w:right="0" w:firstLine="0"/>
                      <w:jc w:val="left"/>
                      <w:rPr>
                        <w:rFonts w:ascii="Franklin Gothic Book"/>
                        <w:sz w:val="16"/>
                      </w:rPr>
                    </w:pPr>
                    <w:r>
                      <w:rPr>
                        <w:rFonts w:ascii="Franklin Gothic Book"/>
                        <w:sz w:val="16"/>
                      </w:rPr>
                      <w:t>10</w:t>
                      <w:tab/>
                    </w:r>
                    <w:r>
                      <w:rPr>
                        <w:rFonts w:ascii="Franklin Gothic Book"/>
                        <w:position w:val="-1"/>
                        <w:sz w:val="16"/>
                      </w:rPr>
                      <w:t>10</w:t>
                    </w:r>
                  </w:p>
                  <w:p>
                    <w:pPr>
                      <w:tabs>
                        <w:tab w:pos="3996" w:val="left" w:leader="none"/>
                      </w:tabs>
                      <w:spacing w:line="191" w:lineRule="exact" w:before="0"/>
                      <w:ind w:left="134" w:right="0" w:firstLine="0"/>
                      <w:jc w:val="left"/>
                      <w:rPr>
                        <w:rFonts w:ascii="Franklin Gothic Book"/>
                        <w:sz w:val="16"/>
                      </w:rPr>
                    </w:pPr>
                    <w:r>
                      <w:rPr>
                        <w:rFonts w:ascii="Franklin Gothic Book"/>
                        <w:sz w:val="16"/>
                      </w:rPr>
                      <w:t>8</w:t>
                      <w:tab/>
                    </w:r>
                    <w:r>
                      <w:rPr>
                        <w:rFonts w:ascii="Franklin Gothic Book"/>
                        <w:position w:val="-1"/>
                        <w:sz w:val="16"/>
                      </w:rPr>
                      <w:t>8</w:t>
                    </w:r>
                  </w:p>
                  <w:p>
                    <w:pPr>
                      <w:tabs>
                        <w:tab w:pos="3996" w:val="left" w:leader="none"/>
                      </w:tabs>
                      <w:spacing w:line="190" w:lineRule="exact" w:before="0"/>
                      <w:ind w:left="134" w:right="0" w:firstLine="0"/>
                      <w:jc w:val="left"/>
                      <w:rPr>
                        <w:rFonts w:ascii="Franklin Gothic Book"/>
                        <w:sz w:val="16"/>
                      </w:rPr>
                    </w:pPr>
                    <w:r>
                      <w:rPr>
                        <w:rFonts w:ascii="Franklin Gothic Book"/>
                        <w:position w:val="2"/>
                        <w:sz w:val="16"/>
                      </w:rPr>
                      <w:t>6</w:t>
                      <w:tab/>
                    </w:r>
                    <w:r>
                      <w:rPr>
                        <w:rFonts w:ascii="Franklin Gothic Book"/>
                        <w:sz w:val="16"/>
                      </w:rPr>
                      <w:t>6</w:t>
                    </w:r>
                  </w:p>
                  <w:p>
                    <w:pPr>
                      <w:tabs>
                        <w:tab w:pos="3996" w:val="left" w:leader="none"/>
                      </w:tabs>
                      <w:spacing w:line="195" w:lineRule="exact" w:before="0"/>
                      <w:ind w:left="134" w:right="0" w:firstLine="0"/>
                      <w:jc w:val="left"/>
                      <w:rPr>
                        <w:rFonts w:ascii="Franklin Gothic Book"/>
                        <w:sz w:val="16"/>
                      </w:rPr>
                    </w:pPr>
                    <w:r>
                      <w:rPr>
                        <w:rFonts w:ascii="Franklin Gothic Book"/>
                        <w:position w:val="2"/>
                        <w:sz w:val="16"/>
                      </w:rPr>
                      <w:t>4</w:t>
                      <w:tab/>
                    </w:r>
                    <w:r>
                      <w:rPr>
                        <w:rFonts w:ascii="Franklin Gothic Book"/>
                        <w:sz w:val="16"/>
                      </w:rPr>
                      <w:t>4</w:t>
                    </w:r>
                  </w:p>
                  <w:p>
                    <w:pPr>
                      <w:tabs>
                        <w:tab w:pos="3996" w:val="left" w:leader="none"/>
                      </w:tabs>
                      <w:spacing w:line="190" w:lineRule="exact" w:before="0"/>
                      <w:ind w:left="134" w:right="0" w:firstLine="0"/>
                      <w:jc w:val="left"/>
                      <w:rPr>
                        <w:rFonts w:ascii="Franklin Gothic Book"/>
                        <w:sz w:val="16"/>
                      </w:rPr>
                    </w:pPr>
                    <w:r>
                      <w:rPr>
                        <w:rFonts w:ascii="Franklin Gothic Book"/>
                        <w:position w:val="1"/>
                        <w:sz w:val="16"/>
                      </w:rPr>
                      <w:t>2</w:t>
                      <w:tab/>
                    </w:r>
                    <w:r>
                      <w:rPr>
                        <w:rFonts w:ascii="Franklin Gothic Book"/>
                        <w:sz w:val="16"/>
                      </w:rPr>
                      <w:t>2</w:t>
                    </w:r>
                  </w:p>
                  <w:p>
                    <w:pPr>
                      <w:tabs>
                        <w:tab w:pos="3996" w:val="left" w:leader="none"/>
                      </w:tabs>
                      <w:spacing w:line="190" w:lineRule="exact" w:before="0"/>
                      <w:ind w:left="134" w:right="0" w:firstLine="0"/>
                      <w:jc w:val="left"/>
                      <w:rPr>
                        <w:rFonts w:ascii="Franklin Gothic Book"/>
                        <w:sz w:val="16"/>
                      </w:rPr>
                    </w:pPr>
                    <w:r>
                      <w:rPr>
                        <w:rFonts w:ascii="Franklin Gothic Book"/>
                        <w:position w:val="1"/>
                        <w:sz w:val="16"/>
                      </w:rPr>
                      <w:t>0</w:t>
                      <w:tab/>
                    </w:r>
                    <w:r>
                      <w:rPr>
                        <w:rFonts w:ascii="Franklin Gothic Book"/>
                        <w:sz w:val="16"/>
                      </w:rPr>
                      <w:t>0</w:t>
                    </w:r>
                  </w:p>
                  <w:p>
                    <w:pPr>
                      <w:tabs>
                        <w:tab w:pos="3956" w:val="left" w:leader="none"/>
                      </w:tabs>
                      <w:spacing w:line="190" w:lineRule="exact" w:before="0"/>
                      <w:ind w:left="93" w:right="0" w:firstLine="0"/>
                      <w:jc w:val="left"/>
                      <w:rPr>
                        <w:rFonts w:ascii="Franklin Gothic Book"/>
                        <w:sz w:val="16"/>
                      </w:rPr>
                    </w:pPr>
                    <w:r>
                      <w:rPr>
                        <w:rFonts w:ascii="Franklin Gothic Book"/>
                        <w:position w:val="1"/>
                        <w:sz w:val="16"/>
                      </w:rPr>
                      <w:t>-2</w:t>
                      <w:tab/>
                    </w:r>
                    <w:r>
                      <w:rPr>
                        <w:rFonts w:ascii="Franklin Gothic Book"/>
                        <w:sz w:val="16"/>
                      </w:rPr>
                      <w:t>-2</w:t>
                    </w:r>
                  </w:p>
                  <w:p>
                    <w:pPr>
                      <w:tabs>
                        <w:tab w:pos="3956" w:val="left" w:leader="none"/>
                      </w:tabs>
                      <w:spacing w:line="190" w:lineRule="exact" w:before="0"/>
                      <w:ind w:left="93" w:right="0" w:firstLine="0"/>
                      <w:jc w:val="left"/>
                      <w:rPr>
                        <w:rFonts w:ascii="Franklin Gothic Book"/>
                        <w:sz w:val="16"/>
                      </w:rPr>
                    </w:pPr>
                    <w:r>
                      <w:rPr>
                        <w:rFonts w:ascii="Franklin Gothic Book"/>
                        <w:position w:val="1"/>
                        <w:sz w:val="16"/>
                      </w:rPr>
                      <w:t>-4</w:t>
                      <w:tab/>
                    </w:r>
                    <w:r>
                      <w:rPr>
                        <w:rFonts w:ascii="Franklin Gothic Book"/>
                        <w:sz w:val="16"/>
                      </w:rPr>
                      <w:t>-4</w:t>
                    </w:r>
                  </w:p>
                  <w:p>
                    <w:pPr>
                      <w:tabs>
                        <w:tab w:pos="3956" w:val="left" w:leader="none"/>
                      </w:tabs>
                      <w:spacing w:line="191" w:lineRule="exact" w:before="0"/>
                      <w:ind w:left="93" w:right="0" w:firstLine="0"/>
                      <w:jc w:val="left"/>
                      <w:rPr>
                        <w:rFonts w:ascii="Franklin Gothic Book"/>
                        <w:sz w:val="16"/>
                      </w:rPr>
                    </w:pPr>
                    <w:r>
                      <w:rPr>
                        <w:rFonts w:ascii="Franklin Gothic Book"/>
                        <w:position w:val="1"/>
                        <w:sz w:val="16"/>
                      </w:rPr>
                      <w:t>-6</w:t>
                      <w:tab/>
                    </w:r>
                    <w:r>
                      <w:rPr>
                        <w:rFonts w:ascii="Franklin Gothic Book"/>
                        <w:sz w:val="16"/>
                      </w:rPr>
                      <w:t>-6</w:t>
                    </w:r>
                  </w:p>
                  <w:p>
                    <w:pPr>
                      <w:tabs>
                        <w:tab w:pos="3956" w:val="left" w:leader="none"/>
                      </w:tabs>
                      <w:spacing w:before="9"/>
                      <w:ind w:left="93" w:right="0" w:firstLine="0"/>
                      <w:jc w:val="left"/>
                      <w:rPr>
                        <w:rFonts w:ascii="Franklin Gothic Book"/>
                        <w:sz w:val="16"/>
                      </w:rPr>
                    </w:pPr>
                    <w:r>
                      <w:rPr>
                        <w:rFonts w:ascii="Franklin Gothic Book"/>
                        <w:sz w:val="16"/>
                      </w:rPr>
                      <w:t>-8</w:t>
                      <w:tab/>
                      <w:t>-8</w:t>
                    </w:r>
                  </w:p>
                  <w:p>
                    <w:pPr>
                      <w:tabs>
                        <w:tab w:pos="3862" w:val="left" w:leader="none"/>
                      </w:tabs>
                      <w:spacing w:before="8"/>
                      <w:ind w:left="0" w:right="0" w:firstLine="0"/>
                      <w:jc w:val="left"/>
                      <w:rPr>
                        <w:rFonts w:ascii="Franklin Gothic Book"/>
                        <w:sz w:val="16"/>
                      </w:rPr>
                    </w:pPr>
                    <w:r>
                      <w:rPr>
                        <w:rFonts w:ascii="Franklin Gothic Book"/>
                        <w:sz w:val="16"/>
                      </w:rPr>
                      <w:t>-10</w:t>
                      <w:tab/>
                      <w:t>-10</w:t>
                    </w:r>
                  </w:p>
                  <w:p>
                    <w:pPr>
                      <w:tabs>
                        <w:tab w:pos="3862" w:val="left" w:leader="none"/>
                      </w:tabs>
                      <w:spacing w:before="8"/>
                      <w:ind w:left="0" w:right="0" w:firstLine="0"/>
                      <w:jc w:val="left"/>
                      <w:rPr>
                        <w:rFonts w:ascii="Franklin Gothic Book"/>
                        <w:sz w:val="16"/>
                      </w:rPr>
                    </w:pPr>
                    <w:r>
                      <w:rPr>
                        <w:rFonts w:ascii="Franklin Gothic Book"/>
                        <w:sz w:val="16"/>
                      </w:rPr>
                      <w:t>-12</w:t>
                      <w:tab/>
                      <w:t>-12</w:t>
                    </w:r>
                  </w:p>
                </w:txbxContent>
              </v:textbox>
              <w10:wrap type="none"/>
            </v:shape>
            <v:shape style="position:absolute;left:2753;top:-3684;width:7439;height:543" type="#_x0000_t202" filled="false" stroked="false">
              <v:textbox inset="0,0,0,0">
                <w:txbxContent>
                  <w:p>
                    <w:pPr>
                      <w:spacing w:before="0"/>
                      <w:ind w:left="0" w:right="-4" w:firstLine="0"/>
                      <w:jc w:val="left"/>
                      <w:rPr>
                        <w:rFonts w:ascii="Franklin Gothic Book"/>
                        <w:sz w:val="16"/>
                      </w:rPr>
                    </w:pPr>
                    <w:r>
                      <w:rPr>
                        <w:rFonts w:ascii="Franklin Gothic Book"/>
                        <w:sz w:val="16"/>
                      </w:rPr>
                      <w:t>Nota: La differenza tra il tasso di crescita delle esportazioni di un paese e il tasso di crescita delle esportazioni mondiali corrisponde alla variazione delle quote di mercato del paese.</w:t>
                    </w:r>
                  </w:p>
                  <w:p>
                    <w:pPr>
                      <w:spacing w:line="179" w:lineRule="exact" w:before="0"/>
                      <w:ind w:left="0" w:right="0" w:firstLine="0"/>
                      <w:jc w:val="left"/>
                      <w:rPr>
                        <w:rFonts w:ascii="Franklin Gothic Book"/>
                        <w:sz w:val="16"/>
                      </w:rPr>
                    </w:pPr>
                    <w:r>
                      <w:rPr>
                        <w:rFonts w:ascii="Franklin Gothic Book"/>
                        <w:sz w:val="16"/>
                      </w:rPr>
                      <w:t>Fonte: elaborazioni su dati UN Cometrade.</w:t>
                    </w:r>
                  </w:p>
                </w:txbxContent>
              </v:textbox>
              <w10:wrap type="none"/>
            </v:shape>
            <v:shape style="position:absolute;left:2753;top:-2718;width:7760;height:2206" type="#_x0000_t202" filled="false" stroked="false">
              <v:textbox inset="0,0,0,0">
                <w:txbxContent>
                  <w:p>
                    <w:pPr>
                      <w:spacing w:line="254" w:lineRule="auto" w:before="0"/>
                      <w:ind w:left="0" w:right="18" w:firstLine="0"/>
                      <w:jc w:val="both"/>
                      <w:rPr>
                        <w:rFonts w:ascii="Franklin Gothic Book" w:hAnsi="Franklin Gothic Book"/>
                        <w:sz w:val="20"/>
                      </w:rPr>
                    </w:pPr>
                    <w:r>
                      <w:rPr>
                        <w:rFonts w:ascii="Franklin Gothic Book" w:hAnsi="Franklin Gothic Book"/>
                        <w:sz w:val="20"/>
                      </w:rPr>
                      <w:t>Nonostante la complessità crescente del contesto internazionale, il buon andamento del settore estero dell’Italia, in atto dal 2010, continua a seguire due direttrici: il cambiamento del modello di specializzazione e il recupero della competitività di prezzo. Secondo recenti studi</w:t>
                    </w:r>
                    <w:r>
                      <w:rPr>
                        <w:rFonts w:ascii="Franklin Gothic Book" w:hAnsi="Franklin Gothic Book"/>
                        <w:position w:val="5"/>
                        <w:sz w:val="13"/>
                      </w:rPr>
                      <w:t>14</w:t>
                    </w:r>
                    <w:r>
                      <w:rPr>
                        <w:rFonts w:ascii="Franklin Gothic Book" w:hAnsi="Franklin Gothic Book"/>
                        <w:sz w:val="20"/>
                      </w:rPr>
                      <w:t>, nel periodo 1990-2018, la struttura settoriale dell’industria italiana si è progressivamente orientata verso comparti a maggiore intensità tecnologica, pur senza abbandonare i prodotti tipici del Made in Italy.</w:t>
                    </w:r>
                  </w:p>
                  <w:p>
                    <w:pPr>
                      <w:spacing w:line="254" w:lineRule="auto" w:before="57"/>
                      <w:ind w:left="0" w:right="19" w:firstLine="0"/>
                      <w:jc w:val="both"/>
                      <w:rPr>
                        <w:rFonts w:ascii="Franklin Gothic Book" w:hAnsi="Franklin Gothic Book"/>
                        <w:sz w:val="20"/>
                      </w:rPr>
                    </w:pPr>
                    <w:r>
                      <w:rPr>
                        <w:rFonts w:ascii="Franklin Gothic Book" w:hAnsi="Franklin Gothic Book"/>
                        <w:sz w:val="20"/>
                      </w:rPr>
                      <w:t>In particolare, dagli anni duemila si è irrobustita la posizione dell’industria italiana nei comparti maggiormente specializzati, quale quello della meccanica; inoltre, negli ultimi due anni, è in forte crescita anche la presenza nel settore nautico. Da notare che, negli anni più</w:t>
                    </w:r>
                  </w:p>
                </w:txbxContent>
              </v:textbox>
              <w10:wrap type="none"/>
            </v:shape>
            <v:shape style="position:absolute;left:2753;top:-11565;width:7737;height:476" type="#_x0000_t202" filled="true" fillcolor="#086d44" stroked="false">
              <v:textbox inset="0,0,0,0">
                <w:txbxContent>
                  <w:p>
                    <w:pPr>
                      <w:spacing w:line="186" w:lineRule="exact" w:before="45"/>
                      <w:ind w:left="28" w:right="0" w:firstLine="0"/>
                      <w:jc w:val="left"/>
                      <w:rPr>
                        <w:rFonts w:ascii="Franklin Gothic Heavy"/>
                        <w:b/>
                        <w:sz w:val="17"/>
                      </w:rPr>
                    </w:pPr>
                    <w:r>
                      <w:rPr>
                        <w:rFonts w:ascii="Franklin Gothic Heavy"/>
                        <w:b/>
                        <w:color w:val="EFEFEF"/>
                        <w:sz w:val="17"/>
                      </w:rPr>
                      <w:t>FIGURA R.1: ANALISI SHIFT AND SHARE DELLE ESPORTAZIONI DEI MAGGIORI PAESI EUROPEI</w:t>
                    </w:r>
                  </w:p>
                  <w:p>
                    <w:pPr>
                      <w:spacing w:line="186" w:lineRule="exact" w:before="0"/>
                      <w:ind w:left="28" w:right="0" w:firstLine="0"/>
                      <w:jc w:val="left"/>
                      <w:rPr>
                        <w:rFonts w:ascii="Franklin Gothic Heavy"/>
                        <w:b/>
                        <w:sz w:val="17"/>
                      </w:rPr>
                    </w:pPr>
                    <w:r>
                      <w:rPr>
                        <w:rFonts w:ascii="Franklin Gothic Heavy"/>
                        <w:b/>
                        <w:color w:val="EFEFEF"/>
                        <w:sz w:val="17"/>
                      </w:rPr>
                      <w:t>(differenze dei tassi di crescita delle esportazioni mondiali e dei singoli paesi, %)</w:t>
                    </w:r>
                  </w:p>
                </w:txbxContent>
              </v:textbox>
              <v:fill type="solid"/>
              <w10:wrap type="none"/>
            </v:shape>
            <w10:wrap type="none"/>
          </v:group>
        </w:pict>
      </w:r>
      <w:r>
        <w:rPr>
          <w:position w:val="6"/>
          <w:sz w:val="10"/>
        </w:rPr>
        <w:t>14</w:t>
      </w:r>
      <w:r>
        <w:rPr>
          <w:spacing w:val="9"/>
          <w:position w:val="6"/>
          <w:sz w:val="10"/>
        </w:rPr>
        <w:t> </w:t>
      </w:r>
      <w:r>
        <w:rPr>
          <w:sz w:val="16"/>
        </w:rPr>
        <w:t>ICE,</w:t>
      </w:r>
      <w:r>
        <w:rPr>
          <w:spacing w:val="-11"/>
          <w:sz w:val="16"/>
        </w:rPr>
        <w:t> </w:t>
      </w:r>
      <w:r>
        <w:rPr>
          <w:sz w:val="16"/>
        </w:rPr>
        <w:t>‘L’Italia</w:t>
      </w:r>
      <w:r>
        <w:rPr>
          <w:spacing w:val="-13"/>
          <w:sz w:val="16"/>
        </w:rPr>
        <w:t> </w:t>
      </w:r>
      <w:r>
        <w:rPr>
          <w:sz w:val="16"/>
        </w:rPr>
        <w:t>nell’economia</w:t>
      </w:r>
      <w:r>
        <w:rPr>
          <w:spacing w:val="-10"/>
          <w:sz w:val="16"/>
        </w:rPr>
        <w:t> </w:t>
      </w:r>
      <w:r>
        <w:rPr>
          <w:sz w:val="16"/>
        </w:rPr>
        <w:t>internazionale’,</w:t>
      </w:r>
      <w:r>
        <w:rPr>
          <w:spacing w:val="-9"/>
          <w:sz w:val="16"/>
        </w:rPr>
        <w:t> </w:t>
      </w:r>
      <w:r>
        <w:rPr>
          <w:sz w:val="16"/>
        </w:rPr>
        <w:t>Rapporto</w:t>
      </w:r>
      <w:r>
        <w:rPr>
          <w:spacing w:val="-9"/>
          <w:sz w:val="16"/>
        </w:rPr>
        <w:t> </w:t>
      </w:r>
      <w:r>
        <w:rPr>
          <w:sz w:val="16"/>
        </w:rPr>
        <w:t>2018-2019,</w:t>
      </w:r>
      <w:r>
        <w:rPr>
          <w:spacing w:val="-9"/>
          <w:sz w:val="16"/>
        </w:rPr>
        <w:t> </w:t>
      </w:r>
      <w:r>
        <w:rPr>
          <w:sz w:val="16"/>
        </w:rPr>
        <w:t>luglio</w:t>
      </w:r>
      <w:r>
        <w:rPr>
          <w:spacing w:val="-9"/>
          <w:sz w:val="16"/>
        </w:rPr>
        <w:t> </w:t>
      </w:r>
      <w:r>
        <w:rPr>
          <w:sz w:val="16"/>
        </w:rPr>
        <w:t>2019.</w:t>
      </w:r>
      <w:r>
        <w:rPr>
          <w:spacing w:val="-9"/>
          <w:sz w:val="16"/>
        </w:rPr>
        <w:t> </w:t>
      </w:r>
      <w:r>
        <w:rPr>
          <w:sz w:val="16"/>
        </w:rPr>
        <w:t>Per</w:t>
      </w:r>
      <w:r>
        <w:rPr>
          <w:spacing w:val="-11"/>
          <w:sz w:val="16"/>
        </w:rPr>
        <w:t> </w:t>
      </w:r>
      <w:r>
        <w:rPr>
          <w:sz w:val="16"/>
        </w:rPr>
        <w:t>maggiori</w:t>
      </w:r>
      <w:r>
        <w:rPr>
          <w:spacing w:val="-10"/>
          <w:sz w:val="16"/>
        </w:rPr>
        <w:t> </w:t>
      </w:r>
      <w:r>
        <w:rPr>
          <w:sz w:val="16"/>
        </w:rPr>
        <w:t>dettagli</w:t>
      </w:r>
      <w:r>
        <w:rPr>
          <w:spacing w:val="-10"/>
          <w:sz w:val="16"/>
        </w:rPr>
        <w:t> </w:t>
      </w:r>
      <w:r>
        <w:rPr>
          <w:sz w:val="16"/>
        </w:rPr>
        <w:t>si</w:t>
      </w:r>
      <w:r>
        <w:rPr>
          <w:spacing w:val="-10"/>
          <w:sz w:val="16"/>
        </w:rPr>
        <w:t> </w:t>
      </w:r>
      <w:r>
        <w:rPr>
          <w:sz w:val="16"/>
        </w:rPr>
        <w:t>veda l’approfondimento ‘Il modello di specializzazione commerciale dell’economia italiana: evoluzione recente e confronto con gli altri principali paesi dell’Area dell’euro’, A. Giampietri. Questa analisi si ricorre alla tassonomia di</w:t>
      </w:r>
      <w:r>
        <w:rPr>
          <w:spacing w:val="-13"/>
          <w:sz w:val="16"/>
        </w:rPr>
        <w:t> </w:t>
      </w:r>
      <w:r>
        <w:rPr>
          <w:sz w:val="16"/>
        </w:rPr>
        <w:t>Pavitt</w:t>
      </w:r>
      <w:r>
        <w:rPr>
          <w:spacing w:val="-11"/>
          <w:sz w:val="16"/>
        </w:rPr>
        <w:t> </w:t>
      </w:r>
      <w:r>
        <w:rPr>
          <w:sz w:val="16"/>
        </w:rPr>
        <w:t>(1984)</w:t>
      </w:r>
      <w:r>
        <w:rPr>
          <w:spacing w:val="-10"/>
          <w:sz w:val="16"/>
        </w:rPr>
        <w:t> </w:t>
      </w:r>
      <w:r>
        <w:rPr>
          <w:sz w:val="16"/>
        </w:rPr>
        <w:t>che</w:t>
      </w:r>
      <w:r>
        <w:rPr>
          <w:spacing w:val="-11"/>
          <w:sz w:val="16"/>
        </w:rPr>
        <w:t> </w:t>
      </w:r>
      <w:r>
        <w:rPr>
          <w:sz w:val="16"/>
        </w:rPr>
        <w:t>classifica</w:t>
      </w:r>
      <w:r>
        <w:rPr>
          <w:spacing w:val="-12"/>
          <w:sz w:val="16"/>
        </w:rPr>
        <w:t> </w:t>
      </w:r>
      <w:r>
        <w:rPr>
          <w:sz w:val="16"/>
        </w:rPr>
        <w:t>i</w:t>
      </w:r>
      <w:r>
        <w:rPr>
          <w:spacing w:val="-13"/>
          <w:sz w:val="16"/>
        </w:rPr>
        <w:t> </w:t>
      </w:r>
      <w:r>
        <w:rPr>
          <w:sz w:val="16"/>
        </w:rPr>
        <w:t>settori</w:t>
      </w:r>
      <w:r>
        <w:rPr>
          <w:spacing w:val="-11"/>
          <w:sz w:val="16"/>
        </w:rPr>
        <w:t> </w:t>
      </w:r>
      <w:r>
        <w:rPr>
          <w:sz w:val="16"/>
        </w:rPr>
        <w:t>industriali</w:t>
      </w:r>
      <w:r>
        <w:rPr>
          <w:spacing w:val="-13"/>
          <w:sz w:val="16"/>
        </w:rPr>
        <w:t> </w:t>
      </w:r>
      <w:r>
        <w:rPr>
          <w:sz w:val="16"/>
        </w:rPr>
        <w:t>sulla</w:t>
      </w:r>
      <w:r>
        <w:rPr>
          <w:spacing w:val="-13"/>
          <w:sz w:val="16"/>
        </w:rPr>
        <w:t> </w:t>
      </w:r>
      <w:r>
        <w:rPr>
          <w:sz w:val="16"/>
        </w:rPr>
        <w:t>base</w:t>
      </w:r>
      <w:r>
        <w:rPr>
          <w:spacing w:val="-10"/>
          <w:sz w:val="16"/>
        </w:rPr>
        <w:t> </w:t>
      </w:r>
      <w:r>
        <w:rPr>
          <w:sz w:val="16"/>
        </w:rPr>
        <w:t>delle</w:t>
      </w:r>
      <w:r>
        <w:rPr>
          <w:spacing w:val="-11"/>
          <w:sz w:val="16"/>
        </w:rPr>
        <w:t> </w:t>
      </w:r>
      <w:r>
        <w:rPr>
          <w:sz w:val="16"/>
        </w:rPr>
        <w:t>fonti</w:t>
      </w:r>
      <w:r>
        <w:rPr>
          <w:spacing w:val="-12"/>
          <w:sz w:val="16"/>
        </w:rPr>
        <w:t> </w:t>
      </w:r>
      <w:r>
        <w:rPr>
          <w:sz w:val="16"/>
        </w:rPr>
        <w:t>e</w:t>
      </w:r>
      <w:r>
        <w:rPr>
          <w:spacing w:val="-11"/>
          <w:sz w:val="16"/>
        </w:rPr>
        <w:t> </w:t>
      </w:r>
      <w:r>
        <w:rPr>
          <w:sz w:val="16"/>
        </w:rPr>
        <w:t>della</w:t>
      </w:r>
      <w:r>
        <w:rPr>
          <w:spacing w:val="-12"/>
          <w:sz w:val="16"/>
        </w:rPr>
        <w:t> </w:t>
      </w:r>
      <w:r>
        <w:rPr>
          <w:sz w:val="16"/>
        </w:rPr>
        <w:t>natura</w:t>
      </w:r>
      <w:r>
        <w:rPr>
          <w:spacing w:val="-13"/>
          <w:sz w:val="16"/>
        </w:rPr>
        <w:t> </w:t>
      </w:r>
      <w:r>
        <w:rPr>
          <w:sz w:val="16"/>
        </w:rPr>
        <w:t>delle</w:t>
      </w:r>
      <w:r>
        <w:rPr>
          <w:spacing w:val="-11"/>
          <w:sz w:val="16"/>
        </w:rPr>
        <w:t> </w:t>
      </w:r>
      <w:r>
        <w:rPr>
          <w:sz w:val="16"/>
        </w:rPr>
        <w:t>opportunità</w:t>
      </w:r>
      <w:r>
        <w:rPr>
          <w:spacing w:val="-14"/>
          <w:sz w:val="16"/>
        </w:rPr>
        <w:t> </w:t>
      </w:r>
      <w:r>
        <w:rPr>
          <w:sz w:val="16"/>
        </w:rPr>
        <w:t>tecnologiche e delle innovazioni, dell’intensità della ricerca e sviluppo e della tipologia dei flussi di conoscenza. L’indicatore utilizzato per esaminare il modello di specializzazione commerciale è l’indice di specializzazione commerciale netta (NTS) che considera il peso dei diversi settori sulle esportazioni e sulle</w:t>
      </w:r>
      <w:r>
        <w:rPr>
          <w:spacing w:val="-19"/>
          <w:sz w:val="16"/>
        </w:rPr>
        <w:t> </w:t>
      </w:r>
      <w:r>
        <w:rPr>
          <w:sz w:val="16"/>
        </w:rPr>
        <w:t>importazioni.</w:t>
      </w:r>
    </w:p>
    <w:p>
      <w:pPr>
        <w:spacing w:after="0"/>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rPr>
          <w:sz w:val="20"/>
        </w:rPr>
      </w:pPr>
    </w:p>
    <w:p>
      <w:pPr>
        <w:pStyle w:val="BodyText"/>
        <w:spacing w:before="9" w:after="1"/>
        <w:rPr>
          <w:sz w:val="14"/>
        </w:rPr>
      </w:pPr>
    </w:p>
    <w:p>
      <w:pPr>
        <w:pStyle w:val="BodyText"/>
        <w:ind w:left="307"/>
        <w:rPr>
          <w:sz w:val="20"/>
        </w:rPr>
      </w:pPr>
      <w:r>
        <w:rPr>
          <w:sz w:val="20"/>
        </w:rPr>
        <w:pict>
          <v:shape style="width:409.65pt;height:366.05pt;mso-position-horizontal-relative:char;mso-position-vertical-relative:line" type="#_x0000_t202" filled="true" fillcolor="#efefef" stroked="false">
            <w10:anchorlock/>
            <v:textbox inset="0,0,0,0">
              <w:txbxContent>
                <w:p>
                  <w:pPr>
                    <w:spacing w:line="254" w:lineRule="auto" w:before="8"/>
                    <w:ind w:left="453" w:right="1" w:firstLine="0"/>
                    <w:jc w:val="both"/>
                    <w:rPr>
                      <w:rFonts w:ascii="Franklin Gothic Book" w:hAnsi="Franklin Gothic Book"/>
                      <w:sz w:val="20"/>
                    </w:rPr>
                  </w:pPr>
                  <w:r>
                    <w:rPr>
                      <w:rFonts w:ascii="Franklin Gothic Book" w:hAnsi="Franklin Gothic Book"/>
                      <w:sz w:val="20"/>
                    </w:rPr>
                    <w:t>recenti, si osserva un recupero nel comparto della chimica, mentre si è lievemente</w:t>
                  </w:r>
                  <w:r>
                    <w:rPr>
                      <w:rFonts w:ascii="Franklin Gothic Book" w:hAnsi="Franklin Gothic Book"/>
                      <w:spacing w:val="-30"/>
                      <w:sz w:val="20"/>
                    </w:rPr>
                    <w:t> </w:t>
                  </w:r>
                  <w:r>
                    <w:rPr>
                      <w:rFonts w:ascii="Franklin Gothic Book" w:hAnsi="Franklin Gothic Book"/>
                      <w:sz w:val="20"/>
                    </w:rPr>
                    <w:t>ampliata la de-specializzazione nella metallurgia e negli autoveicoli. Gli svantaggi comparati si sono ridotti in altri settori, come quello dei derivati del petrolio, pur in leggero arretramento nell’ultimo biennio. I settori ad alta intensità di R&amp;S rimangono tuttavia un elemento di debolezza del modello di specializzazione dell’industria italiana, sebbene di recente l’indice di specializzazione mostri un mutamento, rispetto al biennio 1990-1991, per la meccanica di</w:t>
                  </w:r>
                  <w:r>
                    <w:rPr>
                      <w:rFonts w:ascii="Franklin Gothic Book" w:hAnsi="Franklin Gothic Book"/>
                      <w:spacing w:val="-13"/>
                      <w:sz w:val="20"/>
                    </w:rPr>
                    <w:t> </w:t>
                  </w:r>
                  <w:r>
                    <w:rPr>
                      <w:rFonts w:ascii="Franklin Gothic Book" w:hAnsi="Franklin Gothic Book"/>
                      <w:sz w:val="20"/>
                    </w:rPr>
                    <w:t>precisione</w:t>
                  </w:r>
                  <w:r>
                    <w:rPr>
                      <w:rFonts w:ascii="Franklin Gothic Book" w:hAnsi="Franklin Gothic Book"/>
                      <w:spacing w:val="-10"/>
                      <w:sz w:val="20"/>
                    </w:rPr>
                    <w:t> </w:t>
                  </w:r>
                  <w:r>
                    <w:rPr>
                      <w:rFonts w:ascii="Franklin Gothic Book" w:hAnsi="Franklin Gothic Book"/>
                      <w:sz w:val="20"/>
                    </w:rPr>
                    <w:t>e</w:t>
                  </w:r>
                  <w:r>
                    <w:rPr>
                      <w:rFonts w:ascii="Franklin Gothic Book" w:hAnsi="Franklin Gothic Book"/>
                      <w:spacing w:val="-12"/>
                      <w:sz w:val="20"/>
                    </w:rPr>
                    <w:t> </w:t>
                  </w:r>
                  <w:r>
                    <w:rPr>
                      <w:rFonts w:ascii="Franklin Gothic Book" w:hAnsi="Franklin Gothic Book"/>
                      <w:sz w:val="20"/>
                    </w:rPr>
                    <w:t>per</w:t>
                  </w:r>
                  <w:r>
                    <w:rPr>
                      <w:rFonts w:ascii="Franklin Gothic Book" w:hAnsi="Franklin Gothic Book"/>
                      <w:spacing w:val="-11"/>
                      <w:sz w:val="20"/>
                    </w:rPr>
                    <w:t> </w:t>
                  </w:r>
                  <w:r>
                    <w:rPr>
                      <w:rFonts w:ascii="Franklin Gothic Book" w:hAnsi="Franklin Gothic Book"/>
                      <w:sz w:val="20"/>
                    </w:rPr>
                    <w:t>la</w:t>
                  </w:r>
                  <w:r>
                    <w:rPr>
                      <w:rFonts w:ascii="Franklin Gothic Book" w:hAnsi="Franklin Gothic Book"/>
                      <w:spacing w:val="-12"/>
                      <w:sz w:val="20"/>
                    </w:rPr>
                    <w:t> </w:t>
                  </w:r>
                  <w:r>
                    <w:rPr>
                      <w:rFonts w:ascii="Franklin Gothic Book" w:hAnsi="Franklin Gothic Book"/>
                      <w:sz w:val="20"/>
                    </w:rPr>
                    <w:t>farmaceutica,</w:t>
                  </w:r>
                  <w:r>
                    <w:rPr>
                      <w:rFonts w:ascii="Franklin Gothic Book" w:hAnsi="Franklin Gothic Book"/>
                      <w:spacing w:val="-11"/>
                      <w:sz w:val="20"/>
                    </w:rPr>
                    <w:t> </w:t>
                  </w:r>
                  <w:r>
                    <w:rPr>
                      <w:rFonts w:ascii="Franklin Gothic Book" w:hAnsi="Franklin Gothic Book"/>
                      <w:sz w:val="20"/>
                    </w:rPr>
                    <w:t>insieme</w:t>
                  </w:r>
                  <w:r>
                    <w:rPr>
                      <w:rFonts w:ascii="Franklin Gothic Book" w:hAnsi="Franklin Gothic Book"/>
                      <w:spacing w:val="-13"/>
                      <w:sz w:val="20"/>
                    </w:rPr>
                    <w:t> </w:t>
                  </w:r>
                  <w:r>
                    <w:rPr>
                      <w:rFonts w:ascii="Franklin Gothic Book" w:hAnsi="Franklin Gothic Book"/>
                      <w:sz w:val="20"/>
                    </w:rPr>
                    <w:t>al</w:t>
                  </w:r>
                  <w:r>
                    <w:rPr>
                      <w:rFonts w:ascii="Franklin Gothic Book" w:hAnsi="Franklin Gothic Book"/>
                      <w:spacing w:val="-11"/>
                      <w:sz w:val="20"/>
                    </w:rPr>
                    <w:t> </w:t>
                  </w:r>
                  <w:r>
                    <w:rPr>
                      <w:rFonts w:ascii="Franklin Gothic Book" w:hAnsi="Franklin Gothic Book"/>
                      <w:sz w:val="20"/>
                    </w:rPr>
                    <w:t>cambiamento</w:t>
                  </w:r>
                  <w:r>
                    <w:rPr>
                      <w:rFonts w:ascii="Franklin Gothic Book" w:hAnsi="Franklin Gothic Book"/>
                      <w:spacing w:val="-12"/>
                      <w:sz w:val="20"/>
                    </w:rPr>
                    <w:t> </w:t>
                  </w:r>
                  <w:r>
                    <w:rPr>
                      <w:rFonts w:ascii="Franklin Gothic Book" w:hAnsi="Franklin Gothic Book"/>
                      <w:sz w:val="20"/>
                    </w:rPr>
                    <w:t>di</w:t>
                  </w:r>
                  <w:r>
                    <w:rPr>
                      <w:rFonts w:ascii="Franklin Gothic Book" w:hAnsi="Franklin Gothic Book"/>
                      <w:spacing w:val="-12"/>
                      <w:sz w:val="20"/>
                    </w:rPr>
                    <w:t> </w:t>
                  </w:r>
                  <w:r>
                    <w:rPr>
                      <w:rFonts w:ascii="Franklin Gothic Book" w:hAnsi="Franklin Gothic Book"/>
                      <w:sz w:val="20"/>
                    </w:rPr>
                    <w:t>segno</w:t>
                  </w:r>
                  <w:r>
                    <w:rPr>
                      <w:rFonts w:ascii="Franklin Gothic Book" w:hAnsi="Franklin Gothic Book"/>
                      <w:spacing w:val="-9"/>
                      <w:sz w:val="20"/>
                    </w:rPr>
                    <w:t> </w:t>
                  </w:r>
                  <w:r>
                    <w:rPr>
                      <w:rFonts w:ascii="Franklin Gothic Book" w:hAnsi="Franklin Gothic Book"/>
                      <w:sz w:val="20"/>
                    </w:rPr>
                    <w:t>per</w:t>
                  </w:r>
                  <w:r>
                    <w:rPr>
                      <w:rFonts w:ascii="Franklin Gothic Book" w:hAnsi="Franklin Gothic Book"/>
                      <w:spacing w:val="-12"/>
                      <w:sz w:val="20"/>
                    </w:rPr>
                    <w:t> </w:t>
                  </w:r>
                  <w:r>
                    <w:rPr>
                      <w:rFonts w:ascii="Franklin Gothic Book" w:hAnsi="Franklin Gothic Book"/>
                      <w:sz w:val="20"/>
                    </w:rPr>
                    <w:t>aeromobili</w:t>
                  </w:r>
                  <w:r>
                    <w:rPr>
                      <w:rFonts w:ascii="Franklin Gothic Book" w:hAnsi="Franklin Gothic Book"/>
                      <w:spacing w:val="-10"/>
                      <w:sz w:val="20"/>
                    </w:rPr>
                    <w:t> </w:t>
                  </w:r>
                  <w:r>
                    <w:rPr>
                      <w:rFonts w:ascii="Franklin Gothic Book" w:hAnsi="Franklin Gothic Book"/>
                      <w:sz w:val="20"/>
                    </w:rPr>
                    <w:t>e</w:t>
                  </w:r>
                  <w:r>
                    <w:rPr>
                      <w:rFonts w:ascii="Franklin Gothic Book" w:hAnsi="Franklin Gothic Book"/>
                      <w:spacing w:val="-10"/>
                      <w:sz w:val="20"/>
                    </w:rPr>
                    <w:t> </w:t>
                  </w:r>
                  <w:r>
                    <w:rPr>
                      <w:rFonts w:ascii="Franklin Gothic Book" w:hAnsi="Franklin Gothic Book"/>
                      <w:sz w:val="20"/>
                    </w:rPr>
                    <w:t>veicoli spaziali,</w:t>
                  </w:r>
                  <w:r>
                    <w:rPr>
                      <w:rFonts w:ascii="Franklin Gothic Book" w:hAnsi="Franklin Gothic Book"/>
                      <w:spacing w:val="-8"/>
                      <w:sz w:val="20"/>
                    </w:rPr>
                    <w:t> </w:t>
                  </w:r>
                  <w:r>
                    <w:rPr>
                      <w:rFonts w:ascii="Franklin Gothic Book" w:hAnsi="Franklin Gothic Book"/>
                      <w:sz w:val="20"/>
                    </w:rPr>
                    <w:t>anche</w:t>
                  </w:r>
                  <w:r>
                    <w:rPr>
                      <w:rFonts w:ascii="Franklin Gothic Book" w:hAnsi="Franklin Gothic Book"/>
                      <w:spacing w:val="-7"/>
                      <w:sz w:val="20"/>
                    </w:rPr>
                    <w:t> </w:t>
                  </w:r>
                  <w:r>
                    <w:rPr>
                      <w:rFonts w:ascii="Franklin Gothic Book" w:hAnsi="Franklin Gothic Book"/>
                      <w:sz w:val="20"/>
                    </w:rPr>
                    <w:t>se</w:t>
                  </w:r>
                  <w:r>
                    <w:rPr>
                      <w:rFonts w:ascii="Franklin Gothic Book" w:hAnsi="Franklin Gothic Book"/>
                      <w:spacing w:val="-8"/>
                      <w:sz w:val="20"/>
                    </w:rPr>
                    <w:t> </w:t>
                  </w:r>
                  <w:r>
                    <w:rPr>
                      <w:rFonts w:ascii="Franklin Gothic Book" w:hAnsi="Franklin Gothic Book"/>
                      <w:sz w:val="20"/>
                    </w:rPr>
                    <w:t>più</w:t>
                  </w:r>
                  <w:r>
                    <w:rPr>
                      <w:rFonts w:ascii="Franklin Gothic Book" w:hAnsi="Franklin Gothic Book"/>
                      <w:spacing w:val="-7"/>
                      <w:sz w:val="20"/>
                    </w:rPr>
                    <w:t> </w:t>
                  </w:r>
                  <w:r>
                    <w:rPr>
                      <w:rFonts w:ascii="Franklin Gothic Book" w:hAnsi="Franklin Gothic Book"/>
                      <w:sz w:val="20"/>
                    </w:rPr>
                    <w:t>debole</w:t>
                  </w:r>
                  <w:r>
                    <w:rPr>
                      <w:rFonts w:ascii="Franklin Gothic Book" w:hAnsi="Franklin Gothic Book"/>
                      <w:spacing w:val="-4"/>
                      <w:sz w:val="20"/>
                    </w:rPr>
                    <w:t> </w:t>
                  </w:r>
                  <w:r>
                    <w:rPr>
                      <w:rFonts w:ascii="Franklin Gothic Book" w:hAnsi="Franklin Gothic Book"/>
                      <w:sz w:val="20"/>
                    </w:rPr>
                    <w:t>rispetto</w:t>
                  </w:r>
                  <w:r>
                    <w:rPr>
                      <w:rFonts w:ascii="Franklin Gothic Book" w:hAnsi="Franklin Gothic Book"/>
                      <w:spacing w:val="-7"/>
                      <w:sz w:val="20"/>
                    </w:rPr>
                    <w:t> </w:t>
                  </w:r>
                  <w:r>
                    <w:rPr>
                      <w:rFonts w:ascii="Franklin Gothic Book" w:hAnsi="Franklin Gothic Book"/>
                      <w:sz w:val="20"/>
                    </w:rPr>
                    <w:t>al</w:t>
                  </w:r>
                  <w:r>
                    <w:rPr>
                      <w:rFonts w:ascii="Franklin Gothic Book" w:hAnsi="Franklin Gothic Book"/>
                      <w:spacing w:val="-8"/>
                      <w:sz w:val="20"/>
                    </w:rPr>
                    <w:t> </w:t>
                  </w:r>
                  <w:r>
                    <w:rPr>
                      <w:rFonts w:ascii="Franklin Gothic Book" w:hAnsi="Franklin Gothic Book"/>
                      <w:sz w:val="20"/>
                    </w:rPr>
                    <w:t>periodo</w:t>
                  </w:r>
                  <w:r>
                    <w:rPr>
                      <w:rFonts w:ascii="Franklin Gothic Book" w:hAnsi="Franklin Gothic Book"/>
                      <w:spacing w:val="-7"/>
                      <w:sz w:val="20"/>
                    </w:rPr>
                    <w:t> </w:t>
                  </w:r>
                  <w:r>
                    <w:rPr>
                      <w:rFonts w:ascii="Franklin Gothic Book" w:hAnsi="Franklin Gothic Book"/>
                      <w:sz w:val="20"/>
                    </w:rPr>
                    <w:t>2012-2013.</w:t>
                  </w:r>
                  <w:r>
                    <w:rPr>
                      <w:rFonts w:ascii="Franklin Gothic Book" w:hAnsi="Franklin Gothic Book"/>
                      <w:spacing w:val="-6"/>
                      <w:sz w:val="20"/>
                    </w:rPr>
                    <w:t> </w:t>
                  </w:r>
                  <w:r>
                    <w:rPr>
                      <w:rFonts w:ascii="Franklin Gothic Book" w:hAnsi="Franklin Gothic Book"/>
                      <w:sz w:val="20"/>
                    </w:rPr>
                    <w:t>Nel</w:t>
                  </w:r>
                  <w:r>
                    <w:rPr>
                      <w:rFonts w:ascii="Franklin Gothic Book" w:hAnsi="Franklin Gothic Book"/>
                      <w:spacing w:val="-9"/>
                      <w:sz w:val="20"/>
                    </w:rPr>
                    <w:t> </w:t>
                  </w:r>
                  <w:r>
                    <w:rPr>
                      <w:rFonts w:ascii="Franklin Gothic Book" w:hAnsi="Franklin Gothic Book"/>
                      <w:sz w:val="20"/>
                    </w:rPr>
                    <w:t>complesso,</w:t>
                  </w:r>
                  <w:r>
                    <w:rPr>
                      <w:rFonts w:ascii="Franklin Gothic Book" w:hAnsi="Franklin Gothic Book"/>
                      <w:spacing w:val="-6"/>
                      <w:sz w:val="20"/>
                    </w:rPr>
                    <w:t> </w:t>
                  </w:r>
                  <w:r>
                    <w:rPr>
                      <w:rFonts w:ascii="Franklin Gothic Book" w:hAnsi="Franklin Gothic Book"/>
                      <w:sz w:val="20"/>
                    </w:rPr>
                    <w:t>l’evoluzione</w:t>
                  </w:r>
                  <w:r>
                    <w:rPr>
                      <w:rFonts w:ascii="Franklin Gothic Book" w:hAnsi="Franklin Gothic Book"/>
                      <w:spacing w:val="-8"/>
                      <w:sz w:val="20"/>
                    </w:rPr>
                    <w:t> </w:t>
                  </w:r>
                  <w:r>
                    <w:rPr>
                      <w:rFonts w:ascii="Franklin Gothic Book" w:hAnsi="Franklin Gothic Book"/>
                      <w:sz w:val="20"/>
                    </w:rPr>
                    <w:t>del modello</w:t>
                  </w:r>
                  <w:r>
                    <w:rPr>
                      <w:rFonts w:ascii="Franklin Gothic Book" w:hAnsi="Franklin Gothic Book"/>
                      <w:spacing w:val="-15"/>
                      <w:sz w:val="20"/>
                    </w:rPr>
                    <w:t> </w:t>
                  </w:r>
                  <w:r>
                    <w:rPr>
                      <w:rFonts w:ascii="Franklin Gothic Book" w:hAnsi="Franklin Gothic Book"/>
                      <w:sz w:val="20"/>
                    </w:rPr>
                    <w:t>di</w:t>
                  </w:r>
                  <w:r>
                    <w:rPr>
                      <w:rFonts w:ascii="Franklin Gothic Book" w:hAnsi="Franklin Gothic Book"/>
                      <w:spacing w:val="-15"/>
                      <w:sz w:val="20"/>
                    </w:rPr>
                    <w:t> </w:t>
                  </w:r>
                  <w:r>
                    <w:rPr>
                      <w:rFonts w:ascii="Franklin Gothic Book" w:hAnsi="Franklin Gothic Book"/>
                      <w:sz w:val="20"/>
                    </w:rPr>
                    <w:t>esportazione</w:t>
                  </w:r>
                  <w:r>
                    <w:rPr>
                      <w:rFonts w:ascii="Franklin Gothic Book" w:hAnsi="Franklin Gothic Book"/>
                      <w:spacing w:val="-13"/>
                      <w:sz w:val="20"/>
                    </w:rPr>
                    <w:t> </w:t>
                  </w:r>
                  <w:r>
                    <w:rPr>
                      <w:rFonts w:ascii="Franklin Gothic Book" w:hAnsi="Franklin Gothic Book"/>
                      <w:sz w:val="20"/>
                    </w:rPr>
                    <w:t>dell’Italia</w:t>
                  </w:r>
                  <w:r>
                    <w:rPr>
                      <w:rFonts w:ascii="Franklin Gothic Book" w:hAnsi="Franklin Gothic Book"/>
                      <w:spacing w:val="-14"/>
                      <w:sz w:val="20"/>
                    </w:rPr>
                    <w:t> </w:t>
                  </w:r>
                  <w:r>
                    <w:rPr>
                      <w:rFonts w:ascii="Franklin Gothic Book" w:hAnsi="Franklin Gothic Book"/>
                      <w:sz w:val="20"/>
                    </w:rPr>
                    <w:t>è</w:t>
                  </w:r>
                  <w:r>
                    <w:rPr>
                      <w:rFonts w:ascii="Franklin Gothic Book" w:hAnsi="Franklin Gothic Book"/>
                      <w:spacing w:val="-14"/>
                      <w:sz w:val="20"/>
                    </w:rPr>
                    <w:t> </w:t>
                  </w:r>
                  <w:r>
                    <w:rPr>
                      <w:rFonts w:ascii="Franklin Gothic Book" w:hAnsi="Franklin Gothic Book"/>
                      <w:sz w:val="20"/>
                    </w:rPr>
                    <w:t>attribuibile</w:t>
                  </w:r>
                  <w:r>
                    <w:rPr>
                      <w:rFonts w:ascii="Franklin Gothic Book" w:hAnsi="Franklin Gothic Book"/>
                      <w:spacing w:val="-16"/>
                      <w:sz w:val="20"/>
                    </w:rPr>
                    <w:t> </w:t>
                  </w:r>
                  <w:r>
                    <w:rPr>
                      <w:rFonts w:ascii="Franklin Gothic Book" w:hAnsi="Franklin Gothic Book"/>
                      <w:sz w:val="20"/>
                    </w:rPr>
                    <w:t>al</w:t>
                  </w:r>
                  <w:r>
                    <w:rPr>
                      <w:rFonts w:ascii="Franklin Gothic Book" w:hAnsi="Franklin Gothic Book"/>
                      <w:spacing w:val="-14"/>
                      <w:sz w:val="20"/>
                    </w:rPr>
                    <w:t> </w:t>
                  </w:r>
                  <w:r>
                    <w:rPr>
                      <w:rFonts w:ascii="Franklin Gothic Book" w:hAnsi="Franklin Gothic Book"/>
                      <w:sz w:val="20"/>
                    </w:rPr>
                    <w:t>cambiamento</w:t>
                  </w:r>
                  <w:r>
                    <w:rPr>
                      <w:rFonts w:ascii="Franklin Gothic Book" w:hAnsi="Franklin Gothic Book"/>
                      <w:spacing w:val="-15"/>
                      <w:sz w:val="20"/>
                    </w:rPr>
                    <w:t> </w:t>
                  </w:r>
                  <w:r>
                    <w:rPr>
                      <w:rFonts w:ascii="Franklin Gothic Book" w:hAnsi="Franklin Gothic Book"/>
                      <w:sz w:val="20"/>
                    </w:rPr>
                    <w:t>del</w:t>
                  </w:r>
                  <w:r>
                    <w:rPr>
                      <w:rFonts w:ascii="Franklin Gothic Book" w:hAnsi="Franklin Gothic Book"/>
                      <w:spacing w:val="-15"/>
                      <w:sz w:val="20"/>
                    </w:rPr>
                    <w:t> </w:t>
                  </w:r>
                  <w:r>
                    <w:rPr>
                      <w:rFonts w:ascii="Franklin Gothic Book" w:hAnsi="Franklin Gothic Book"/>
                      <w:sz w:val="20"/>
                    </w:rPr>
                    <w:t>grado</w:t>
                  </w:r>
                  <w:r>
                    <w:rPr>
                      <w:rFonts w:ascii="Franklin Gothic Book" w:hAnsi="Franklin Gothic Book"/>
                      <w:spacing w:val="-15"/>
                      <w:sz w:val="20"/>
                    </w:rPr>
                    <w:t> </w:t>
                  </w:r>
                  <w:r>
                    <w:rPr>
                      <w:rFonts w:ascii="Franklin Gothic Book" w:hAnsi="Franklin Gothic Book"/>
                      <w:sz w:val="20"/>
                    </w:rPr>
                    <w:t>di</w:t>
                  </w:r>
                  <w:r>
                    <w:rPr>
                      <w:rFonts w:ascii="Franklin Gothic Book" w:hAnsi="Franklin Gothic Book"/>
                      <w:spacing w:val="-14"/>
                      <w:sz w:val="20"/>
                    </w:rPr>
                    <w:t> </w:t>
                  </w:r>
                  <w:r>
                    <w:rPr>
                      <w:rFonts w:ascii="Franklin Gothic Book" w:hAnsi="Franklin Gothic Book"/>
                      <w:sz w:val="20"/>
                    </w:rPr>
                    <w:t>specializzazione, che si attenua nei settori tradizionali e si accresce in quelli più avanzati. Tali trasformazioni certificano la progressiva trasformazione dell’industria italiana e la convergenza verso i modelli dei principali paesi dell’Area</w:t>
                  </w:r>
                  <w:r>
                    <w:rPr>
                      <w:rFonts w:ascii="Franklin Gothic Book" w:hAnsi="Franklin Gothic Book"/>
                      <w:spacing w:val="-1"/>
                      <w:sz w:val="20"/>
                    </w:rPr>
                    <w:t> </w:t>
                  </w:r>
                  <w:r>
                    <w:rPr>
                      <w:rFonts w:ascii="Franklin Gothic Book" w:hAnsi="Franklin Gothic Book"/>
                      <w:sz w:val="20"/>
                    </w:rPr>
                    <w:t>dell’Euro.</w:t>
                  </w:r>
                </w:p>
                <w:p>
                  <w:pPr>
                    <w:spacing w:line="254" w:lineRule="auto" w:before="56"/>
                    <w:ind w:left="453" w:right="0" w:firstLine="0"/>
                    <w:jc w:val="both"/>
                    <w:rPr>
                      <w:rFonts w:ascii="Franklin Gothic Book" w:hAnsi="Franklin Gothic Book"/>
                      <w:sz w:val="20"/>
                    </w:rPr>
                  </w:pPr>
                  <w:r>
                    <w:rPr>
                      <w:rFonts w:ascii="Franklin Gothic Book" w:hAnsi="Franklin Gothic Book"/>
                      <w:sz w:val="20"/>
                    </w:rPr>
                    <w:t>Per quanto riguarda la competitività di prezzo, utilizzando gli indicatori basati sui prezzi alla produzione dei manufatti, si è osservato</w:t>
                  </w:r>
                  <w:r>
                    <w:rPr>
                      <w:rFonts w:ascii="Franklin Gothic Book" w:hAnsi="Franklin Gothic Book"/>
                      <w:position w:val="5"/>
                      <w:sz w:val="13"/>
                    </w:rPr>
                    <w:t>15 </w:t>
                  </w:r>
                  <w:r>
                    <w:rPr>
                      <w:rFonts w:ascii="Franklin Gothic Book" w:hAnsi="Franklin Gothic Book"/>
                      <w:sz w:val="20"/>
                    </w:rPr>
                    <w:t>che tra l’avvio dell’UEM e il 2018 la capacità competitiva</w:t>
                  </w:r>
                  <w:r>
                    <w:rPr>
                      <w:rFonts w:ascii="Franklin Gothic Book" w:hAnsi="Franklin Gothic Book"/>
                      <w:spacing w:val="-7"/>
                      <w:sz w:val="20"/>
                    </w:rPr>
                    <w:t> </w:t>
                  </w:r>
                  <w:r>
                    <w:rPr>
                      <w:rFonts w:ascii="Franklin Gothic Book" w:hAnsi="Franklin Gothic Book"/>
                      <w:sz w:val="20"/>
                    </w:rPr>
                    <w:t>delle</w:t>
                  </w:r>
                  <w:r>
                    <w:rPr>
                      <w:rFonts w:ascii="Franklin Gothic Book" w:hAnsi="Franklin Gothic Book"/>
                      <w:spacing w:val="-8"/>
                      <w:sz w:val="20"/>
                    </w:rPr>
                    <w:t> </w:t>
                  </w:r>
                  <w:r>
                    <w:rPr>
                      <w:rFonts w:ascii="Franklin Gothic Book" w:hAnsi="Franklin Gothic Book"/>
                      <w:sz w:val="20"/>
                    </w:rPr>
                    <w:t>imprese</w:t>
                  </w:r>
                  <w:r>
                    <w:rPr>
                      <w:rFonts w:ascii="Franklin Gothic Book" w:hAnsi="Franklin Gothic Book"/>
                      <w:spacing w:val="-7"/>
                      <w:sz w:val="20"/>
                    </w:rPr>
                    <w:t> </w:t>
                  </w:r>
                  <w:r>
                    <w:rPr>
                      <w:rFonts w:ascii="Franklin Gothic Book" w:hAnsi="Franklin Gothic Book"/>
                      <w:sz w:val="20"/>
                    </w:rPr>
                    <w:t>italiane</w:t>
                  </w:r>
                  <w:r>
                    <w:rPr>
                      <w:rFonts w:ascii="Franklin Gothic Book" w:hAnsi="Franklin Gothic Book"/>
                      <w:spacing w:val="-7"/>
                      <w:sz w:val="20"/>
                    </w:rPr>
                    <w:t> </w:t>
                  </w:r>
                  <w:r>
                    <w:rPr>
                      <w:rFonts w:ascii="Franklin Gothic Book" w:hAnsi="Franklin Gothic Book"/>
                      <w:sz w:val="20"/>
                    </w:rPr>
                    <w:t>è</w:t>
                  </w:r>
                  <w:r>
                    <w:rPr>
                      <w:rFonts w:ascii="Franklin Gothic Book" w:hAnsi="Franklin Gothic Book"/>
                      <w:spacing w:val="-5"/>
                      <w:sz w:val="20"/>
                    </w:rPr>
                    <w:t> </w:t>
                  </w:r>
                  <w:r>
                    <w:rPr>
                      <w:rFonts w:ascii="Franklin Gothic Book" w:hAnsi="Franklin Gothic Book"/>
                      <w:sz w:val="20"/>
                    </w:rPr>
                    <w:t>migliorata</w:t>
                  </w:r>
                  <w:r>
                    <w:rPr>
                      <w:rFonts w:ascii="Franklin Gothic Book" w:hAnsi="Franklin Gothic Book"/>
                      <w:spacing w:val="-7"/>
                      <w:sz w:val="20"/>
                    </w:rPr>
                    <w:t> </w:t>
                  </w:r>
                  <w:r>
                    <w:rPr>
                      <w:rFonts w:ascii="Franklin Gothic Book" w:hAnsi="Franklin Gothic Book"/>
                      <w:sz w:val="20"/>
                    </w:rPr>
                    <w:t>di</w:t>
                  </w:r>
                  <w:r>
                    <w:rPr>
                      <w:rFonts w:ascii="Franklin Gothic Book" w:hAnsi="Franklin Gothic Book"/>
                      <w:spacing w:val="-7"/>
                      <w:sz w:val="20"/>
                    </w:rPr>
                    <w:t> </w:t>
                  </w:r>
                  <w:r>
                    <w:rPr>
                      <w:rFonts w:ascii="Franklin Gothic Book" w:hAnsi="Franklin Gothic Book"/>
                      <w:sz w:val="20"/>
                    </w:rPr>
                    <w:t>due</w:t>
                  </w:r>
                  <w:r>
                    <w:rPr>
                      <w:rFonts w:ascii="Franklin Gothic Book" w:hAnsi="Franklin Gothic Book"/>
                      <w:spacing w:val="-7"/>
                      <w:sz w:val="20"/>
                    </w:rPr>
                    <w:t> </w:t>
                  </w:r>
                  <w:r>
                    <w:rPr>
                      <w:rFonts w:ascii="Franklin Gothic Book" w:hAnsi="Franklin Gothic Book"/>
                      <w:sz w:val="20"/>
                    </w:rPr>
                    <w:t>punti</w:t>
                  </w:r>
                  <w:r>
                    <w:rPr>
                      <w:rFonts w:ascii="Franklin Gothic Book" w:hAnsi="Franklin Gothic Book"/>
                      <w:spacing w:val="-7"/>
                      <w:sz w:val="20"/>
                    </w:rPr>
                    <w:t> </w:t>
                  </w:r>
                  <w:r>
                    <w:rPr>
                      <w:rFonts w:ascii="Franklin Gothic Book" w:hAnsi="Franklin Gothic Book"/>
                      <w:sz w:val="20"/>
                    </w:rPr>
                    <w:t>percentuali</w:t>
                  </w:r>
                  <w:r>
                    <w:rPr>
                      <w:rFonts w:ascii="Franklin Gothic Book" w:hAnsi="Franklin Gothic Book"/>
                      <w:spacing w:val="-7"/>
                      <w:sz w:val="20"/>
                    </w:rPr>
                    <w:t> </w:t>
                  </w:r>
                  <w:r>
                    <w:rPr>
                      <w:rFonts w:ascii="Franklin Gothic Book" w:hAnsi="Franklin Gothic Book"/>
                      <w:sz w:val="20"/>
                    </w:rPr>
                    <w:t>mentre</w:t>
                  </w:r>
                  <w:r>
                    <w:rPr>
                      <w:rFonts w:ascii="Franklin Gothic Book" w:hAnsi="Franklin Gothic Book"/>
                      <w:spacing w:val="-7"/>
                      <w:sz w:val="20"/>
                    </w:rPr>
                    <w:t> </w:t>
                  </w:r>
                  <w:r>
                    <w:rPr>
                      <w:rFonts w:ascii="Franklin Gothic Book" w:hAnsi="Franklin Gothic Book"/>
                      <w:sz w:val="20"/>
                    </w:rPr>
                    <w:t>sono</w:t>
                  </w:r>
                  <w:r>
                    <w:rPr>
                      <w:rFonts w:ascii="Franklin Gothic Book" w:hAnsi="Franklin Gothic Book"/>
                      <w:spacing w:val="-7"/>
                      <w:sz w:val="20"/>
                    </w:rPr>
                    <w:t> </w:t>
                  </w:r>
                  <w:r>
                    <w:rPr>
                      <w:rFonts w:ascii="Franklin Gothic Book" w:hAnsi="Franklin Gothic Book"/>
                      <w:sz w:val="20"/>
                    </w:rPr>
                    <w:t>stati</w:t>
                  </w:r>
                  <w:r>
                    <w:rPr>
                      <w:rFonts w:ascii="Franklin Gothic Book" w:hAnsi="Franklin Gothic Book"/>
                      <w:spacing w:val="-7"/>
                      <w:sz w:val="20"/>
                    </w:rPr>
                    <w:t> </w:t>
                  </w:r>
                  <w:r>
                    <w:rPr>
                      <w:rFonts w:ascii="Franklin Gothic Book" w:hAnsi="Franklin Gothic Book"/>
                      <w:sz w:val="20"/>
                    </w:rPr>
                    <w:t>più rilevanti i progressi per quelle francesi e tedesche (8,2 e 10,1 punti percentuali rispettivamente); si è invece deteriorata per più di nove punti per le aziende spagnole. L’evoluzione della competitività di tali paesi non è stata omogenea nel periodo considerato. Infatti, negli anni precedenti alla crisi finanziaria del 2008-2009 si rileva un peggioramento per la Francia e in misura più ampia per l’Italia e la Spagna, accompagnato da un continuo guadagno per la Germania. All’indomani della crisi, la competitività si è accresciuta per tutti i</w:t>
                  </w:r>
                  <w:r>
                    <w:rPr>
                      <w:rFonts w:ascii="Franklin Gothic Book" w:hAnsi="Franklin Gothic Book"/>
                      <w:spacing w:val="-12"/>
                      <w:sz w:val="20"/>
                    </w:rPr>
                    <w:t> </w:t>
                  </w:r>
                  <w:r>
                    <w:rPr>
                      <w:rFonts w:ascii="Franklin Gothic Book" w:hAnsi="Franklin Gothic Book"/>
                      <w:sz w:val="20"/>
                    </w:rPr>
                    <w:t>paesi</w:t>
                  </w:r>
                  <w:r>
                    <w:rPr>
                      <w:rFonts w:ascii="Franklin Gothic Book" w:hAnsi="Franklin Gothic Book"/>
                      <w:spacing w:val="-12"/>
                      <w:sz w:val="20"/>
                    </w:rPr>
                    <w:t> </w:t>
                  </w:r>
                  <w:r>
                    <w:rPr>
                      <w:rFonts w:ascii="Franklin Gothic Book" w:hAnsi="Franklin Gothic Book"/>
                      <w:sz w:val="20"/>
                    </w:rPr>
                    <w:t>ad</w:t>
                  </w:r>
                  <w:r>
                    <w:rPr>
                      <w:rFonts w:ascii="Franklin Gothic Book" w:hAnsi="Franklin Gothic Book"/>
                      <w:spacing w:val="-9"/>
                      <w:sz w:val="20"/>
                    </w:rPr>
                    <w:t> </w:t>
                  </w:r>
                  <w:r>
                    <w:rPr>
                      <w:rFonts w:ascii="Franklin Gothic Book" w:hAnsi="Franklin Gothic Book"/>
                      <w:sz w:val="20"/>
                    </w:rPr>
                    <w:t>eccezione</w:t>
                  </w:r>
                  <w:r>
                    <w:rPr>
                      <w:rFonts w:ascii="Franklin Gothic Book" w:hAnsi="Franklin Gothic Book"/>
                      <w:spacing w:val="-12"/>
                      <w:sz w:val="20"/>
                    </w:rPr>
                    <w:t> </w:t>
                  </w:r>
                  <w:r>
                    <w:rPr>
                      <w:rFonts w:ascii="Franklin Gothic Book" w:hAnsi="Franklin Gothic Book"/>
                      <w:sz w:val="20"/>
                    </w:rPr>
                    <w:t>della</w:t>
                  </w:r>
                  <w:r>
                    <w:rPr>
                      <w:rFonts w:ascii="Franklin Gothic Book" w:hAnsi="Franklin Gothic Book"/>
                      <w:spacing w:val="-12"/>
                      <w:sz w:val="20"/>
                    </w:rPr>
                    <w:t> </w:t>
                  </w:r>
                  <w:r>
                    <w:rPr>
                      <w:rFonts w:ascii="Franklin Gothic Book" w:hAnsi="Franklin Gothic Book"/>
                      <w:sz w:val="20"/>
                    </w:rPr>
                    <w:t>Spagna.</w:t>
                  </w:r>
                  <w:r>
                    <w:rPr>
                      <w:rFonts w:ascii="Franklin Gothic Book" w:hAnsi="Franklin Gothic Book"/>
                      <w:spacing w:val="-11"/>
                      <w:sz w:val="20"/>
                    </w:rPr>
                    <w:t> </w:t>
                  </w:r>
                  <w:r>
                    <w:rPr>
                      <w:rFonts w:ascii="Franklin Gothic Book" w:hAnsi="Franklin Gothic Book"/>
                      <w:sz w:val="20"/>
                    </w:rPr>
                    <w:t>Per</w:t>
                  </w:r>
                  <w:r>
                    <w:rPr>
                      <w:rFonts w:ascii="Franklin Gothic Book" w:hAnsi="Franklin Gothic Book"/>
                      <w:spacing w:val="-12"/>
                      <w:sz w:val="20"/>
                    </w:rPr>
                    <w:t> </w:t>
                  </w:r>
                  <w:r>
                    <w:rPr>
                      <w:rFonts w:ascii="Franklin Gothic Book" w:hAnsi="Franklin Gothic Book"/>
                      <w:sz w:val="20"/>
                    </w:rPr>
                    <w:t>le</w:t>
                  </w:r>
                  <w:r>
                    <w:rPr>
                      <w:rFonts w:ascii="Franklin Gothic Book" w:hAnsi="Franklin Gothic Book"/>
                      <w:spacing w:val="-10"/>
                      <w:sz w:val="20"/>
                    </w:rPr>
                    <w:t> </w:t>
                  </w:r>
                  <w:r>
                    <w:rPr>
                      <w:rFonts w:ascii="Franklin Gothic Book" w:hAnsi="Franklin Gothic Book"/>
                      <w:sz w:val="20"/>
                    </w:rPr>
                    <w:t>imprese</w:t>
                  </w:r>
                  <w:r>
                    <w:rPr>
                      <w:rFonts w:ascii="Franklin Gothic Book" w:hAnsi="Franklin Gothic Book"/>
                      <w:spacing w:val="-11"/>
                      <w:sz w:val="20"/>
                    </w:rPr>
                    <w:t> </w:t>
                  </w:r>
                  <w:r>
                    <w:rPr>
                      <w:rFonts w:ascii="Franklin Gothic Book" w:hAnsi="Franklin Gothic Book"/>
                      <w:sz w:val="20"/>
                    </w:rPr>
                    <w:t>italiane</w:t>
                  </w:r>
                  <w:r>
                    <w:rPr>
                      <w:rFonts w:ascii="Franklin Gothic Book" w:hAnsi="Franklin Gothic Book"/>
                      <w:spacing w:val="-9"/>
                      <w:sz w:val="20"/>
                    </w:rPr>
                    <w:t> </w:t>
                  </w:r>
                  <w:r>
                    <w:rPr>
                      <w:rFonts w:ascii="Franklin Gothic Book" w:hAnsi="Franklin Gothic Book"/>
                      <w:sz w:val="20"/>
                    </w:rPr>
                    <w:t>il</w:t>
                  </w:r>
                  <w:r>
                    <w:rPr>
                      <w:rFonts w:ascii="Franklin Gothic Book" w:hAnsi="Franklin Gothic Book"/>
                      <w:spacing w:val="-12"/>
                      <w:sz w:val="20"/>
                    </w:rPr>
                    <w:t> </w:t>
                  </w:r>
                  <w:r>
                    <w:rPr>
                      <w:rFonts w:ascii="Franklin Gothic Book" w:hAnsi="Franklin Gothic Book"/>
                      <w:sz w:val="20"/>
                    </w:rPr>
                    <w:t>miglioramento</w:t>
                  </w:r>
                  <w:r>
                    <w:rPr>
                      <w:rFonts w:ascii="Franklin Gothic Book" w:hAnsi="Franklin Gothic Book"/>
                      <w:spacing w:val="-11"/>
                      <w:sz w:val="20"/>
                    </w:rPr>
                    <w:t> </w:t>
                  </w:r>
                  <w:r>
                    <w:rPr>
                      <w:rFonts w:ascii="Franklin Gothic Book" w:hAnsi="Franklin Gothic Book"/>
                      <w:sz w:val="20"/>
                    </w:rPr>
                    <w:t>è</w:t>
                  </w:r>
                  <w:r>
                    <w:rPr>
                      <w:rFonts w:ascii="Franklin Gothic Book" w:hAnsi="Franklin Gothic Book"/>
                      <w:spacing w:val="-11"/>
                      <w:sz w:val="20"/>
                    </w:rPr>
                    <w:t> </w:t>
                  </w:r>
                  <w:r>
                    <w:rPr>
                      <w:rFonts w:ascii="Franklin Gothic Book" w:hAnsi="Franklin Gothic Book"/>
                      <w:sz w:val="20"/>
                    </w:rPr>
                    <w:t>stato</w:t>
                  </w:r>
                  <w:r>
                    <w:rPr>
                      <w:rFonts w:ascii="Franklin Gothic Book" w:hAnsi="Franklin Gothic Book"/>
                      <w:spacing w:val="-12"/>
                      <w:sz w:val="20"/>
                    </w:rPr>
                    <w:t> </w:t>
                  </w:r>
                  <w:r>
                    <w:rPr>
                      <w:rFonts w:ascii="Franklin Gothic Book" w:hAnsi="Franklin Gothic Book"/>
                      <w:sz w:val="20"/>
                    </w:rPr>
                    <w:t>lievemente superiore</w:t>
                  </w:r>
                  <w:r>
                    <w:rPr>
                      <w:rFonts w:ascii="Franklin Gothic Book" w:hAnsi="Franklin Gothic Book"/>
                      <w:spacing w:val="-11"/>
                      <w:sz w:val="20"/>
                    </w:rPr>
                    <w:t> </w:t>
                  </w:r>
                  <w:r>
                    <w:rPr>
                      <w:rFonts w:ascii="Franklin Gothic Book" w:hAnsi="Franklin Gothic Book"/>
                      <w:sz w:val="20"/>
                    </w:rPr>
                    <w:t>a</w:t>
                  </w:r>
                  <w:r>
                    <w:rPr>
                      <w:rFonts w:ascii="Franklin Gothic Book" w:hAnsi="Franklin Gothic Book"/>
                      <w:spacing w:val="-9"/>
                      <w:sz w:val="20"/>
                    </w:rPr>
                    <w:t> </w:t>
                  </w:r>
                  <w:r>
                    <w:rPr>
                      <w:rFonts w:ascii="Franklin Gothic Book" w:hAnsi="Franklin Gothic Book"/>
                      <w:sz w:val="20"/>
                    </w:rPr>
                    <w:t>quelle</w:t>
                  </w:r>
                  <w:r>
                    <w:rPr>
                      <w:rFonts w:ascii="Franklin Gothic Book" w:hAnsi="Franklin Gothic Book"/>
                      <w:spacing w:val="-12"/>
                      <w:sz w:val="20"/>
                    </w:rPr>
                    <w:t> </w:t>
                  </w:r>
                  <w:r>
                    <w:rPr>
                      <w:rFonts w:ascii="Franklin Gothic Book" w:hAnsi="Franklin Gothic Book"/>
                      <w:sz w:val="20"/>
                    </w:rPr>
                    <w:t>tedesche,</w:t>
                  </w:r>
                  <w:r>
                    <w:rPr>
                      <w:rFonts w:ascii="Franklin Gothic Book" w:hAnsi="Franklin Gothic Book"/>
                      <w:spacing w:val="-9"/>
                      <w:sz w:val="20"/>
                    </w:rPr>
                    <w:t> </w:t>
                  </w:r>
                  <w:r>
                    <w:rPr>
                      <w:rFonts w:ascii="Franklin Gothic Book" w:hAnsi="Franklin Gothic Book"/>
                      <w:sz w:val="20"/>
                    </w:rPr>
                    <w:t>per</w:t>
                  </w:r>
                  <w:r>
                    <w:rPr>
                      <w:rFonts w:ascii="Franklin Gothic Book" w:hAnsi="Franklin Gothic Book"/>
                      <w:spacing w:val="-11"/>
                      <w:sz w:val="20"/>
                    </w:rPr>
                    <w:t> </w:t>
                  </w:r>
                  <w:r>
                    <w:rPr>
                      <w:rFonts w:ascii="Franklin Gothic Book" w:hAnsi="Franklin Gothic Book"/>
                      <w:sz w:val="20"/>
                    </w:rPr>
                    <w:t>effetto</w:t>
                  </w:r>
                  <w:r>
                    <w:rPr>
                      <w:rFonts w:ascii="Franklin Gothic Book" w:hAnsi="Franklin Gothic Book"/>
                      <w:spacing w:val="-12"/>
                      <w:sz w:val="20"/>
                    </w:rPr>
                    <w:t> </w:t>
                  </w:r>
                  <w:r>
                    <w:rPr>
                      <w:rFonts w:ascii="Franklin Gothic Book" w:hAnsi="Franklin Gothic Book"/>
                      <w:sz w:val="20"/>
                    </w:rPr>
                    <w:t>del</w:t>
                  </w:r>
                  <w:r>
                    <w:rPr>
                      <w:rFonts w:ascii="Franklin Gothic Book" w:hAnsi="Franklin Gothic Book"/>
                      <w:spacing w:val="-12"/>
                      <w:sz w:val="20"/>
                    </w:rPr>
                    <w:t> </w:t>
                  </w:r>
                  <w:r>
                    <w:rPr>
                      <w:rFonts w:ascii="Franklin Gothic Book" w:hAnsi="Franklin Gothic Book"/>
                      <w:sz w:val="20"/>
                    </w:rPr>
                    <w:t>contenuto</w:t>
                  </w:r>
                  <w:r>
                    <w:rPr>
                      <w:rFonts w:ascii="Franklin Gothic Book" w:hAnsi="Franklin Gothic Book"/>
                      <w:spacing w:val="-9"/>
                      <w:sz w:val="20"/>
                    </w:rPr>
                    <w:t> </w:t>
                  </w:r>
                  <w:r>
                    <w:rPr>
                      <w:rFonts w:ascii="Franklin Gothic Book" w:hAnsi="Franklin Gothic Book"/>
                      <w:sz w:val="20"/>
                    </w:rPr>
                    <w:t>andamento</w:t>
                  </w:r>
                  <w:r>
                    <w:rPr>
                      <w:rFonts w:ascii="Franklin Gothic Book" w:hAnsi="Franklin Gothic Book"/>
                      <w:spacing w:val="-11"/>
                      <w:sz w:val="20"/>
                    </w:rPr>
                    <w:t> </w:t>
                  </w:r>
                  <w:r>
                    <w:rPr>
                      <w:rFonts w:ascii="Franklin Gothic Book" w:hAnsi="Franklin Gothic Book"/>
                      <w:sz w:val="20"/>
                    </w:rPr>
                    <w:t>dei</w:t>
                  </w:r>
                  <w:r>
                    <w:rPr>
                      <w:rFonts w:ascii="Franklin Gothic Book" w:hAnsi="Franklin Gothic Book"/>
                      <w:spacing w:val="-10"/>
                      <w:sz w:val="20"/>
                    </w:rPr>
                    <w:t> </w:t>
                  </w:r>
                  <w:r>
                    <w:rPr>
                      <w:rFonts w:ascii="Franklin Gothic Book" w:hAnsi="Franklin Gothic Book"/>
                      <w:sz w:val="20"/>
                    </w:rPr>
                    <w:t>prezzi</w:t>
                  </w:r>
                  <w:r>
                    <w:rPr>
                      <w:rFonts w:ascii="Franklin Gothic Book" w:hAnsi="Franklin Gothic Book"/>
                      <w:spacing w:val="-10"/>
                      <w:sz w:val="20"/>
                    </w:rPr>
                    <w:t> </w:t>
                  </w:r>
                  <w:r>
                    <w:rPr>
                      <w:rFonts w:ascii="Franklin Gothic Book" w:hAnsi="Franklin Gothic Book"/>
                      <w:sz w:val="20"/>
                    </w:rPr>
                    <w:t>praticati</w:t>
                  </w:r>
                  <w:r>
                    <w:rPr>
                      <w:rFonts w:ascii="Franklin Gothic Book" w:hAnsi="Franklin Gothic Book"/>
                      <w:spacing w:val="-10"/>
                      <w:sz w:val="20"/>
                    </w:rPr>
                    <w:t> </w:t>
                  </w:r>
                  <w:r>
                    <w:rPr>
                      <w:rFonts w:ascii="Franklin Gothic Book" w:hAnsi="Franklin Gothic Book"/>
                      <w:sz w:val="20"/>
                    </w:rPr>
                    <w:t>rispetto ai</w:t>
                  </w:r>
                  <w:r>
                    <w:rPr>
                      <w:rFonts w:ascii="Franklin Gothic Book" w:hAnsi="Franklin Gothic Book"/>
                      <w:spacing w:val="-1"/>
                      <w:sz w:val="20"/>
                    </w:rPr>
                    <w:t> </w:t>
                  </w:r>
                  <w:r>
                    <w:rPr>
                      <w:rFonts w:ascii="Franklin Gothic Book" w:hAnsi="Franklin Gothic Book"/>
                      <w:sz w:val="20"/>
                    </w:rPr>
                    <w:t>concorrenti.</w:t>
                  </w:r>
                </w:p>
                <w:p>
                  <w:pPr>
                    <w:spacing w:line="254" w:lineRule="auto" w:before="56"/>
                    <w:ind w:left="453" w:right="0" w:firstLine="0"/>
                    <w:jc w:val="both"/>
                    <w:rPr>
                      <w:rFonts w:ascii="Franklin Gothic Book" w:hAnsi="Franklin Gothic Book"/>
                      <w:sz w:val="20"/>
                    </w:rPr>
                  </w:pPr>
                  <w:r>
                    <w:rPr>
                      <w:rFonts w:ascii="Franklin Gothic Book" w:hAnsi="Franklin Gothic Book"/>
                      <w:sz w:val="20"/>
                    </w:rPr>
                    <w:t>Questo quadro di insieme del settore estero dell’Italia deve tuttavia tenere conto del permanere</w:t>
                  </w:r>
                  <w:r>
                    <w:rPr>
                      <w:rFonts w:ascii="Franklin Gothic Book" w:hAnsi="Franklin Gothic Book"/>
                      <w:spacing w:val="-9"/>
                      <w:sz w:val="20"/>
                    </w:rPr>
                    <w:t> </w:t>
                  </w:r>
                  <w:r>
                    <w:rPr>
                      <w:rFonts w:ascii="Franklin Gothic Book" w:hAnsi="Franklin Gothic Book"/>
                      <w:sz w:val="20"/>
                    </w:rPr>
                    <w:t>dei</w:t>
                  </w:r>
                  <w:r>
                    <w:rPr>
                      <w:rFonts w:ascii="Franklin Gothic Book" w:hAnsi="Franklin Gothic Book"/>
                      <w:spacing w:val="-8"/>
                      <w:sz w:val="20"/>
                    </w:rPr>
                    <w:t> </w:t>
                  </w:r>
                  <w:r>
                    <w:rPr>
                      <w:rFonts w:ascii="Franklin Gothic Book" w:hAnsi="Franklin Gothic Book"/>
                      <w:sz w:val="20"/>
                    </w:rPr>
                    <w:t>rischi</w:t>
                  </w:r>
                  <w:r>
                    <w:rPr>
                      <w:rFonts w:ascii="Franklin Gothic Book" w:hAnsi="Franklin Gothic Book"/>
                      <w:spacing w:val="-7"/>
                      <w:sz w:val="20"/>
                    </w:rPr>
                    <w:t> </w:t>
                  </w:r>
                  <w:r>
                    <w:rPr>
                      <w:rFonts w:ascii="Franklin Gothic Book" w:hAnsi="Franklin Gothic Book"/>
                      <w:sz w:val="20"/>
                    </w:rPr>
                    <w:t>al</w:t>
                  </w:r>
                  <w:r>
                    <w:rPr>
                      <w:rFonts w:ascii="Franklin Gothic Book" w:hAnsi="Franklin Gothic Book"/>
                      <w:spacing w:val="-8"/>
                      <w:sz w:val="20"/>
                    </w:rPr>
                    <w:t> </w:t>
                  </w:r>
                  <w:r>
                    <w:rPr>
                      <w:rFonts w:ascii="Franklin Gothic Book" w:hAnsi="Franklin Gothic Book"/>
                      <w:sz w:val="20"/>
                    </w:rPr>
                    <w:t>ribasso</w:t>
                  </w:r>
                  <w:r>
                    <w:rPr>
                      <w:rFonts w:ascii="Franklin Gothic Book" w:hAnsi="Franklin Gothic Book"/>
                      <w:spacing w:val="-8"/>
                      <w:sz w:val="20"/>
                    </w:rPr>
                    <w:t> </w:t>
                  </w:r>
                  <w:r>
                    <w:rPr>
                      <w:rFonts w:ascii="Franklin Gothic Book" w:hAnsi="Franklin Gothic Book"/>
                      <w:sz w:val="20"/>
                    </w:rPr>
                    <w:t>dello</w:t>
                  </w:r>
                  <w:r>
                    <w:rPr>
                      <w:rFonts w:ascii="Franklin Gothic Book" w:hAnsi="Franklin Gothic Book"/>
                      <w:spacing w:val="-8"/>
                      <w:sz w:val="20"/>
                    </w:rPr>
                    <w:t> </w:t>
                  </w:r>
                  <w:r>
                    <w:rPr>
                      <w:rFonts w:ascii="Franklin Gothic Book" w:hAnsi="Franklin Gothic Book"/>
                      <w:sz w:val="20"/>
                    </w:rPr>
                    <w:t>scenario</w:t>
                  </w:r>
                  <w:r>
                    <w:rPr>
                      <w:rFonts w:ascii="Franklin Gothic Book" w:hAnsi="Franklin Gothic Book"/>
                      <w:spacing w:val="-8"/>
                      <w:sz w:val="20"/>
                    </w:rPr>
                    <w:t> </w:t>
                  </w:r>
                  <w:r>
                    <w:rPr>
                      <w:rFonts w:ascii="Franklin Gothic Book" w:hAnsi="Franklin Gothic Book"/>
                      <w:sz w:val="20"/>
                    </w:rPr>
                    <w:t>internazionale</w:t>
                  </w:r>
                  <w:r>
                    <w:rPr>
                      <w:rFonts w:ascii="Franklin Gothic Book" w:hAnsi="Franklin Gothic Book"/>
                      <w:spacing w:val="-8"/>
                      <w:sz w:val="20"/>
                    </w:rPr>
                    <w:t> </w:t>
                  </w:r>
                  <w:r>
                    <w:rPr>
                      <w:rFonts w:ascii="Franklin Gothic Book" w:hAnsi="Franklin Gothic Book"/>
                      <w:sz w:val="20"/>
                    </w:rPr>
                    <w:t>e</w:t>
                  </w:r>
                  <w:r>
                    <w:rPr>
                      <w:rFonts w:ascii="Franklin Gothic Book" w:hAnsi="Franklin Gothic Book"/>
                      <w:spacing w:val="-8"/>
                      <w:sz w:val="20"/>
                    </w:rPr>
                    <w:t> </w:t>
                  </w:r>
                  <w:r>
                    <w:rPr>
                      <w:rFonts w:ascii="Franklin Gothic Book" w:hAnsi="Franklin Gothic Book"/>
                      <w:sz w:val="20"/>
                    </w:rPr>
                    <w:t>della</w:t>
                  </w:r>
                  <w:r>
                    <w:rPr>
                      <w:rFonts w:ascii="Franklin Gothic Book" w:hAnsi="Franklin Gothic Book"/>
                      <w:spacing w:val="-8"/>
                      <w:sz w:val="20"/>
                    </w:rPr>
                    <w:t> </w:t>
                  </w:r>
                  <w:r>
                    <w:rPr>
                      <w:rFonts w:ascii="Franklin Gothic Book" w:hAnsi="Franklin Gothic Book"/>
                      <w:sz w:val="20"/>
                    </w:rPr>
                    <w:t>conseguente</w:t>
                  </w:r>
                  <w:r>
                    <w:rPr>
                      <w:rFonts w:ascii="Franklin Gothic Book" w:hAnsi="Franklin Gothic Book"/>
                      <w:spacing w:val="-9"/>
                      <w:sz w:val="20"/>
                    </w:rPr>
                    <w:t> </w:t>
                  </w:r>
                  <w:r>
                    <w:rPr>
                      <w:rFonts w:ascii="Franklin Gothic Book" w:hAnsi="Franklin Gothic Book"/>
                      <w:sz w:val="20"/>
                    </w:rPr>
                    <w:t>incertezza. A tal proposito, insieme alle tensioni tra Stati Uniti e Cina, l’uscita del Regno Unito dall’UE costituisce un fattore di preoccupazione comune ai diversi settori produttivi italiani, ma in particolare per quello dell’</w:t>
                  </w:r>
                  <w:r>
                    <w:rPr>
                      <w:rFonts w:ascii="Franklin Gothic Book" w:hAnsi="Franklin Gothic Book"/>
                      <w:i/>
                      <w:sz w:val="20"/>
                    </w:rPr>
                    <w:t>automotive. </w:t>
                  </w:r>
                  <w:r>
                    <w:rPr>
                      <w:rFonts w:ascii="Franklin Gothic Book" w:hAnsi="Franklin Gothic Book"/>
                      <w:sz w:val="20"/>
                    </w:rPr>
                    <w:t>Per quest’ultimo, infatti, il Regno Unito è il terzo mercato di destinazione per la componentistica e il quarto per i</w:t>
                  </w:r>
                  <w:r>
                    <w:rPr>
                      <w:rFonts w:ascii="Franklin Gothic Book" w:hAnsi="Franklin Gothic Book"/>
                      <w:spacing w:val="-4"/>
                      <w:sz w:val="20"/>
                    </w:rPr>
                    <w:t> </w:t>
                  </w:r>
                  <w:r>
                    <w:rPr>
                      <w:rFonts w:ascii="Franklin Gothic Book" w:hAnsi="Franklin Gothic Book"/>
                      <w:sz w:val="20"/>
                    </w:rPr>
                    <w:t>veicoli</w:t>
                  </w:r>
                  <w:r>
                    <w:rPr>
                      <w:rFonts w:ascii="Franklin Gothic Book" w:hAnsi="Franklin Gothic Book"/>
                      <w:position w:val="5"/>
                      <w:sz w:val="13"/>
                    </w:rPr>
                    <w:t>16</w:t>
                  </w:r>
                  <w:r>
                    <w:rPr>
                      <w:rFonts w:ascii="Franklin Gothic Book" w:hAnsi="Franklin Gothic Book"/>
                      <w:sz w:val="20"/>
                    </w:rPr>
                    <w:t>.</w:t>
                  </w:r>
                </w:p>
              </w:txbxContent>
            </v:textbox>
            <v:fill type="solid"/>
          </v:shape>
        </w:pict>
      </w:r>
      <w:r>
        <w:rPr>
          <w:sz w:val="20"/>
        </w:rPr>
      </w:r>
    </w:p>
    <w:p>
      <w:pPr>
        <w:pStyle w:val="BodyText"/>
        <w:spacing w:before="6"/>
        <w:rPr>
          <w:sz w:val="21"/>
        </w:rPr>
      </w:pPr>
    </w:p>
    <w:p>
      <w:pPr>
        <w:pStyle w:val="Heading3"/>
        <w:spacing w:before="99"/>
      </w:pPr>
      <w:r>
        <w:rPr/>
        <w:pict>
          <v:line style="position:absolute;mso-position-horizontal-relative:page;mso-position-vertical-relative:paragraph;z-index:251772928" from="71.664001pt,-380.015472pt" to="71.664001pt,-13.995472pt" stroked="true" strokeweight="1.44pt" strokecolor="#086d44">
            <v:stroke dashstyle="solid"/>
            <w10:wrap type="none"/>
          </v:line>
        </w:pict>
      </w:r>
      <w:r>
        <w:rPr>
          <w:color w:val="585858"/>
        </w:rPr>
        <w:t>Scenario tendenziale</w:t>
      </w:r>
    </w:p>
    <w:p>
      <w:pPr>
        <w:pStyle w:val="BodyText"/>
        <w:spacing w:line="252" w:lineRule="auto" w:before="153"/>
        <w:ind w:left="278" w:right="2261" w:firstLine="453"/>
        <w:jc w:val="both"/>
      </w:pPr>
      <w:r>
        <w:rPr/>
        <w:t>Le stime di crescita per la seconda parte dell’anno prefigurano una dinamica più contenuta rispetto a quanto ipotizzato in aprile. Le informazioni congiunturali più</w:t>
      </w:r>
      <w:r>
        <w:rPr>
          <w:spacing w:val="-11"/>
        </w:rPr>
        <w:t> </w:t>
      </w:r>
      <w:r>
        <w:rPr/>
        <w:t>recenti</w:t>
      </w:r>
      <w:r>
        <w:rPr>
          <w:spacing w:val="-10"/>
        </w:rPr>
        <w:t> </w:t>
      </w:r>
      <w:r>
        <w:rPr/>
        <w:t>indicano</w:t>
      </w:r>
      <w:r>
        <w:rPr>
          <w:spacing w:val="-11"/>
        </w:rPr>
        <w:t> </w:t>
      </w:r>
      <w:r>
        <w:rPr/>
        <w:t>una</w:t>
      </w:r>
      <w:r>
        <w:rPr>
          <w:spacing w:val="-10"/>
        </w:rPr>
        <w:t> </w:t>
      </w:r>
      <w:r>
        <w:rPr>
          <w:i/>
        </w:rPr>
        <w:t>performance</w:t>
      </w:r>
      <w:r>
        <w:rPr>
          <w:i/>
          <w:spacing w:val="-8"/>
        </w:rPr>
        <w:t> </w:t>
      </w:r>
      <w:r>
        <w:rPr/>
        <w:t>ancora</w:t>
      </w:r>
      <w:r>
        <w:rPr>
          <w:spacing w:val="-11"/>
        </w:rPr>
        <w:t> </w:t>
      </w:r>
      <w:r>
        <w:rPr/>
        <w:t>debole</w:t>
      </w:r>
      <w:r>
        <w:rPr>
          <w:spacing w:val="-10"/>
        </w:rPr>
        <w:t> </w:t>
      </w:r>
      <w:r>
        <w:rPr/>
        <w:t>dell’attività</w:t>
      </w:r>
      <w:r>
        <w:rPr>
          <w:spacing w:val="-10"/>
        </w:rPr>
        <w:t> </w:t>
      </w:r>
      <w:r>
        <w:rPr/>
        <w:t>manifatturiera.</w:t>
      </w:r>
      <w:r>
        <w:rPr>
          <w:spacing w:val="-9"/>
        </w:rPr>
        <w:t> </w:t>
      </w:r>
      <w:r>
        <w:rPr/>
        <w:t>In luglio la produzione industriale si è ridotta (-0,7 per cento m/m) oltre le attese e in prospettiva ci si attende una variazione negativa dell’indice nel complesso del terzo trimestre rispetto a quello precedente. L’indice di fiducia delle imprese manifatturiere</w:t>
      </w:r>
      <w:r>
        <w:rPr>
          <w:spacing w:val="-16"/>
        </w:rPr>
        <w:t> </w:t>
      </w:r>
      <w:r>
        <w:rPr/>
        <w:t>è</w:t>
      </w:r>
      <w:r>
        <w:rPr>
          <w:spacing w:val="-17"/>
        </w:rPr>
        <w:t> </w:t>
      </w:r>
      <w:r>
        <w:rPr/>
        <w:t>peggiorato</w:t>
      </w:r>
      <w:r>
        <w:rPr>
          <w:spacing w:val="-17"/>
        </w:rPr>
        <w:t> </w:t>
      </w:r>
      <w:r>
        <w:rPr/>
        <w:t>ulteriormente</w:t>
      </w:r>
      <w:r>
        <w:rPr>
          <w:spacing w:val="-17"/>
        </w:rPr>
        <w:t> </w:t>
      </w:r>
      <w:r>
        <w:rPr/>
        <w:t>in</w:t>
      </w:r>
      <w:r>
        <w:rPr>
          <w:spacing w:val="-17"/>
        </w:rPr>
        <w:t> </w:t>
      </w:r>
      <w:r>
        <w:rPr/>
        <w:t>agosto,</w:t>
      </w:r>
      <w:r>
        <w:rPr>
          <w:spacing w:val="-16"/>
        </w:rPr>
        <w:t> </w:t>
      </w:r>
      <w:r>
        <w:rPr/>
        <w:t>risentendo</w:t>
      </w:r>
      <w:r>
        <w:rPr>
          <w:spacing w:val="-18"/>
        </w:rPr>
        <w:t> </w:t>
      </w:r>
      <w:r>
        <w:rPr/>
        <w:t>del</w:t>
      </w:r>
      <w:r>
        <w:rPr>
          <w:spacing w:val="-17"/>
        </w:rPr>
        <w:t> </w:t>
      </w:r>
      <w:r>
        <w:rPr/>
        <w:t>deterioramento dei giudizi sugli ordini e sulle attese di produzione. L’indice dei responsabili degli acquisti delle imprese (Purchasing Managers’ Index, PMI) della manifattura si è mantenuto</w:t>
      </w:r>
      <w:r>
        <w:rPr>
          <w:spacing w:val="-13"/>
        </w:rPr>
        <w:t> </w:t>
      </w:r>
      <w:r>
        <w:rPr/>
        <w:t>al</w:t>
      </w:r>
      <w:r>
        <w:rPr>
          <w:spacing w:val="-11"/>
        </w:rPr>
        <w:t> </w:t>
      </w:r>
      <w:r>
        <w:rPr/>
        <w:t>di</w:t>
      </w:r>
      <w:r>
        <w:rPr>
          <w:spacing w:val="-12"/>
        </w:rPr>
        <w:t> </w:t>
      </w:r>
      <w:r>
        <w:rPr/>
        <w:t>sotto</w:t>
      </w:r>
      <w:r>
        <w:rPr>
          <w:spacing w:val="-12"/>
        </w:rPr>
        <w:t> </w:t>
      </w:r>
      <w:r>
        <w:rPr/>
        <w:t>della</w:t>
      </w:r>
      <w:r>
        <w:rPr>
          <w:spacing w:val="-11"/>
        </w:rPr>
        <w:t> </w:t>
      </w:r>
      <w:r>
        <w:rPr/>
        <w:t>soglia</w:t>
      </w:r>
      <w:r>
        <w:rPr>
          <w:spacing w:val="-12"/>
        </w:rPr>
        <w:t> </w:t>
      </w:r>
      <w:r>
        <w:rPr/>
        <w:t>che</w:t>
      </w:r>
      <w:r>
        <w:rPr>
          <w:spacing w:val="-14"/>
        </w:rPr>
        <w:t> </w:t>
      </w:r>
      <w:r>
        <w:rPr/>
        <w:t>indica</w:t>
      </w:r>
      <w:r>
        <w:rPr>
          <w:spacing w:val="-14"/>
        </w:rPr>
        <w:t> </w:t>
      </w:r>
      <w:r>
        <w:rPr/>
        <w:t>un’espansione</w:t>
      </w:r>
      <w:r>
        <w:rPr>
          <w:spacing w:val="-12"/>
        </w:rPr>
        <w:t> </w:t>
      </w:r>
      <w:r>
        <w:rPr/>
        <w:t>dell’attività</w:t>
      </w:r>
      <w:r>
        <w:rPr>
          <w:spacing w:val="-11"/>
        </w:rPr>
        <w:t> </w:t>
      </w:r>
      <w:r>
        <w:rPr/>
        <w:t>economica. Il settore delle costruzioni dovrebbe mostrare una maggiore resilienza come si evince dagli ultimi risultati della</w:t>
      </w:r>
      <w:r>
        <w:rPr>
          <w:spacing w:val="-3"/>
        </w:rPr>
        <w:t> </w:t>
      </w:r>
      <w:r>
        <w:rPr/>
        <w:t>produzione.</w:t>
      </w:r>
    </w:p>
    <w:p>
      <w:pPr>
        <w:pStyle w:val="BodyText"/>
        <w:rPr>
          <w:sz w:val="20"/>
        </w:rPr>
      </w:pPr>
    </w:p>
    <w:p>
      <w:pPr>
        <w:pStyle w:val="BodyText"/>
        <w:rPr>
          <w:sz w:val="20"/>
        </w:rPr>
      </w:pPr>
    </w:p>
    <w:p>
      <w:pPr>
        <w:pStyle w:val="BodyText"/>
        <w:rPr>
          <w:sz w:val="20"/>
        </w:rPr>
      </w:pPr>
    </w:p>
    <w:p>
      <w:pPr>
        <w:pStyle w:val="BodyText"/>
        <w:spacing w:before="1"/>
        <w:rPr>
          <w:sz w:val="14"/>
        </w:rPr>
      </w:pPr>
      <w:r>
        <w:rPr/>
        <w:pict>
          <v:group style="position:absolute;margin-left:93.599998pt;margin-top:10.191855pt;width:21.4pt;height:2.15pt;mso-position-horizontal-relative:page;mso-position-vertical-relative:paragraph;z-index:-251544576;mso-wrap-distance-left:0;mso-wrap-distance-right:0" coordorigin="1872,204" coordsize="428,43">
            <v:line style="position:absolute" from="1872,224" to="2299,224" stroked="true" strokeweight="2.050pt" strokecolor="#aaaaaa">
              <v:stroke dashstyle="solid"/>
            </v:line>
            <v:rect style="position:absolute;left:1872;top:206;width:5;height:5" filled="true" fillcolor="#9f9f9f" stroked="false">
              <v:fill type="solid"/>
            </v:rect>
            <v:rect style="position:absolute;left:1872;top:206;width:5;height:5" filled="true" fillcolor="#9f9f9f" stroked="false">
              <v:fill type="solid"/>
            </v:rect>
            <v:line style="position:absolute" from="1877,208" to="2295,208" stroked="true" strokeweight=".23999pt" strokecolor="#9f9f9f">
              <v:stroke dashstyle="solid"/>
            </v:line>
            <v:rect style="position:absolute;left:2294;top:206;width:5;height:5" filled="true" fillcolor="#e2e2e2" stroked="false">
              <v:fill type="solid"/>
            </v:rect>
            <v:rect style="position:absolute;left:2294;top:206;width:5;height:5" filled="true" fillcolor="#9f9f9f" stroked="false">
              <v:fill type="solid"/>
            </v:rect>
            <v:rect style="position:absolute;left:1872;top:210;width:5;height:32" filled="true" fillcolor="#9f9f9f" stroked="false">
              <v:fill type="solid"/>
            </v:rect>
            <v:rect style="position:absolute;left:2294;top:210;width:5;height:32" filled="true" fillcolor="#e2e2e2" stroked="false">
              <v:fill type="solid"/>
            </v:rect>
            <v:rect style="position:absolute;left:1872;top:242;width:5;height:5" filled="true" fillcolor="#9f9f9f" stroked="false">
              <v:fill type="solid"/>
            </v:rect>
            <v:rect style="position:absolute;left:1872;top:242;width:5;height:5" filled="true" fillcolor="#e2e2e2" stroked="false">
              <v:fill type="solid"/>
            </v:rect>
            <v:line style="position:absolute" from="1877,244" to="2295,244" stroked="true" strokeweight=".23999pt" strokecolor="#e2e2e2">
              <v:stroke dashstyle="solid"/>
            </v:line>
            <v:rect style="position:absolute;left:2294;top:242;width:5;height:5" filled="true" fillcolor="#e2e2e2" stroked="false">
              <v:fill type="solid"/>
            </v:rect>
            <v:rect style="position:absolute;left:2294;top:242;width:5;height:5" filled="true" fillcolor="#e2e2e2" stroked="false">
              <v:fill type="solid"/>
            </v:rect>
            <w10:wrap type="topAndBottom"/>
          </v:group>
        </w:pict>
      </w:r>
    </w:p>
    <w:p>
      <w:pPr>
        <w:spacing w:before="18"/>
        <w:ind w:left="278" w:right="2260" w:firstLine="453"/>
        <w:jc w:val="left"/>
        <w:rPr>
          <w:sz w:val="16"/>
        </w:rPr>
      </w:pPr>
      <w:r>
        <w:rPr>
          <w:position w:val="6"/>
          <w:sz w:val="10"/>
        </w:rPr>
        <w:t>15 </w:t>
      </w:r>
      <w:r>
        <w:rPr>
          <w:sz w:val="16"/>
        </w:rPr>
        <w:t>ICE, ‘L’Italia nell’economia internazionale’, op. cit. Si veda il riquadro ‘Gli andamenti della competitività di prezzo dell’Italia nei diversi mercati di sbocco delle sue esportazioni’, C. Giordano.</w:t>
      </w:r>
    </w:p>
    <w:p>
      <w:pPr>
        <w:spacing w:line="186" w:lineRule="exact" w:before="0"/>
        <w:ind w:left="732" w:right="0" w:firstLine="0"/>
        <w:jc w:val="left"/>
        <w:rPr>
          <w:sz w:val="16"/>
        </w:rPr>
      </w:pPr>
      <w:r>
        <w:rPr>
          <w:position w:val="6"/>
          <w:sz w:val="10"/>
        </w:rPr>
        <w:t>16 </w:t>
      </w:r>
      <w:r>
        <w:rPr>
          <w:sz w:val="16"/>
        </w:rPr>
        <w:t>ACEA, CLEPA, ‘EU automotive leaders unite to say “no” to ‘no deal’ Brexit’, 23 September 2019.</w:t>
      </w:r>
    </w:p>
    <w:p>
      <w:pPr>
        <w:spacing w:after="0" w:line="186" w:lineRule="exact"/>
        <w:jc w:val="left"/>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1128" w:right="1413" w:firstLine="453"/>
        <w:jc w:val="both"/>
      </w:pPr>
      <w:r>
        <w:rPr/>
        <w:t>Le prospettive per i servizi indicano al più una debole crescita: in settembre l’indice di fiducia settoriale ISTAT, pur in miglioramento rispetto al mese precedente, rimane al disotto della media di lungo termine. Anche dal lato dei consumatori, nell’indagine di settembre migliora il clima di fiducia complessivo e quello</w:t>
      </w:r>
      <w:r>
        <w:rPr>
          <w:spacing w:val="-10"/>
        </w:rPr>
        <w:t> </w:t>
      </w:r>
      <w:r>
        <w:rPr/>
        <w:t>relativo</w:t>
      </w:r>
      <w:r>
        <w:rPr>
          <w:spacing w:val="-10"/>
        </w:rPr>
        <w:t> </w:t>
      </w:r>
      <w:r>
        <w:rPr/>
        <w:t>alla</w:t>
      </w:r>
      <w:r>
        <w:rPr>
          <w:spacing w:val="-9"/>
        </w:rPr>
        <w:t> </w:t>
      </w:r>
      <w:r>
        <w:rPr/>
        <w:t>situazione</w:t>
      </w:r>
      <w:r>
        <w:rPr>
          <w:spacing w:val="-10"/>
        </w:rPr>
        <w:t> </w:t>
      </w:r>
      <w:r>
        <w:rPr/>
        <w:t>personale</w:t>
      </w:r>
      <w:r>
        <w:rPr>
          <w:spacing w:val="-9"/>
        </w:rPr>
        <w:t> </w:t>
      </w:r>
      <w:r>
        <w:rPr/>
        <w:t>e</w:t>
      </w:r>
      <w:r>
        <w:rPr>
          <w:spacing w:val="-9"/>
        </w:rPr>
        <w:t> </w:t>
      </w:r>
      <w:r>
        <w:rPr/>
        <w:t>alle</w:t>
      </w:r>
      <w:r>
        <w:rPr>
          <w:spacing w:val="-9"/>
        </w:rPr>
        <w:t> </w:t>
      </w:r>
      <w:r>
        <w:rPr/>
        <w:t>prospettive</w:t>
      </w:r>
      <w:r>
        <w:rPr>
          <w:spacing w:val="-9"/>
        </w:rPr>
        <w:t> </w:t>
      </w:r>
      <w:r>
        <w:rPr/>
        <w:t>future,</w:t>
      </w:r>
      <w:r>
        <w:rPr>
          <w:spacing w:val="-8"/>
        </w:rPr>
        <w:t> </w:t>
      </w:r>
      <w:r>
        <w:rPr/>
        <w:t>ma</w:t>
      </w:r>
      <w:r>
        <w:rPr>
          <w:spacing w:val="-9"/>
        </w:rPr>
        <w:t> </w:t>
      </w:r>
      <w:r>
        <w:rPr/>
        <w:t>peggiorano</w:t>
      </w:r>
      <w:r>
        <w:rPr>
          <w:spacing w:val="-10"/>
        </w:rPr>
        <w:t> </w:t>
      </w:r>
      <w:r>
        <w:rPr/>
        <w:t>le valutazioni sulla situazione economica del Paese e le intenzioni d’acquisto di beni durevoli.</w:t>
      </w:r>
    </w:p>
    <w:p>
      <w:pPr>
        <w:pStyle w:val="BodyText"/>
        <w:spacing w:line="252" w:lineRule="auto"/>
        <w:ind w:left="1128" w:right="1411" w:firstLine="453"/>
        <w:jc w:val="both"/>
      </w:pPr>
      <w:r>
        <w:rPr/>
        <w:t>Nel</w:t>
      </w:r>
      <w:r>
        <w:rPr>
          <w:spacing w:val="-9"/>
        </w:rPr>
        <w:t> </w:t>
      </w:r>
      <w:r>
        <w:rPr/>
        <w:t>complesso</w:t>
      </w:r>
      <w:r>
        <w:rPr>
          <w:spacing w:val="-10"/>
        </w:rPr>
        <w:t> </w:t>
      </w:r>
      <w:r>
        <w:rPr/>
        <w:t>la</w:t>
      </w:r>
      <w:r>
        <w:rPr>
          <w:spacing w:val="-8"/>
        </w:rPr>
        <w:t> </w:t>
      </w:r>
      <w:r>
        <w:rPr/>
        <w:t>stima</w:t>
      </w:r>
      <w:r>
        <w:rPr>
          <w:spacing w:val="-10"/>
        </w:rPr>
        <w:t> </w:t>
      </w:r>
      <w:r>
        <w:rPr/>
        <w:t>del</w:t>
      </w:r>
      <w:r>
        <w:rPr>
          <w:spacing w:val="-8"/>
        </w:rPr>
        <w:t> </w:t>
      </w:r>
      <w:r>
        <w:rPr/>
        <w:t>PIL</w:t>
      </w:r>
      <w:r>
        <w:rPr>
          <w:spacing w:val="-10"/>
        </w:rPr>
        <w:t> </w:t>
      </w:r>
      <w:r>
        <w:rPr/>
        <w:t>per</w:t>
      </w:r>
      <w:r>
        <w:rPr>
          <w:spacing w:val="-7"/>
        </w:rPr>
        <w:t> </w:t>
      </w:r>
      <w:r>
        <w:rPr/>
        <w:t>il</w:t>
      </w:r>
      <w:r>
        <w:rPr>
          <w:spacing w:val="-10"/>
        </w:rPr>
        <w:t> </w:t>
      </w:r>
      <w:r>
        <w:rPr/>
        <w:t>2019</w:t>
      </w:r>
      <w:r>
        <w:rPr>
          <w:spacing w:val="-9"/>
        </w:rPr>
        <w:t> </w:t>
      </w:r>
      <w:r>
        <w:rPr/>
        <w:t>è</w:t>
      </w:r>
      <w:r>
        <w:rPr>
          <w:spacing w:val="-10"/>
        </w:rPr>
        <w:t> </w:t>
      </w:r>
      <w:r>
        <w:rPr/>
        <w:t>pari</w:t>
      </w:r>
      <w:r>
        <w:rPr>
          <w:spacing w:val="-9"/>
        </w:rPr>
        <w:t> </w:t>
      </w:r>
      <w:r>
        <w:rPr/>
        <w:t>quindi</w:t>
      </w:r>
      <w:r>
        <w:rPr>
          <w:spacing w:val="-8"/>
        </w:rPr>
        <w:t> </w:t>
      </w:r>
      <w:r>
        <w:rPr/>
        <w:t>allo</w:t>
      </w:r>
      <w:r>
        <w:rPr>
          <w:spacing w:val="-10"/>
        </w:rPr>
        <w:t> </w:t>
      </w:r>
      <w:r>
        <w:rPr/>
        <w:t>0,1</w:t>
      </w:r>
      <w:r>
        <w:rPr>
          <w:spacing w:val="-8"/>
        </w:rPr>
        <w:t> </w:t>
      </w:r>
      <w:r>
        <w:rPr/>
        <w:t>per</w:t>
      </w:r>
      <w:r>
        <w:rPr>
          <w:spacing w:val="-8"/>
        </w:rPr>
        <w:t> </w:t>
      </w:r>
      <w:r>
        <w:rPr/>
        <w:t>cento</w:t>
      </w:r>
      <w:r>
        <w:rPr>
          <w:spacing w:val="-9"/>
        </w:rPr>
        <w:t> </w:t>
      </w:r>
      <w:r>
        <w:rPr/>
        <w:t>(dallo 0,2 per cento del DEF). L’attività economica continuerà a subire gli effetti del rallentamento della produzione industriale tedesca, dell’inasprimento delle tensioni commerciali tra Stati Uniti e Cina e del perdurare dell’incertezza riguardo la “Brexit”. A questo si somma una ripresa della domanda interna, in particolare dei</w:t>
      </w:r>
      <w:r>
        <w:rPr>
          <w:spacing w:val="-18"/>
        </w:rPr>
        <w:t> </w:t>
      </w:r>
      <w:r>
        <w:rPr/>
        <w:t>consumi,</w:t>
      </w:r>
      <w:r>
        <w:rPr>
          <w:spacing w:val="-17"/>
        </w:rPr>
        <w:t> </w:t>
      </w:r>
      <w:r>
        <w:rPr/>
        <w:t>inferiore</w:t>
      </w:r>
      <w:r>
        <w:rPr>
          <w:spacing w:val="-19"/>
        </w:rPr>
        <w:t> </w:t>
      </w:r>
      <w:r>
        <w:rPr/>
        <w:t>rispetto</w:t>
      </w:r>
      <w:r>
        <w:rPr>
          <w:spacing w:val="-18"/>
        </w:rPr>
        <w:t> </w:t>
      </w:r>
      <w:r>
        <w:rPr/>
        <w:t>a</w:t>
      </w:r>
      <w:r>
        <w:rPr>
          <w:spacing w:val="-18"/>
        </w:rPr>
        <w:t> </w:t>
      </w:r>
      <w:r>
        <w:rPr/>
        <w:t>quanto</w:t>
      </w:r>
      <w:r>
        <w:rPr>
          <w:spacing w:val="-18"/>
        </w:rPr>
        <w:t> </w:t>
      </w:r>
      <w:r>
        <w:rPr/>
        <w:t>previsto</w:t>
      </w:r>
      <w:r>
        <w:rPr>
          <w:spacing w:val="-17"/>
        </w:rPr>
        <w:t> </w:t>
      </w:r>
      <w:r>
        <w:rPr/>
        <w:t>nel</w:t>
      </w:r>
      <w:r>
        <w:rPr>
          <w:spacing w:val="-18"/>
        </w:rPr>
        <w:t> </w:t>
      </w:r>
      <w:r>
        <w:rPr/>
        <w:t>quadro</w:t>
      </w:r>
      <w:r>
        <w:rPr>
          <w:spacing w:val="-18"/>
        </w:rPr>
        <w:t> </w:t>
      </w:r>
      <w:r>
        <w:rPr/>
        <w:t>programmatico</w:t>
      </w:r>
      <w:r>
        <w:rPr>
          <w:spacing w:val="-18"/>
        </w:rPr>
        <w:t> </w:t>
      </w:r>
      <w:r>
        <w:rPr/>
        <w:t>del</w:t>
      </w:r>
      <w:r>
        <w:rPr>
          <w:spacing w:val="-17"/>
        </w:rPr>
        <w:t> </w:t>
      </w:r>
      <w:r>
        <w:rPr/>
        <w:t>DEF. Le precedenti stime si basavano, infatti, sulle valutazioni ex ante dell’impatto dei provvedimenti di Quota 100 e Reddito di Cittadinanza contenute nelle relazioni tecniche. Rispetto alle iniziali stime prudenziali circa la platea dei potenziali beneficiari, il numero delle effettive adesioni per entrambi i provvedimenti è risultato, per il momento, inferiore alle ipotesi.</w:t>
      </w:r>
    </w:p>
    <w:p>
      <w:pPr>
        <w:pStyle w:val="BodyText"/>
        <w:spacing w:line="252" w:lineRule="auto" w:before="2"/>
        <w:ind w:left="1128" w:right="1411" w:firstLine="453"/>
        <w:jc w:val="both"/>
      </w:pPr>
      <w:r>
        <w:rPr/>
        <w:t>La revisione della previsione per la seconda metà del 2019 incide principalmente sul 2020: ne consegue un trascinamento inferiore di 0,3 punti percentuali rispetto al DEF che viene interamente incluso nella nuova previsione tendenziale (allo 0,43% dallo 0,75% del DEF, cfr. riquadro ‘La revisione delle stime di crescita per il 2019 e gli anni seguenti’). La previsione di crescita del PIL è invariata per il 2021 (0,8 per cento) mentre è rivista al rialzo per il 2022 (1,0 per cento dallo 0,8 per cento). La stima dell’ultimo anno di previsione si fonda sulla nuova configurazione delle variabili esogene, in particolare sul miglioramento dei rendimenti sui titoli di Stato, che porta ad una dinamica più favorevole della crescita dei consumi e degli investimenti. Inoltre, il modesto recupero dell’attività produttiva negli ultimi due anni dell’orizzonte di previsione avverrà anche attraverso una ricostituzione delle scorte che, in chiave prudenziale, si stima contenuta e comunque largamente inferiore alla caduta registrata nel biennio precedente.</w:t>
      </w:r>
    </w:p>
    <w:p>
      <w:pPr>
        <w:pStyle w:val="BodyText"/>
        <w:spacing w:line="252" w:lineRule="auto"/>
        <w:ind w:left="1128" w:right="1411" w:firstLine="453"/>
        <w:jc w:val="both"/>
      </w:pPr>
      <w:r>
        <w:rPr/>
        <w:t>Con riferimento alle componenti della domanda, le informazioni congiunturali più</w:t>
      </w:r>
      <w:r>
        <w:rPr>
          <w:spacing w:val="-10"/>
        </w:rPr>
        <w:t> </w:t>
      </w:r>
      <w:r>
        <w:rPr/>
        <w:t>recenti</w:t>
      </w:r>
      <w:r>
        <w:rPr>
          <w:spacing w:val="-9"/>
        </w:rPr>
        <w:t> </w:t>
      </w:r>
      <w:r>
        <w:rPr/>
        <w:t>suggeriscono</w:t>
      </w:r>
      <w:r>
        <w:rPr>
          <w:spacing w:val="-13"/>
        </w:rPr>
        <w:t> </w:t>
      </w:r>
      <w:r>
        <w:rPr/>
        <w:t>una</w:t>
      </w:r>
      <w:r>
        <w:rPr>
          <w:spacing w:val="-8"/>
        </w:rPr>
        <w:t> </w:t>
      </w:r>
      <w:r>
        <w:rPr/>
        <w:t>crescita</w:t>
      </w:r>
      <w:r>
        <w:rPr>
          <w:spacing w:val="-9"/>
        </w:rPr>
        <w:t> </w:t>
      </w:r>
      <w:r>
        <w:rPr/>
        <w:t>debole</w:t>
      </w:r>
      <w:r>
        <w:rPr>
          <w:spacing w:val="-9"/>
        </w:rPr>
        <w:t> </w:t>
      </w:r>
      <w:r>
        <w:rPr/>
        <w:t>dei</w:t>
      </w:r>
      <w:r>
        <w:rPr>
          <w:spacing w:val="-12"/>
        </w:rPr>
        <w:t> </w:t>
      </w:r>
      <w:r>
        <w:rPr/>
        <w:t>consumi</w:t>
      </w:r>
      <w:r>
        <w:rPr>
          <w:spacing w:val="-8"/>
        </w:rPr>
        <w:t> </w:t>
      </w:r>
      <w:r>
        <w:rPr/>
        <w:t>anche</w:t>
      </w:r>
      <w:r>
        <w:rPr>
          <w:spacing w:val="-9"/>
        </w:rPr>
        <w:t> </w:t>
      </w:r>
      <w:r>
        <w:rPr/>
        <w:t>nella</w:t>
      </w:r>
      <w:r>
        <w:rPr>
          <w:spacing w:val="-9"/>
        </w:rPr>
        <w:t> </w:t>
      </w:r>
      <w:r>
        <w:rPr/>
        <w:t>seconda</w:t>
      </w:r>
      <w:r>
        <w:rPr>
          <w:spacing w:val="-9"/>
        </w:rPr>
        <w:t> </w:t>
      </w:r>
      <w:r>
        <w:rPr/>
        <w:t>parte dell’anno: le vendite al dettaglio continuano ad essere deboli e i dati sulle nuove immatricolazioni di auto risultano in recupero solo negli ultimi mesi. Per quanto riguarda l’impatto del Reddito di Cittadinanza, dopo una prima fase di assestamento, il tasso di adesione a tale misura di sostegno al reddito dovrebbe confermarsi</w:t>
      </w:r>
      <w:r>
        <w:rPr>
          <w:spacing w:val="-12"/>
        </w:rPr>
        <w:t> </w:t>
      </w:r>
      <w:r>
        <w:rPr/>
        <w:t>in</w:t>
      </w:r>
      <w:r>
        <w:rPr>
          <w:spacing w:val="-12"/>
        </w:rPr>
        <w:t> </w:t>
      </w:r>
      <w:r>
        <w:rPr/>
        <w:t>linea</w:t>
      </w:r>
      <w:r>
        <w:rPr>
          <w:spacing w:val="-12"/>
        </w:rPr>
        <w:t> </w:t>
      </w:r>
      <w:r>
        <w:rPr/>
        <w:t>con</w:t>
      </w:r>
      <w:r>
        <w:rPr>
          <w:spacing w:val="-14"/>
        </w:rPr>
        <w:t> </w:t>
      </w:r>
      <w:r>
        <w:rPr/>
        <w:t>le</w:t>
      </w:r>
      <w:r>
        <w:rPr>
          <w:spacing w:val="-11"/>
        </w:rPr>
        <w:t> </w:t>
      </w:r>
      <w:r>
        <w:rPr/>
        <w:t>stime</w:t>
      </w:r>
      <w:r>
        <w:rPr>
          <w:spacing w:val="-12"/>
        </w:rPr>
        <w:t> </w:t>
      </w:r>
      <w:r>
        <w:rPr/>
        <w:t>iniziali</w:t>
      </w:r>
      <w:r>
        <w:rPr>
          <w:spacing w:val="-12"/>
        </w:rPr>
        <w:t> </w:t>
      </w:r>
      <w:r>
        <w:rPr/>
        <w:t>e</w:t>
      </w:r>
      <w:r>
        <w:rPr>
          <w:spacing w:val="-12"/>
        </w:rPr>
        <w:t> </w:t>
      </w:r>
      <w:r>
        <w:rPr/>
        <w:t>contribuire</w:t>
      </w:r>
      <w:r>
        <w:rPr>
          <w:spacing w:val="-12"/>
        </w:rPr>
        <w:t> </w:t>
      </w:r>
      <w:r>
        <w:rPr/>
        <w:t>alla</w:t>
      </w:r>
      <w:r>
        <w:rPr>
          <w:spacing w:val="-11"/>
        </w:rPr>
        <w:t> </w:t>
      </w:r>
      <w:r>
        <w:rPr/>
        <w:t>crescita</w:t>
      </w:r>
      <w:r>
        <w:rPr>
          <w:spacing w:val="-12"/>
        </w:rPr>
        <w:t> </w:t>
      </w:r>
      <w:r>
        <w:rPr/>
        <w:t>dei</w:t>
      </w:r>
      <w:r>
        <w:rPr>
          <w:spacing w:val="-12"/>
        </w:rPr>
        <w:t> </w:t>
      </w:r>
      <w:r>
        <w:rPr/>
        <w:t>consumi.</w:t>
      </w:r>
      <w:r>
        <w:rPr>
          <w:spacing w:val="-11"/>
        </w:rPr>
        <w:t> </w:t>
      </w:r>
      <w:r>
        <w:rPr/>
        <w:t>Con riferimento</w:t>
      </w:r>
      <w:r>
        <w:rPr>
          <w:spacing w:val="-7"/>
        </w:rPr>
        <w:t> </w:t>
      </w:r>
      <w:r>
        <w:rPr/>
        <w:t>all’impatto</w:t>
      </w:r>
      <w:r>
        <w:rPr>
          <w:spacing w:val="-6"/>
        </w:rPr>
        <w:t> </w:t>
      </w:r>
      <w:r>
        <w:rPr/>
        <w:t>degli</w:t>
      </w:r>
      <w:r>
        <w:rPr>
          <w:spacing w:val="-6"/>
        </w:rPr>
        <w:t> </w:t>
      </w:r>
      <w:r>
        <w:rPr/>
        <w:t>aumenti</w:t>
      </w:r>
      <w:r>
        <w:rPr>
          <w:spacing w:val="-6"/>
        </w:rPr>
        <w:t> </w:t>
      </w:r>
      <w:r>
        <w:rPr/>
        <w:t>dell’IVA</w:t>
      </w:r>
      <w:r>
        <w:rPr>
          <w:spacing w:val="-8"/>
        </w:rPr>
        <w:t> </w:t>
      </w:r>
      <w:r>
        <w:rPr/>
        <w:t>previsti</w:t>
      </w:r>
      <w:r>
        <w:rPr>
          <w:spacing w:val="-6"/>
        </w:rPr>
        <w:t> </w:t>
      </w:r>
      <w:r>
        <w:rPr/>
        <w:t>dalla</w:t>
      </w:r>
      <w:r>
        <w:rPr>
          <w:spacing w:val="-6"/>
        </w:rPr>
        <w:t> </w:t>
      </w:r>
      <w:r>
        <w:rPr/>
        <w:t>Legge</w:t>
      </w:r>
      <w:r>
        <w:rPr>
          <w:spacing w:val="-8"/>
        </w:rPr>
        <w:t> </w:t>
      </w:r>
      <w:r>
        <w:rPr/>
        <w:t>di</w:t>
      </w:r>
      <w:r>
        <w:rPr>
          <w:spacing w:val="-8"/>
        </w:rPr>
        <w:t> </w:t>
      </w:r>
      <w:r>
        <w:rPr/>
        <w:t>Bilancio</w:t>
      </w:r>
      <w:r>
        <w:rPr>
          <w:spacing w:val="-6"/>
        </w:rPr>
        <w:t> </w:t>
      </w:r>
      <w:r>
        <w:rPr/>
        <w:t>2019, nonostante si sia adottata un’ipotesi di traslazione solo parziale sui prezzi al consumo del maggior onere fiscale, l’effetto inflattivo inciderebbe sul reddito disponibile</w:t>
      </w:r>
      <w:r>
        <w:rPr>
          <w:spacing w:val="-21"/>
        </w:rPr>
        <w:t> </w:t>
      </w:r>
      <w:r>
        <w:rPr/>
        <w:t>reale</w:t>
      </w:r>
      <w:r>
        <w:rPr>
          <w:spacing w:val="-20"/>
        </w:rPr>
        <w:t> </w:t>
      </w:r>
      <w:r>
        <w:rPr/>
        <w:t>con</w:t>
      </w:r>
      <w:r>
        <w:rPr>
          <w:spacing w:val="-20"/>
        </w:rPr>
        <w:t> </w:t>
      </w:r>
      <w:r>
        <w:rPr/>
        <w:t>ricadute</w:t>
      </w:r>
      <w:r>
        <w:rPr>
          <w:spacing w:val="-20"/>
        </w:rPr>
        <w:t> </w:t>
      </w:r>
      <w:r>
        <w:rPr/>
        <w:t>sulla</w:t>
      </w:r>
      <w:r>
        <w:rPr>
          <w:spacing w:val="-20"/>
        </w:rPr>
        <w:t> </w:t>
      </w:r>
      <w:r>
        <w:rPr/>
        <w:t>propensione</w:t>
      </w:r>
      <w:r>
        <w:rPr>
          <w:spacing w:val="-20"/>
        </w:rPr>
        <w:t> </w:t>
      </w:r>
      <w:r>
        <w:rPr/>
        <w:t>al</w:t>
      </w:r>
      <w:r>
        <w:rPr>
          <w:spacing w:val="-18"/>
        </w:rPr>
        <w:t> </w:t>
      </w:r>
      <w:r>
        <w:rPr/>
        <w:t>consumo.</w:t>
      </w:r>
      <w:r>
        <w:rPr>
          <w:spacing w:val="-19"/>
        </w:rPr>
        <w:t> </w:t>
      </w:r>
      <w:r>
        <w:rPr/>
        <w:t>Di</w:t>
      </w:r>
      <w:r>
        <w:rPr>
          <w:spacing w:val="-20"/>
        </w:rPr>
        <w:t> </w:t>
      </w:r>
      <w:r>
        <w:rPr/>
        <w:t>conseguenza,</w:t>
      </w:r>
      <w:r>
        <w:rPr>
          <w:spacing w:val="-19"/>
        </w:rPr>
        <w:t> </w:t>
      </w:r>
      <w:r>
        <w:rPr/>
        <w:t>il</w:t>
      </w:r>
      <w:r>
        <w:rPr>
          <w:spacing w:val="-20"/>
        </w:rPr>
        <w:t> </w:t>
      </w:r>
      <w:r>
        <w:rPr/>
        <w:t>tasso di risparmio si ridurrebbe lievemente, attestandosi poco sopra l’8 per cento a fine periodo.</w:t>
      </w:r>
    </w:p>
    <w:p>
      <w:pPr>
        <w:pStyle w:val="BodyText"/>
        <w:spacing w:line="252" w:lineRule="auto"/>
        <w:ind w:left="1128" w:right="1416" w:firstLine="453"/>
        <w:jc w:val="both"/>
      </w:pPr>
      <w:r>
        <w:rPr/>
        <w:t>Per gli investimenti è prevista solo una lieve crescita nel 2019, per poi tornare su</w:t>
      </w:r>
      <w:r>
        <w:rPr>
          <w:spacing w:val="-18"/>
        </w:rPr>
        <w:t> </w:t>
      </w:r>
      <w:r>
        <w:rPr/>
        <w:t>un</w:t>
      </w:r>
      <w:r>
        <w:rPr>
          <w:spacing w:val="-17"/>
        </w:rPr>
        <w:t> </w:t>
      </w:r>
      <w:r>
        <w:rPr/>
        <w:t>sentiero</w:t>
      </w:r>
      <w:r>
        <w:rPr>
          <w:spacing w:val="-17"/>
        </w:rPr>
        <w:t> </w:t>
      </w:r>
      <w:r>
        <w:rPr/>
        <w:t>di</w:t>
      </w:r>
      <w:r>
        <w:rPr>
          <w:spacing w:val="-17"/>
        </w:rPr>
        <w:t> </w:t>
      </w:r>
      <w:r>
        <w:rPr/>
        <w:t>espansione</w:t>
      </w:r>
      <w:r>
        <w:rPr>
          <w:spacing w:val="-17"/>
        </w:rPr>
        <w:t> </w:t>
      </w:r>
      <w:r>
        <w:rPr/>
        <w:t>modesto</w:t>
      </w:r>
      <w:r>
        <w:rPr>
          <w:spacing w:val="-18"/>
        </w:rPr>
        <w:t> </w:t>
      </w:r>
      <w:r>
        <w:rPr/>
        <w:t>negli</w:t>
      </w:r>
      <w:r>
        <w:rPr>
          <w:spacing w:val="-17"/>
        </w:rPr>
        <w:t> </w:t>
      </w:r>
      <w:r>
        <w:rPr/>
        <w:t>anni</w:t>
      </w:r>
      <w:r>
        <w:rPr>
          <w:spacing w:val="-18"/>
        </w:rPr>
        <w:t> </w:t>
      </w:r>
      <w:r>
        <w:rPr/>
        <w:t>successivi.</w:t>
      </w:r>
      <w:r>
        <w:rPr>
          <w:spacing w:val="-15"/>
        </w:rPr>
        <w:t> </w:t>
      </w:r>
      <w:r>
        <w:rPr/>
        <w:t>Anche</w:t>
      </w:r>
      <w:r>
        <w:rPr>
          <w:spacing w:val="-17"/>
        </w:rPr>
        <w:t> </w:t>
      </w:r>
      <w:r>
        <w:rPr/>
        <w:t>l’indagine</w:t>
      </w:r>
      <w:r>
        <w:rPr>
          <w:spacing w:val="-18"/>
        </w:rPr>
        <w:t> </w:t>
      </w:r>
      <w:r>
        <w:rPr/>
        <w:t>annuale della</w:t>
      </w:r>
      <w:r>
        <w:rPr>
          <w:spacing w:val="32"/>
        </w:rPr>
        <w:t> </w:t>
      </w:r>
      <w:r>
        <w:rPr/>
        <w:t>Banca</w:t>
      </w:r>
      <w:r>
        <w:rPr>
          <w:spacing w:val="34"/>
        </w:rPr>
        <w:t> </w:t>
      </w:r>
      <w:r>
        <w:rPr/>
        <w:t>d’Italia</w:t>
      </w:r>
      <w:r>
        <w:rPr>
          <w:spacing w:val="33"/>
        </w:rPr>
        <w:t> </w:t>
      </w:r>
      <w:r>
        <w:rPr/>
        <w:t>indica</w:t>
      </w:r>
      <w:r>
        <w:rPr>
          <w:spacing w:val="33"/>
        </w:rPr>
        <w:t> </w:t>
      </w:r>
      <w:r>
        <w:rPr/>
        <w:t>una</w:t>
      </w:r>
      <w:r>
        <w:rPr>
          <w:spacing w:val="33"/>
        </w:rPr>
        <w:t> </w:t>
      </w:r>
      <w:r>
        <w:rPr/>
        <w:t>crescita</w:t>
      </w:r>
      <w:r>
        <w:rPr>
          <w:spacing w:val="32"/>
        </w:rPr>
        <w:t> </w:t>
      </w:r>
      <w:r>
        <w:rPr/>
        <w:t>modesta</w:t>
      </w:r>
      <w:r>
        <w:rPr>
          <w:spacing w:val="33"/>
        </w:rPr>
        <w:t> </w:t>
      </w:r>
      <w:r>
        <w:rPr/>
        <w:t>dei</w:t>
      </w:r>
      <w:r>
        <w:rPr>
          <w:spacing w:val="33"/>
        </w:rPr>
        <w:t> </w:t>
      </w:r>
      <w:r>
        <w:rPr/>
        <w:t>piani</w:t>
      </w:r>
      <w:r>
        <w:rPr>
          <w:spacing w:val="32"/>
        </w:rPr>
        <w:t> </w:t>
      </w:r>
      <w:r>
        <w:rPr/>
        <w:t>di</w:t>
      </w:r>
      <w:r>
        <w:rPr>
          <w:spacing w:val="33"/>
        </w:rPr>
        <w:t> </w:t>
      </w:r>
      <w:r>
        <w:rPr/>
        <w:t>investimento</w:t>
      </w:r>
      <w:r>
        <w:rPr>
          <w:spacing w:val="33"/>
        </w:rPr>
        <w:t> </w:t>
      </w:r>
      <w:r>
        <w:rPr/>
        <w:t>delle</w:t>
      </w:r>
    </w:p>
    <w:p>
      <w:pPr>
        <w:spacing w:after="0" w:line="252" w:lineRule="auto"/>
        <w:jc w:val="both"/>
        <w:sectPr>
          <w:pgSz w:w="11910" w:h="16840"/>
          <w:pgMar w:header="838" w:footer="866" w:top="1100" w:bottom="1060" w:left="1140" w:right="0"/>
        </w:sectPr>
      </w:pPr>
    </w:p>
    <w:p>
      <w:pPr>
        <w:pStyle w:val="BodyText"/>
        <w:rPr>
          <w:sz w:val="20"/>
        </w:rPr>
      </w:pPr>
    </w:p>
    <w:p>
      <w:pPr>
        <w:pStyle w:val="BodyText"/>
        <w:rPr>
          <w:sz w:val="20"/>
        </w:rPr>
      </w:pPr>
    </w:p>
    <w:p>
      <w:pPr>
        <w:pStyle w:val="BodyText"/>
        <w:rPr>
          <w:sz w:val="24"/>
        </w:rPr>
      </w:pPr>
    </w:p>
    <w:p>
      <w:pPr>
        <w:pStyle w:val="BodyText"/>
        <w:spacing w:line="252" w:lineRule="auto" w:before="116"/>
        <w:ind w:left="278" w:right="2261"/>
        <w:jc w:val="both"/>
      </w:pPr>
      <w:r>
        <w:rPr/>
        <w:t>imprese per l’anno in corso</w:t>
      </w:r>
      <w:r>
        <w:rPr>
          <w:vertAlign w:val="superscript"/>
        </w:rPr>
        <w:t>17</w:t>
      </w:r>
      <w:r>
        <w:rPr>
          <w:vertAlign w:val="baseline"/>
        </w:rPr>
        <w:t>. Nello scenario tendenziale la debolezza degli investimenti si protrae anche nel 2020 a causa dell’incertezza generata dalle politiche commerciali e dalle tensioni geo-politiche. Gli investimenti riprendono a crescere</w:t>
      </w:r>
      <w:r>
        <w:rPr>
          <w:spacing w:val="-10"/>
          <w:vertAlign w:val="baseline"/>
        </w:rPr>
        <w:t> </w:t>
      </w:r>
      <w:r>
        <w:rPr>
          <w:vertAlign w:val="baseline"/>
        </w:rPr>
        <w:t>a</w:t>
      </w:r>
      <w:r>
        <w:rPr>
          <w:spacing w:val="-8"/>
          <w:vertAlign w:val="baseline"/>
        </w:rPr>
        <w:t> </w:t>
      </w:r>
      <w:r>
        <w:rPr>
          <w:vertAlign w:val="baseline"/>
        </w:rPr>
        <w:t>fine</w:t>
      </w:r>
      <w:r>
        <w:rPr>
          <w:spacing w:val="-10"/>
          <w:vertAlign w:val="baseline"/>
        </w:rPr>
        <w:t> </w:t>
      </w:r>
      <w:r>
        <w:rPr>
          <w:vertAlign w:val="baseline"/>
        </w:rPr>
        <w:t>periodo</w:t>
      </w:r>
      <w:r>
        <w:rPr>
          <w:spacing w:val="-10"/>
          <w:vertAlign w:val="baseline"/>
        </w:rPr>
        <w:t> </w:t>
      </w:r>
      <w:r>
        <w:rPr>
          <w:vertAlign w:val="baseline"/>
        </w:rPr>
        <w:t>sostenuti</w:t>
      </w:r>
      <w:r>
        <w:rPr>
          <w:spacing w:val="-8"/>
          <w:vertAlign w:val="baseline"/>
        </w:rPr>
        <w:t> </w:t>
      </w:r>
      <w:r>
        <w:rPr>
          <w:vertAlign w:val="baseline"/>
        </w:rPr>
        <w:t>dalla</w:t>
      </w:r>
      <w:r>
        <w:rPr>
          <w:spacing w:val="-9"/>
          <w:vertAlign w:val="baseline"/>
        </w:rPr>
        <w:t> </w:t>
      </w:r>
      <w:r>
        <w:rPr>
          <w:vertAlign w:val="baseline"/>
        </w:rPr>
        <w:t>ripresa</w:t>
      </w:r>
      <w:r>
        <w:rPr>
          <w:spacing w:val="-8"/>
          <w:vertAlign w:val="baseline"/>
        </w:rPr>
        <w:t> </w:t>
      </w:r>
      <w:r>
        <w:rPr>
          <w:vertAlign w:val="baseline"/>
        </w:rPr>
        <w:t>dell’export,</w:t>
      </w:r>
      <w:r>
        <w:rPr>
          <w:spacing w:val="-7"/>
          <w:vertAlign w:val="baseline"/>
        </w:rPr>
        <w:t> </w:t>
      </w:r>
      <w:r>
        <w:rPr>
          <w:vertAlign w:val="baseline"/>
        </w:rPr>
        <w:t>dal</w:t>
      </w:r>
      <w:r>
        <w:rPr>
          <w:spacing w:val="-10"/>
          <w:vertAlign w:val="baseline"/>
        </w:rPr>
        <w:t> </w:t>
      </w:r>
      <w:r>
        <w:rPr>
          <w:vertAlign w:val="baseline"/>
        </w:rPr>
        <w:t>progressivo</w:t>
      </w:r>
      <w:r>
        <w:rPr>
          <w:spacing w:val="-8"/>
          <w:vertAlign w:val="baseline"/>
        </w:rPr>
        <w:t> </w:t>
      </w:r>
      <w:r>
        <w:rPr>
          <w:vertAlign w:val="baseline"/>
        </w:rPr>
        <w:t>recupero dei margini di profitto e dall’ipotesi di rendimenti più favorevoli. Gli investimenti in</w:t>
      </w:r>
      <w:r>
        <w:rPr>
          <w:spacing w:val="-6"/>
          <w:vertAlign w:val="baseline"/>
        </w:rPr>
        <w:t> </w:t>
      </w:r>
      <w:r>
        <w:rPr>
          <w:vertAlign w:val="baseline"/>
        </w:rPr>
        <w:t>costruzioni</w:t>
      </w:r>
      <w:r>
        <w:rPr>
          <w:spacing w:val="-6"/>
          <w:vertAlign w:val="baseline"/>
        </w:rPr>
        <w:t> </w:t>
      </w:r>
      <w:r>
        <w:rPr>
          <w:vertAlign w:val="baseline"/>
        </w:rPr>
        <w:t>dopo</w:t>
      </w:r>
      <w:r>
        <w:rPr>
          <w:spacing w:val="-9"/>
          <w:vertAlign w:val="baseline"/>
        </w:rPr>
        <w:t> </w:t>
      </w:r>
      <w:r>
        <w:rPr>
          <w:vertAlign w:val="baseline"/>
        </w:rPr>
        <w:t>l’aumento</w:t>
      </w:r>
      <w:r>
        <w:rPr>
          <w:spacing w:val="-6"/>
          <w:vertAlign w:val="baseline"/>
        </w:rPr>
        <w:t> </w:t>
      </w:r>
      <w:r>
        <w:rPr>
          <w:vertAlign w:val="baseline"/>
        </w:rPr>
        <w:t>registrato</w:t>
      </w:r>
      <w:r>
        <w:rPr>
          <w:spacing w:val="-6"/>
          <w:vertAlign w:val="baseline"/>
        </w:rPr>
        <w:t> </w:t>
      </w:r>
      <w:r>
        <w:rPr>
          <w:vertAlign w:val="baseline"/>
        </w:rPr>
        <w:t>nel</w:t>
      </w:r>
      <w:r>
        <w:rPr>
          <w:spacing w:val="-5"/>
          <w:vertAlign w:val="baseline"/>
        </w:rPr>
        <w:t> </w:t>
      </w:r>
      <w:r>
        <w:rPr>
          <w:vertAlign w:val="baseline"/>
        </w:rPr>
        <w:t>2019</w:t>
      </w:r>
      <w:r>
        <w:rPr>
          <w:spacing w:val="-4"/>
          <w:vertAlign w:val="baseline"/>
        </w:rPr>
        <w:t> </w:t>
      </w:r>
      <w:r>
        <w:rPr>
          <w:vertAlign w:val="baseline"/>
        </w:rPr>
        <w:t>mostrano</w:t>
      </w:r>
      <w:r>
        <w:rPr>
          <w:spacing w:val="-6"/>
          <w:vertAlign w:val="baseline"/>
        </w:rPr>
        <w:t> </w:t>
      </w:r>
      <w:r>
        <w:rPr>
          <w:vertAlign w:val="baseline"/>
        </w:rPr>
        <w:t>una</w:t>
      </w:r>
      <w:r>
        <w:rPr>
          <w:spacing w:val="-6"/>
          <w:vertAlign w:val="baseline"/>
        </w:rPr>
        <w:t> </w:t>
      </w:r>
      <w:r>
        <w:rPr>
          <w:vertAlign w:val="baseline"/>
        </w:rPr>
        <w:t>dinamica</w:t>
      </w:r>
      <w:r>
        <w:rPr>
          <w:spacing w:val="-6"/>
          <w:vertAlign w:val="baseline"/>
        </w:rPr>
        <w:t> </w:t>
      </w:r>
      <w:r>
        <w:rPr>
          <w:vertAlign w:val="baseline"/>
        </w:rPr>
        <w:t>moderata grazie alla componente residenziale, che beneficia di condizioni di accesso al credito più</w:t>
      </w:r>
      <w:r>
        <w:rPr>
          <w:spacing w:val="-2"/>
          <w:vertAlign w:val="baseline"/>
        </w:rPr>
        <w:t> </w:t>
      </w:r>
      <w:r>
        <w:rPr>
          <w:vertAlign w:val="baseline"/>
        </w:rPr>
        <w:t>favorevoli.</w:t>
      </w:r>
    </w:p>
    <w:p>
      <w:pPr>
        <w:pStyle w:val="BodyText"/>
        <w:ind w:left="732"/>
        <w:jc w:val="both"/>
      </w:pPr>
      <w:r>
        <w:rPr/>
        <w:t>Nel complesso, la domanda interna costituisce il principale motore</w:t>
      </w:r>
      <w:r>
        <w:rPr>
          <w:spacing w:val="52"/>
        </w:rPr>
        <w:t> </w:t>
      </w:r>
      <w:r>
        <w:rPr/>
        <w:t>della</w:t>
      </w:r>
    </w:p>
    <w:p>
      <w:pPr>
        <w:pStyle w:val="BodyText"/>
        <w:spacing w:before="13"/>
        <w:ind w:left="278"/>
        <w:jc w:val="both"/>
      </w:pPr>
      <w:r>
        <w:rPr/>
        <w:t>crescita nell’intero arco previsivo.</w:t>
      </w:r>
    </w:p>
    <w:p>
      <w:pPr>
        <w:pStyle w:val="BodyText"/>
        <w:spacing w:line="252" w:lineRule="auto" w:before="14"/>
        <w:ind w:left="278" w:right="2261" w:firstLine="453"/>
        <w:jc w:val="both"/>
      </w:pPr>
      <w:r>
        <w:rPr/>
        <w:t>Con riferimento al settore estero, nel 2019 e nel 2020 le esportazioni aumenterebbero in media a un tasso lievemente superiore a quello dei mercati esteri rilevanti per l’Italia, recuperando in parte il forte rallentamento del 2018, anno in cui ha pesato maggiormente l’incertezza generata dalle tensioni commerciali. Negli ultimi due anni di previsione la crescita è sostanzialmente analoga alla domanda estera. Le importazioni riporterebbero un profilo di crescita moderato in linea con la dinamica della domanda interna. Ci si attende quindi che le esportazioni nette forniscano un contributo positivo nel 2019 per 0,6 punti percentuali</w:t>
      </w:r>
      <w:r>
        <w:rPr>
          <w:spacing w:val="-11"/>
        </w:rPr>
        <w:t> </w:t>
      </w:r>
      <w:r>
        <w:rPr/>
        <w:t>e</w:t>
      </w:r>
      <w:r>
        <w:rPr>
          <w:spacing w:val="-10"/>
        </w:rPr>
        <w:t> </w:t>
      </w:r>
      <w:r>
        <w:rPr/>
        <w:t>nel</w:t>
      </w:r>
      <w:r>
        <w:rPr>
          <w:spacing w:val="-12"/>
        </w:rPr>
        <w:t> </w:t>
      </w:r>
      <w:r>
        <w:rPr/>
        <w:t>2020</w:t>
      </w:r>
      <w:r>
        <w:rPr>
          <w:spacing w:val="-10"/>
        </w:rPr>
        <w:t> </w:t>
      </w:r>
      <w:r>
        <w:rPr/>
        <w:t>per</w:t>
      </w:r>
      <w:r>
        <w:rPr>
          <w:spacing w:val="-10"/>
        </w:rPr>
        <w:t> </w:t>
      </w:r>
      <w:r>
        <w:rPr/>
        <w:t>0,1</w:t>
      </w:r>
      <w:r>
        <w:rPr>
          <w:spacing w:val="-13"/>
        </w:rPr>
        <w:t> </w:t>
      </w:r>
      <w:r>
        <w:rPr/>
        <w:t>punti</w:t>
      </w:r>
      <w:r>
        <w:rPr>
          <w:spacing w:val="-10"/>
        </w:rPr>
        <w:t> </w:t>
      </w:r>
      <w:r>
        <w:rPr/>
        <w:t>percentuali</w:t>
      </w:r>
      <w:r>
        <w:rPr>
          <w:spacing w:val="-10"/>
        </w:rPr>
        <w:t> </w:t>
      </w:r>
      <w:r>
        <w:rPr/>
        <w:t>per</w:t>
      </w:r>
      <w:r>
        <w:rPr>
          <w:spacing w:val="-9"/>
        </w:rPr>
        <w:t> </w:t>
      </w:r>
      <w:r>
        <w:rPr/>
        <w:t>poi</w:t>
      </w:r>
      <w:r>
        <w:rPr>
          <w:spacing w:val="-10"/>
        </w:rPr>
        <w:t> </w:t>
      </w:r>
      <w:r>
        <w:rPr/>
        <w:t>annullarsi</w:t>
      </w:r>
      <w:r>
        <w:rPr>
          <w:spacing w:val="-10"/>
        </w:rPr>
        <w:t> </w:t>
      </w:r>
      <w:r>
        <w:rPr/>
        <w:t>nel</w:t>
      </w:r>
      <w:r>
        <w:rPr>
          <w:spacing w:val="-11"/>
        </w:rPr>
        <w:t> </w:t>
      </w:r>
      <w:r>
        <w:rPr/>
        <w:t>biennio</w:t>
      </w:r>
      <w:r>
        <w:rPr>
          <w:spacing w:val="-11"/>
        </w:rPr>
        <w:t> </w:t>
      </w:r>
      <w:r>
        <w:rPr/>
        <w:t>2021- 2022. Il saldo delle partite correnti risulterebbe pari a 2,6 punti percentuali di PIL a fine</w:t>
      </w:r>
      <w:r>
        <w:rPr>
          <w:spacing w:val="-2"/>
        </w:rPr>
        <w:t> </w:t>
      </w:r>
      <w:r>
        <w:rPr/>
        <w:t>periodo.</w:t>
      </w:r>
    </w:p>
    <w:p>
      <w:pPr>
        <w:pStyle w:val="BodyText"/>
        <w:spacing w:line="252" w:lineRule="auto"/>
        <w:ind w:left="278" w:right="2259" w:firstLine="453"/>
        <w:jc w:val="right"/>
      </w:pPr>
      <w:r>
        <w:rPr/>
        <w:t>Nella seconda parte del 2019, la dinamica del mercato del lavoro</w:t>
      </w:r>
      <w:r>
        <w:rPr>
          <w:spacing w:val="-25"/>
        </w:rPr>
        <w:t> </w:t>
      </w:r>
      <w:r>
        <w:rPr/>
        <w:t>risente</w:t>
      </w:r>
      <w:r>
        <w:rPr>
          <w:spacing w:val="-1"/>
        </w:rPr>
        <w:t> </w:t>
      </w:r>
      <w:r>
        <w:rPr/>
        <w:t>degli</w:t>
      </w:r>
      <w:r>
        <w:rPr>
          <w:w w:val="100"/>
        </w:rPr>
        <w:t> </w:t>
      </w:r>
      <w:r>
        <w:rPr/>
        <w:t>effetti ritardati della debole fase ciclica e di quelli, ridimensionati,</w:t>
      </w:r>
      <w:r>
        <w:rPr>
          <w:spacing w:val="49"/>
        </w:rPr>
        <w:t> </w:t>
      </w:r>
      <w:r>
        <w:rPr/>
        <w:t>delle</w:t>
      </w:r>
      <w:r>
        <w:rPr>
          <w:spacing w:val="5"/>
        </w:rPr>
        <w:t> </w:t>
      </w:r>
      <w:r>
        <w:rPr/>
        <w:t>adesioni</w:t>
      </w:r>
      <w:r>
        <w:rPr>
          <w:spacing w:val="-1"/>
          <w:w w:val="100"/>
        </w:rPr>
        <w:t> </w:t>
      </w:r>
      <w:r>
        <w:rPr/>
        <w:t>al</w:t>
      </w:r>
      <w:r>
        <w:rPr>
          <w:spacing w:val="-8"/>
        </w:rPr>
        <w:t> </w:t>
      </w:r>
      <w:r>
        <w:rPr/>
        <w:t>Reddito</w:t>
      </w:r>
      <w:r>
        <w:rPr>
          <w:spacing w:val="-8"/>
        </w:rPr>
        <w:t> </w:t>
      </w:r>
      <w:r>
        <w:rPr/>
        <w:t>di</w:t>
      </w:r>
      <w:r>
        <w:rPr>
          <w:spacing w:val="-8"/>
        </w:rPr>
        <w:t> </w:t>
      </w:r>
      <w:r>
        <w:rPr/>
        <w:t>Cittadinanza</w:t>
      </w:r>
      <w:r>
        <w:rPr>
          <w:spacing w:val="-8"/>
        </w:rPr>
        <w:t> </w:t>
      </w:r>
      <w:r>
        <w:rPr/>
        <w:t>e</w:t>
      </w:r>
      <w:r>
        <w:rPr>
          <w:spacing w:val="-8"/>
        </w:rPr>
        <w:t> </w:t>
      </w:r>
      <w:r>
        <w:rPr/>
        <w:t>a</w:t>
      </w:r>
      <w:r>
        <w:rPr>
          <w:spacing w:val="-9"/>
        </w:rPr>
        <w:t> </w:t>
      </w:r>
      <w:r>
        <w:rPr/>
        <w:t>Quota</w:t>
      </w:r>
      <w:r>
        <w:rPr>
          <w:spacing w:val="-8"/>
        </w:rPr>
        <w:t> </w:t>
      </w:r>
      <w:r>
        <w:rPr/>
        <w:t>100.</w:t>
      </w:r>
      <w:r>
        <w:rPr>
          <w:spacing w:val="-10"/>
        </w:rPr>
        <w:t> </w:t>
      </w:r>
      <w:r>
        <w:rPr/>
        <w:t>In</w:t>
      </w:r>
      <w:r>
        <w:rPr>
          <w:spacing w:val="-8"/>
        </w:rPr>
        <w:t> </w:t>
      </w:r>
      <w:r>
        <w:rPr/>
        <w:t>media</w:t>
      </w:r>
      <w:r>
        <w:rPr>
          <w:spacing w:val="-7"/>
        </w:rPr>
        <w:t> </w:t>
      </w:r>
      <w:r>
        <w:rPr/>
        <w:t>d’anno,</w:t>
      </w:r>
      <w:r>
        <w:rPr>
          <w:spacing w:val="-7"/>
        </w:rPr>
        <w:t> </w:t>
      </w:r>
      <w:r>
        <w:rPr/>
        <w:t>il</w:t>
      </w:r>
      <w:r>
        <w:rPr>
          <w:spacing w:val="-11"/>
        </w:rPr>
        <w:t> </w:t>
      </w:r>
      <w:r>
        <w:rPr/>
        <w:t>numero</w:t>
      </w:r>
      <w:r>
        <w:rPr>
          <w:spacing w:val="-8"/>
        </w:rPr>
        <w:t> </w:t>
      </w:r>
      <w:r>
        <w:rPr/>
        <w:t>degli</w:t>
      </w:r>
      <w:r>
        <w:rPr>
          <w:spacing w:val="-8"/>
        </w:rPr>
        <w:t> </w:t>
      </w:r>
      <w:r>
        <w:rPr/>
        <w:t>occupati</w:t>
      </w:r>
      <w:r>
        <w:rPr>
          <w:w w:val="100"/>
        </w:rPr>
        <w:t> </w:t>
      </w:r>
      <w:r>
        <w:rPr/>
        <w:t>aumenta dello 0,5 per cento, accompagnato da una crescita</w:t>
      </w:r>
      <w:r>
        <w:rPr>
          <w:spacing w:val="-15"/>
        </w:rPr>
        <w:t> </w:t>
      </w:r>
      <w:r>
        <w:rPr/>
        <w:t>marginale</w:t>
      </w:r>
      <w:r>
        <w:rPr>
          <w:spacing w:val="-1"/>
        </w:rPr>
        <w:t> </w:t>
      </w:r>
      <w:r>
        <w:rPr/>
        <w:t>dell’offerta</w:t>
      </w:r>
      <w:r>
        <w:rPr>
          <w:w w:val="100"/>
        </w:rPr>
        <w:t> </w:t>
      </w:r>
      <w:r>
        <w:rPr/>
        <w:t>di lavoro; il tasso di disoccupazione si colloca al 10,1 per cento (10,6 nel</w:t>
      </w:r>
      <w:r>
        <w:rPr>
          <w:spacing w:val="3"/>
        </w:rPr>
        <w:t> </w:t>
      </w:r>
      <w:r>
        <w:rPr/>
        <w:t>2018).</w:t>
      </w:r>
      <w:r>
        <w:rPr>
          <w:spacing w:val="2"/>
        </w:rPr>
        <w:t> </w:t>
      </w:r>
      <w:r>
        <w:rPr/>
        <w:t>La</w:t>
      </w:r>
      <w:r>
        <w:rPr>
          <w:w w:val="100"/>
        </w:rPr>
        <w:t> </w:t>
      </w:r>
      <w:r>
        <w:rPr/>
        <w:t>riduzione</w:t>
      </w:r>
      <w:r>
        <w:rPr>
          <w:spacing w:val="36"/>
        </w:rPr>
        <w:t> </w:t>
      </w:r>
      <w:r>
        <w:rPr/>
        <w:t>del</w:t>
      </w:r>
      <w:r>
        <w:rPr>
          <w:spacing w:val="38"/>
        </w:rPr>
        <w:t> </w:t>
      </w:r>
      <w:r>
        <w:rPr/>
        <w:t>tasso</w:t>
      </w:r>
      <w:r>
        <w:rPr>
          <w:spacing w:val="36"/>
        </w:rPr>
        <w:t> </w:t>
      </w:r>
      <w:r>
        <w:rPr/>
        <w:t>di</w:t>
      </w:r>
      <w:r>
        <w:rPr>
          <w:spacing w:val="37"/>
        </w:rPr>
        <w:t> </w:t>
      </w:r>
      <w:r>
        <w:rPr/>
        <w:t>disoccupazione</w:t>
      </w:r>
      <w:r>
        <w:rPr>
          <w:spacing w:val="36"/>
        </w:rPr>
        <w:t> </w:t>
      </w:r>
      <w:r>
        <w:rPr/>
        <w:t>rispetto</w:t>
      </w:r>
      <w:r>
        <w:rPr>
          <w:spacing w:val="37"/>
        </w:rPr>
        <w:t> </w:t>
      </w:r>
      <w:r>
        <w:rPr/>
        <w:t>al</w:t>
      </w:r>
      <w:r>
        <w:rPr>
          <w:spacing w:val="38"/>
        </w:rPr>
        <w:t> </w:t>
      </w:r>
      <w:r>
        <w:rPr/>
        <w:t>2018</w:t>
      </w:r>
      <w:r>
        <w:rPr>
          <w:spacing w:val="36"/>
        </w:rPr>
        <w:t> </w:t>
      </w:r>
      <w:r>
        <w:rPr/>
        <w:t>riflette</w:t>
      </w:r>
      <w:r>
        <w:rPr>
          <w:spacing w:val="37"/>
        </w:rPr>
        <w:t> </w:t>
      </w:r>
      <w:r>
        <w:rPr/>
        <w:t>principalmente</w:t>
      </w:r>
      <w:r>
        <w:rPr>
          <w:spacing w:val="36"/>
        </w:rPr>
        <w:t> </w:t>
      </w:r>
      <w:r>
        <w:rPr/>
        <w:t>il</w:t>
      </w:r>
      <w:r>
        <w:rPr>
          <w:spacing w:val="-1"/>
          <w:w w:val="100"/>
        </w:rPr>
        <w:t> </w:t>
      </w:r>
      <w:r>
        <w:rPr/>
        <w:t>miglioramento del mercato del lavoro riscontrato nei primi sette mesi</w:t>
      </w:r>
      <w:r>
        <w:rPr>
          <w:spacing w:val="19"/>
        </w:rPr>
        <w:t> </w:t>
      </w:r>
      <w:r>
        <w:rPr/>
        <w:t>dell’anno</w:t>
      </w:r>
      <w:r>
        <w:rPr>
          <w:spacing w:val="1"/>
        </w:rPr>
        <w:t> </w:t>
      </w:r>
      <w:r>
        <w:rPr/>
        <w:t>in</w:t>
      </w:r>
      <w:r>
        <w:rPr>
          <w:spacing w:val="-1"/>
          <w:w w:val="100"/>
        </w:rPr>
        <w:t> </w:t>
      </w:r>
      <w:r>
        <w:rPr/>
        <w:t>corso. Inoltre dai dati dell’indagine sulle forze di lavoro non</w:t>
      </w:r>
      <w:r>
        <w:rPr>
          <w:spacing w:val="36"/>
        </w:rPr>
        <w:t> </w:t>
      </w:r>
      <w:r>
        <w:rPr/>
        <w:t>emerge</w:t>
      </w:r>
      <w:r>
        <w:rPr>
          <w:spacing w:val="64"/>
        </w:rPr>
        <w:t> </w:t>
      </w:r>
      <w:r>
        <w:rPr/>
        <w:t>ancora</w:t>
      </w:r>
      <w:r>
        <w:rPr>
          <w:spacing w:val="-1"/>
          <w:w w:val="100"/>
        </w:rPr>
        <w:t> </w:t>
      </w:r>
      <w:r>
        <w:rPr/>
        <w:t>pienamente l’incremento del tasso di partecipazione che sarebbe</w:t>
      </w:r>
      <w:r>
        <w:rPr>
          <w:spacing w:val="14"/>
        </w:rPr>
        <w:t> </w:t>
      </w:r>
      <w:r>
        <w:rPr/>
        <w:t>dovuto</w:t>
      </w:r>
      <w:r>
        <w:rPr>
          <w:spacing w:val="3"/>
        </w:rPr>
        <w:t> </w:t>
      </w:r>
      <w:r>
        <w:rPr/>
        <w:t>scaturire</w:t>
      </w:r>
      <w:r>
        <w:rPr>
          <w:spacing w:val="-1"/>
          <w:w w:val="100"/>
        </w:rPr>
        <w:t> </w:t>
      </w:r>
      <w:r>
        <w:rPr/>
        <w:t>dall’adesione</w:t>
      </w:r>
      <w:r>
        <w:rPr>
          <w:spacing w:val="-11"/>
        </w:rPr>
        <w:t> </w:t>
      </w:r>
      <w:r>
        <w:rPr/>
        <w:t>al</w:t>
      </w:r>
      <w:r>
        <w:rPr>
          <w:spacing w:val="-11"/>
        </w:rPr>
        <w:t> </w:t>
      </w:r>
      <w:r>
        <w:rPr/>
        <w:t>reddito</w:t>
      </w:r>
      <w:r>
        <w:rPr>
          <w:spacing w:val="-8"/>
        </w:rPr>
        <w:t> </w:t>
      </w:r>
      <w:r>
        <w:rPr/>
        <w:t>di</w:t>
      </w:r>
      <w:r>
        <w:rPr>
          <w:spacing w:val="-11"/>
        </w:rPr>
        <w:t> </w:t>
      </w:r>
      <w:r>
        <w:rPr/>
        <w:t>cittadinanza</w:t>
      </w:r>
      <w:r>
        <w:rPr>
          <w:spacing w:val="-11"/>
        </w:rPr>
        <w:t> </w:t>
      </w:r>
      <w:r>
        <w:rPr/>
        <w:t>(RdC)</w:t>
      </w:r>
      <w:r>
        <w:rPr>
          <w:spacing w:val="-10"/>
        </w:rPr>
        <w:t> </w:t>
      </w:r>
      <w:r>
        <w:rPr/>
        <w:t>e</w:t>
      </w:r>
      <w:r>
        <w:rPr>
          <w:spacing w:val="-10"/>
        </w:rPr>
        <w:t> </w:t>
      </w:r>
      <w:r>
        <w:rPr/>
        <w:t>dal</w:t>
      </w:r>
      <w:r>
        <w:rPr>
          <w:spacing w:val="-10"/>
        </w:rPr>
        <w:t> </w:t>
      </w:r>
      <w:r>
        <w:rPr/>
        <w:t>conseguente</w:t>
      </w:r>
      <w:r>
        <w:rPr>
          <w:spacing w:val="-10"/>
        </w:rPr>
        <w:t> </w:t>
      </w:r>
      <w:r>
        <w:rPr/>
        <w:t>patto</w:t>
      </w:r>
      <w:r>
        <w:rPr>
          <w:spacing w:val="-11"/>
        </w:rPr>
        <w:t> </w:t>
      </w:r>
      <w:r>
        <w:rPr/>
        <w:t>per</w:t>
      </w:r>
      <w:r>
        <w:rPr>
          <w:spacing w:val="-7"/>
        </w:rPr>
        <w:t> </w:t>
      </w:r>
      <w:r>
        <w:rPr/>
        <w:t>il</w:t>
      </w:r>
      <w:r>
        <w:rPr>
          <w:spacing w:val="-11"/>
        </w:rPr>
        <w:t> </w:t>
      </w:r>
      <w:r>
        <w:rPr/>
        <w:t>lavoro.</w:t>
      </w:r>
      <w:r>
        <w:rPr>
          <w:w w:val="100"/>
        </w:rPr>
        <w:t> </w:t>
      </w:r>
      <w:r>
        <w:rPr/>
        <w:t>È</w:t>
      </w:r>
      <w:r>
        <w:rPr>
          <w:spacing w:val="28"/>
        </w:rPr>
        <w:t> </w:t>
      </w:r>
      <w:r>
        <w:rPr/>
        <w:t>ragionevole</w:t>
      </w:r>
      <w:r>
        <w:rPr>
          <w:spacing w:val="29"/>
        </w:rPr>
        <w:t> </w:t>
      </w:r>
      <w:r>
        <w:rPr/>
        <w:t>ipotizzare</w:t>
      </w:r>
      <w:r>
        <w:rPr>
          <w:spacing w:val="29"/>
        </w:rPr>
        <w:t> </w:t>
      </w:r>
      <w:r>
        <w:rPr/>
        <w:t>che</w:t>
      </w:r>
      <w:r>
        <w:rPr>
          <w:spacing w:val="29"/>
        </w:rPr>
        <w:t> </w:t>
      </w:r>
      <w:r>
        <w:rPr/>
        <w:t>l’attuazione</w:t>
      </w:r>
      <w:r>
        <w:rPr>
          <w:spacing w:val="28"/>
        </w:rPr>
        <w:t> </w:t>
      </w:r>
      <w:r>
        <w:rPr/>
        <w:t>completa</w:t>
      </w:r>
      <w:r>
        <w:rPr>
          <w:spacing w:val="29"/>
        </w:rPr>
        <w:t> </w:t>
      </w:r>
      <w:r>
        <w:rPr/>
        <w:t>del</w:t>
      </w:r>
      <w:r>
        <w:rPr>
          <w:spacing w:val="31"/>
        </w:rPr>
        <w:t> </w:t>
      </w:r>
      <w:r>
        <w:rPr/>
        <w:t>RdC</w:t>
      </w:r>
      <w:r>
        <w:rPr>
          <w:spacing w:val="28"/>
        </w:rPr>
        <w:t> </w:t>
      </w:r>
      <w:r>
        <w:rPr/>
        <w:t>avvenga</w:t>
      </w:r>
      <w:r>
        <w:rPr>
          <w:spacing w:val="29"/>
        </w:rPr>
        <w:t> </w:t>
      </w:r>
      <w:r>
        <w:rPr/>
        <w:t>con</w:t>
      </w:r>
      <w:r>
        <w:rPr>
          <w:spacing w:val="28"/>
        </w:rPr>
        <w:t> </w:t>
      </w:r>
      <w:r>
        <w:rPr/>
        <w:t>un</w:t>
      </w:r>
      <w:r>
        <w:rPr>
          <w:spacing w:val="-1"/>
          <w:w w:val="100"/>
        </w:rPr>
        <w:t> </w:t>
      </w:r>
      <w:r>
        <w:rPr/>
        <w:t>certo ritardo rispetto alla previsione iniziale. Conseguentemente</w:t>
      </w:r>
      <w:r>
        <w:rPr>
          <w:spacing w:val="44"/>
        </w:rPr>
        <w:t> </w:t>
      </w:r>
      <w:r>
        <w:rPr/>
        <w:t>l’incremento</w:t>
      </w:r>
      <w:r>
        <w:rPr>
          <w:spacing w:val="6"/>
        </w:rPr>
        <w:t> </w:t>
      </w:r>
      <w:r>
        <w:rPr/>
        <w:t>del</w:t>
      </w:r>
      <w:r>
        <w:rPr>
          <w:w w:val="100"/>
        </w:rPr>
        <w:t> </w:t>
      </w:r>
      <w:r>
        <w:rPr/>
        <w:t>tasso di partecipazione che nel DEF era stato attribuito</w:t>
      </w:r>
      <w:r>
        <w:rPr>
          <w:spacing w:val="38"/>
        </w:rPr>
        <w:t> </w:t>
      </w:r>
      <w:r>
        <w:rPr/>
        <w:t>principalmente al</w:t>
      </w:r>
      <w:r>
        <w:rPr>
          <w:spacing w:val="24"/>
        </w:rPr>
        <w:t> </w:t>
      </w:r>
      <w:r>
        <w:rPr/>
        <w:t>primo</w:t>
      </w:r>
      <w:r>
        <w:rPr>
          <w:w w:val="100"/>
        </w:rPr>
        <w:t> </w:t>
      </w:r>
      <w:r>
        <w:rPr/>
        <w:t>anno</w:t>
      </w:r>
      <w:r>
        <w:rPr>
          <w:spacing w:val="-5"/>
        </w:rPr>
        <w:t> </w:t>
      </w:r>
      <w:r>
        <w:rPr/>
        <w:t>di</w:t>
      </w:r>
      <w:r>
        <w:rPr>
          <w:spacing w:val="-5"/>
        </w:rPr>
        <w:t> </w:t>
      </w:r>
      <w:r>
        <w:rPr/>
        <w:t>entrata</w:t>
      </w:r>
      <w:r>
        <w:rPr>
          <w:spacing w:val="-2"/>
        </w:rPr>
        <w:t> </w:t>
      </w:r>
      <w:r>
        <w:rPr/>
        <w:t>in</w:t>
      </w:r>
      <w:r>
        <w:rPr>
          <w:spacing w:val="-5"/>
        </w:rPr>
        <w:t> </w:t>
      </w:r>
      <w:r>
        <w:rPr/>
        <w:t>vigore</w:t>
      </w:r>
      <w:r>
        <w:rPr>
          <w:spacing w:val="-1"/>
        </w:rPr>
        <w:t> </w:t>
      </w:r>
      <w:r>
        <w:rPr/>
        <w:t>del</w:t>
      </w:r>
      <w:r>
        <w:rPr>
          <w:spacing w:val="-4"/>
        </w:rPr>
        <w:t> </w:t>
      </w:r>
      <w:r>
        <w:rPr/>
        <w:t>provvedimento,</w:t>
      </w:r>
      <w:r>
        <w:rPr>
          <w:spacing w:val="-3"/>
        </w:rPr>
        <w:t> </w:t>
      </w:r>
      <w:r>
        <w:rPr/>
        <w:t>è</w:t>
      </w:r>
      <w:r>
        <w:rPr>
          <w:spacing w:val="-3"/>
        </w:rPr>
        <w:t> </w:t>
      </w:r>
      <w:r>
        <w:rPr/>
        <w:t>stato</w:t>
      </w:r>
      <w:r>
        <w:rPr>
          <w:spacing w:val="-5"/>
        </w:rPr>
        <w:t> </w:t>
      </w:r>
      <w:r>
        <w:rPr/>
        <w:t>ora</w:t>
      </w:r>
      <w:r>
        <w:rPr>
          <w:spacing w:val="-3"/>
        </w:rPr>
        <w:t> </w:t>
      </w:r>
      <w:r>
        <w:rPr/>
        <w:t>traslato</w:t>
      </w:r>
      <w:r>
        <w:rPr>
          <w:spacing w:val="-5"/>
        </w:rPr>
        <w:t> </w:t>
      </w:r>
      <w:r>
        <w:rPr/>
        <w:t>in</w:t>
      </w:r>
      <w:r>
        <w:rPr>
          <w:spacing w:val="-5"/>
        </w:rPr>
        <w:t> </w:t>
      </w:r>
      <w:r>
        <w:rPr/>
        <w:t>parte</w:t>
      </w:r>
      <w:r>
        <w:rPr>
          <w:spacing w:val="-2"/>
        </w:rPr>
        <w:t> </w:t>
      </w:r>
      <w:r>
        <w:rPr/>
        <w:t>anche</w:t>
      </w:r>
      <w:r>
        <w:rPr>
          <w:spacing w:val="-4"/>
        </w:rPr>
        <w:t> </w:t>
      </w:r>
      <w:r>
        <w:rPr/>
        <w:t>sul</w:t>
      </w:r>
      <w:r>
        <w:rPr>
          <w:w w:val="100"/>
        </w:rPr>
        <w:t> </w:t>
      </w:r>
      <w:r>
        <w:rPr/>
        <w:t>2020,</w:t>
      </w:r>
      <w:r>
        <w:rPr>
          <w:spacing w:val="13"/>
        </w:rPr>
        <w:t> </w:t>
      </w:r>
      <w:r>
        <w:rPr/>
        <w:t>attraverso</w:t>
      </w:r>
      <w:r>
        <w:rPr>
          <w:spacing w:val="12"/>
        </w:rPr>
        <w:t> </w:t>
      </w:r>
      <w:r>
        <w:rPr/>
        <w:t>un</w:t>
      </w:r>
      <w:r>
        <w:rPr>
          <w:spacing w:val="12"/>
        </w:rPr>
        <w:t> </w:t>
      </w:r>
      <w:r>
        <w:rPr/>
        <w:t>moderato</w:t>
      </w:r>
      <w:r>
        <w:rPr>
          <w:spacing w:val="12"/>
        </w:rPr>
        <w:t> </w:t>
      </w:r>
      <w:r>
        <w:rPr/>
        <w:t>incremento</w:t>
      </w:r>
      <w:r>
        <w:rPr>
          <w:spacing w:val="12"/>
        </w:rPr>
        <w:t> </w:t>
      </w:r>
      <w:r>
        <w:rPr/>
        <w:t>del</w:t>
      </w:r>
      <w:r>
        <w:rPr>
          <w:spacing w:val="12"/>
        </w:rPr>
        <w:t> </w:t>
      </w:r>
      <w:r>
        <w:rPr/>
        <w:t>tasso</w:t>
      </w:r>
      <w:r>
        <w:rPr>
          <w:spacing w:val="13"/>
        </w:rPr>
        <w:t> </w:t>
      </w:r>
      <w:r>
        <w:rPr/>
        <w:t>di</w:t>
      </w:r>
      <w:r>
        <w:rPr>
          <w:spacing w:val="12"/>
        </w:rPr>
        <w:t> </w:t>
      </w:r>
      <w:r>
        <w:rPr/>
        <w:t>crescita</w:t>
      </w:r>
      <w:r>
        <w:rPr>
          <w:spacing w:val="12"/>
        </w:rPr>
        <w:t> </w:t>
      </w:r>
      <w:r>
        <w:rPr/>
        <w:t>delle</w:t>
      </w:r>
      <w:r>
        <w:rPr>
          <w:spacing w:val="12"/>
        </w:rPr>
        <w:t> </w:t>
      </w:r>
      <w:r>
        <w:rPr/>
        <w:t>forze</w:t>
      </w:r>
      <w:r>
        <w:rPr>
          <w:spacing w:val="12"/>
        </w:rPr>
        <w:t> </w:t>
      </w:r>
      <w:r>
        <w:rPr/>
        <w:t>lavoro.</w:t>
      </w:r>
      <w:r>
        <w:rPr>
          <w:w w:val="100"/>
        </w:rPr>
        <w:t> </w:t>
      </w:r>
      <w:r>
        <w:rPr/>
        <w:t>La</w:t>
      </w:r>
      <w:r>
        <w:rPr>
          <w:spacing w:val="-16"/>
        </w:rPr>
        <w:t> </w:t>
      </w:r>
      <w:r>
        <w:rPr/>
        <w:t>rimodulazione,</w:t>
      </w:r>
      <w:r>
        <w:rPr>
          <w:spacing w:val="-16"/>
        </w:rPr>
        <w:t> </w:t>
      </w:r>
      <w:r>
        <w:rPr/>
        <w:t>unitamente</w:t>
      </w:r>
      <w:r>
        <w:rPr>
          <w:spacing w:val="-15"/>
        </w:rPr>
        <w:t> </w:t>
      </w:r>
      <w:r>
        <w:rPr/>
        <w:t>alla</w:t>
      </w:r>
      <w:r>
        <w:rPr>
          <w:spacing w:val="-15"/>
        </w:rPr>
        <w:t> </w:t>
      </w:r>
      <w:r>
        <w:rPr/>
        <w:t>debole</w:t>
      </w:r>
      <w:r>
        <w:rPr>
          <w:spacing w:val="-15"/>
        </w:rPr>
        <w:t> </w:t>
      </w:r>
      <w:r>
        <w:rPr/>
        <w:t>dinamica</w:t>
      </w:r>
      <w:r>
        <w:rPr>
          <w:spacing w:val="-15"/>
        </w:rPr>
        <w:t> </w:t>
      </w:r>
      <w:r>
        <w:rPr/>
        <w:t>dell’occupazione,</w:t>
      </w:r>
      <w:r>
        <w:rPr>
          <w:spacing w:val="-16"/>
        </w:rPr>
        <w:t> </w:t>
      </w:r>
      <w:r>
        <w:rPr/>
        <w:t>determina</w:t>
      </w:r>
      <w:r>
        <w:rPr>
          <w:spacing w:val="-15"/>
        </w:rPr>
        <w:t> </w:t>
      </w:r>
      <w:r>
        <w:rPr/>
        <w:t>un</w:t>
      </w:r>
      <w:r>
        <w:rPr>
          <w:spacing w:val="-1"/>
          <w:w w:val="100"/>
        </w:rPr>
        <w:t> </w:t>
      </w:r>
      <w:r>
        <w:rPr/>
        <w:t>tasso</w:t>
      </w:r>
      <w:r>
        <w:rPr>
          <w:spacing w:val="-11"/>
        </w:rPr>
        <w:t> </w:t>
      </w:r>
      <w:r>
        <w:rPr/>
        <w:t>di</w:t>
      </w:r>
      <w:r>
        <w:rPr>
          <w:spacing w:val="-11"/>
        </w:rPr>
        <w:t> </w:t>
      </w:r>
      <w:r>
        <w:rPr/>
        <w:t>disoccupazione</w:t>
      </w:r>
      <w:r>
        <w:rPr>
          <w:spacing w:val="-11"/>
        </w:rPr>
        <w:t> </w:t>
      </w:r>
      <w:r>
        <w:rPr/>
        <w:t>che</w:t>
      </w:r>
      <w:r>
        <w:rPr>
          <w:spacing w:val="-10"/>
        </w:rPr>
        <w:t> </w:t>
      </w:r>
      <w:r>
        <w:rPr/>
        <w:t>aumenta</w:t>
      </w:r>
      <w:r>
        <w:rPr>
          <w:spacing w:val="-10"/>
        </w:rPr>
        <w:t> </w:t>
      </w:r>
      <w:r>
        <w:rPr/>
        <w:t>al</w:t>
      </w:r>
      <w:r>
        <w:rPr>
          <w:spacing w:val="-10"/>
        </w:rPr>
        <w:t> </w:t>
      </w:r>
      <w:r>
        <w:rPr/>
        <w:t>10,2</w:t>
      </w:r>
      <w:r>
        <w:rPr>
          <w:spacing w:val="-9"/>
        </w:rPr>
        <w:t> </w:t>
      </w:r>
      <w:r>
        <w:rPr/>
        <w:t>per</w:t>
      </w:r>
      <w:r>
        <w:rPr>
          <w:spacing w:val="-9"/>
        </w:rPr>
        <w:t> </w:t>
      </w:r>
      <w:r>
        <w:rPr/>
        <w:t>cento</w:t>
      </w:r>
      <w:r>
        <w:rPr>
          <w:spacing w:val="-11"/>
        </w:rPr>
        <w:t> </w:t>
      </w:r>
      <w:r>
        <w:rPr/>
        <w:t>per</w:t>
      </w:r>
      <w:r>
        <w:rPr>
          <w:spacing w:val="-9"/>
        </w:rPr>
        <w:t> </w:t>
      </w:r>
      <w:r>
        <w:rPr/>
        <w:t>poi</w:t>
      </w:r>
      <w:r>
        <w:rPr>
          <w:spacing w:val="-9"/>
        </w:rPr>
        <w:t> </w:t>
      </w:r>
      <w:r>
        <w:rPr/>
        <w:t>ridursi</w:t>
      </w:r>
      <w:r>
        <w:rPr>
          <w:spacing w:val="-10"/>
        </w:rPr>
        <w:t> </w:t>
      </w:r>
      <w:r>
        <w:rPr/>
        <w:t>gradualmente</w:t>
      </w:r>
    </w:p>
    <w:p>
      <w:pPr>
        <w:pStyle w:val="BodyText"/>
        <w:ind w:left="278"/>
        <w:jc w:val="both"/>
      </w:pPr>
      <w:r>
        <w:rPr/>
        <w:t>al 9,5 per cento nel 2022.</w:t>
      </w:r>
    </w:p>
    <w:p>
      <w:pPr>
        <w:pStyle w:val="BodyText"/>
        <w:spacing w:line="252" w:lineRule="auto" w:before="13"/>
        <w:ind w:left="278" w:right="2262" w:firstLine="453"/>
        <w:jc w:val="both"/>
      </w:pPr>
      <w:r>
        <w:rPr/>
        <w:t>Nel</w:t>
      </w:r>
      <w:r>
        <w:rPr>
          <w:spacing w:val="-11"/>
        </w:rPr>
        <w:t> </w:t>
      </w:r>
      <w:r>
        <w:rPr/>
        <w:t>2020</w:t>
      </w:r>
      <w:r>
        <w:rPr>
          <w:spacing w:val="-11"/>
        </w:rPr>
        <w:t> </w:t>
      </w:r>
      <w:r>
        <w:rPr/>
        <w:t>prosegue</w:t>
      </w:r>
      <w:r>
        <w:rPr>
          <w:spacing w:val="-11"/>
        </w:rPr>
        <w:t> </w:t>
      </w:r>
      <w:r>
        <w:rPr/>
        <w:t>l’aumento</w:t>
      </w:r>
      <w:r>
        <w:rPr>
          <w:spacing w:val="-11"/>
        </w:rPr>
        <w:t> </w:t>
      </w:r>
      <w:r>
        <w:rPr/>
        <w:t>delle</w:t>
      </w:r>
      <w:r>
        <w:rPr>
          <w:spacing w:val="-10"/>
        </w:rPr>
        <w:t> </w:t>
      </w:r>
      <w:r>
        <w:rPr/>
        <w:t>ore</w:t>
      </w:r>
      <w:r>
        <w:rPr>
          <w:spacing w:val="-9"/>
        </w:rPr>
        <w:t> </w:t>
      </w:r>
      <w:r>
        <w:rPr/>
        <w:t>lavorate</w:t>
      </w:r>
      <w:r>
        <w:rPr>
          <w:spacing w:val="-10"/>
        </w:rPr>
        <w:t> </w:t>
      </w:r>
      <w:r>
        <w:rPr/>
        <w:t>per</w:t>
      </w:r>
      <w:r>
        <w:rPr>
          <w:spacing w:val="-10"/>
        </w:rPr>
        <w:t> </w:t>
      </w:r>
      <w:r>
        <w:rPr/>
        <w:t>occupato</w:t>
      </w:r>
      <w:r>
        <w:rPr>
          <w:spacing w:val="-11"/>
        </w:rPr>
        <w:t> </w:t>
      </w:r>
      <w:r>
        <w:rPr/>
        <w:t>poiché</w:t>
      </w:r>
      <w:r>
        <w:rPr>
          <w:spacing w:val="-10"/>
        </w:rPr>
        <w:t> </w:t>
      </w:r>
      <w:r>
        <w:rPr/>
        <w:t>si</w:t>
      </w:r>
      <w:r>
        <w:rPr>
          <w:spacing w:val="-13"/>
        </w:rPr>
        <w:t> </w:t>
      </w:r>
      <w:r>
        <w:rPr/>
        <w:t>ipotizza solo</w:t>
      </w:r>
      <w:r>
        <w:rPr>
          <w:spacing w:val="-11"/>
        </w:rPr>
        <w:t> </w:t>
      </w:r>
      <w:r>
        <w:rPr/>
        <w:t>una</w:t>
      </w:r>
      <w:r>
        <w:rPr>
          <w:spacing w:val="-9"/>
        </w:rPr>
        <w:t> </w:t>
      </w:r>
      <w:r>
        <w:rPr/>
        <w:t>parziale</w:t>
      </w:r>
      <w:r>
        <w:rPr>
          <w:spacing w:val="-9"/>
        </w:rPr>
        <w:t> </w:t>
      </w:r>
      <w:r>
        <w:rPr/>
        <w:t>sostituzione</w:t>
      </w:r>
      <w:r>
        <w:rPr>
          <w:spacing w:val="-10"/>
        </w:rPr>
        <w:t> </w:t>
      </w:r>
      <w:r>
        <w:rPr/>
        <w:t>degli</w:t>
      </w:r>
      <w:r>
        <w:rPr>
          <w:spacing w:val="-9"/>
        </w:rPr>
        <w:t> </w:t>
      </w:r>
      <w:r>
        <w:rPr/>
        <w:t>aderenti</w:t>
      </w:r>
      <w:r>
        <w:rPr>
          <w:spacing w:val="-9"/>
        </w:rPr>
        <w:t> </w:t>
      </w:r>
      <w:r>
        <w:rPr/>
        <w:t>a</w:t>
      </w:r>
      <w:r>
        <w:rPr>
          <w:spacing w:val="-10"/>
        </w:rPr>
        <w:t> </w:t>
      </w:r>
      <w:r>
        <w:rPr/>
        <w:t>quota</w:t>
      </w:r>
      <w:r>
        <w:rPr>
          <w:spacing w:val="-9"/>
        </w:rPr>
        <w:t> </w:t>
      </w:r>
      <w:r>
        <w:rPr/>
        <w:t>100</w:t>
      </w:r>
      <w:r>
        <w:rPr>
          <w:spacing w:val="-9"/>
        </w:rPr>
        <w:t> </w:t>
      </w:r>
      <w:r>
        <w:rPr/>
        <w:t>adottando</w:t>
      </w:r>
      <w:r>
        <w:rPr>
          <w:spacing w:val="-10"/>
        </w:rPr>
        <w:t> </w:t>
      </w:r>
      <w:r>
        <w:rPr/>
        <w:t>le</w:t>
      </w:r>
      <w:r>
        <w:rPr>
          <w:spacing w:val="-9"/>
        </w:rPr>
        <w:t> </w:t>
      </w:r>
      <w:r>
        <w:rPr/>
        <w:t>stesse</w:t>
      </w:r>
      <w:r>
        <w:rPr>
          <w:spacing w:val="-10"/>
        </w:rPr>
        <w:t> </w:t>
      </w:r>
      <w:r>
        <w:rPr/>
        <w:t>ipotesi metodologiche già adottate nel DEF. La dinamica dei salari pro-capite rallenta nel 2019</w:t>
      </w:r>
      <w:r>
        <w:rPr>
          <w:spacing w:val="-10"/>
        </w:rPr>
        <w:t> </w:t>
      </w:r>
      <w:r>
        <w:rPr/>
        <w:t>rispetto</w:t>
      </w:r>
      <w:r>
        <w:rPr>
          <w:spacing w:val="-10"/>
        </w:rPr>
        <w:t> </w:t>
      </w:r>
      <w:r>
        <w:rPr/>
        <w:t>al</w:t>
      </w:r>
      <w:r>
        <w:rPr>
          <w:spacing w:val="-9"/>
        </w:rPr>
        <w:t> </w:t>
      </w:r>
      <w:r>
        <w:rPr/>
        <w:t>2018</w:t>
      </w:r>
      <w:r>
        <w:rPr>
          <w:spacing w:val="-10"/>
        </w:rPr>
        <w:t> </w:t>
      </w:r>
      <w:r>
        <w:rPr/>
        <w:t>e</w:t>
      </w:r>
      <w:r>
        <w:rPr>
          <w:spacing w:val="-12"/>
        </w:rPr>
        <w:t> </w:t>
      </w:r>
      <w:r>
        <w:rPr/>
        <w:t>resta</w:t>
      </w:r>
      <w:r>
        <w:rPr>
          <w:spacing w:val="-9"/>
        </w:rPr>
        <w:t> </w:t>
      </w:r>
      <w:r>
        <w:rPr/>
        <w:t>modesta</w:t>
      </w:r>
      <w:r>
        <w:rPr>
          <w:spacing w:val="-9"/>
        </w:rPr>
        <w:t> </w:t>
      </w:r>
      <w:r>
        <w:rPr/>
        <w:t>nel</w:t>
      </w:r>
      <w:r>
        <w:rPr>
          <w:spacing w:val="-9"/>
        </w:rPr>
        <w:t> </w:t>
      </w:r>
      <w:r>
        <w:rPr/>
        <w:t>triennio</w:t>
      </w:r>
      <w:r>
        <w:rPr>
          <w:spacing w:val="-10"/>
        </w:rPr>
        <w:t> </w:t>
      </w:r>
      <w:r>
        <w:rPr/>
        <w:t>successivo.</w:t>
      </w:r>
      <w:r>
        <w:rPr>
          <w:spacing w:val="-11"/>
        </w:rPr>
        <w:t> </w:t>
      </w:r>
      <w:r>
        <w:rPr/>
        <w:t>Il</w:t>
      </w:r>
      <w:r>
        <w:rPr>
          <w:spacing w:val="-10"/>
        </w:rPr>
        <w:t> </w:t>
      </w:r>
      <w:r>
        <w:rPr/>
        <w:t>tasso</w:t>
      </w:r>
      <w:r>
        <w:rPr>
          <w:spacing w:val="-10"/>
        </w:rPr>
        <w:t> </w:t>
      </w:r>
      <w:r>
        <w:rPr/>
        <w:t>di</w:t>
      </w:r>
      <w:r>
        <w:rPr>
          <w:spacing w:val="-12"/>
        </w:rPr>
        <w:t> </w:t>
      </w:r>
      <w:r>
        <w:rPr/>
        <w:t>crescita</w:t>
      </w:r>
      <w:r>
        <w:rPr>
          <w:spacing w:val="-9"/>
        </w:rPr>
        <w:t> </w:t>
      </w:r>
      <w:r>
        <w:rPr/>
        <w:t>del costo</w:t>
      </w:r>
      <w:r>
        <w:rPr>
          <w:spacing w:val="28"/>
        </w:rPr>
        <w:t> </w:t>
      </w:r>
      <w:r>
        <w:rPr/>
        <w:t>del</w:t>
      </w:r>
      <w:r>
        <w:rPr>
          <w:spacing w:val="29"/>
        </w:rPr>
        <w:t> </w:t>
      </w:r>
      <w:r>
        <w:rPr/>
        <w:t>lavoro</w:t>
      </w:r>
      <w:r>
        <w:rPr>
          <w:spacing w:val="29"/>
        </w:rPr>
        <w:t> </w:t>
      </w:r>
      <w:r>
        <w:rPr/>
        <w:t>per</w:t>
      </w:r>
      <w:r>
        <w:rPr>
          <w:spacing w:val="30"/>
        </w:rPr>
        <w:t> </w:t>
      </w:r>
      <w:r>
        <w:rPr/>
        <w:t>unità</w:t>
      </w:r>
      <w:r>
        <w:rPr>
          <w:spacing w:val="29"/>
        </w:rPr>
        <w:t> </w:t>
      </w:r>
      <w:r>
        <w:rPr/>
        <w:t>di</w:t>
      </w:r>
      <w:r>
        <w:rPr>
          <w:spacing w:val="27"/>
        </w:rPr>
        <w:t> </w:t>
      </w:r>
      <w:r>
        <w:rPr/>
        <w:t>prodotto,</w:t>
      </w:r>
      <w:r>
        <w:rPr>
          <w:spacing w:val="30"/>
        </w:rPr>
        <w:t> </w:t>
      </w:r>
      <w:r>
        <w:rPr/>
        <w:t>risentendo</w:t>
      </w:r>
      <w:r>
        <w:rPr>
          <w:spacing w:val="29"/>
        </w:rPr>
        <w:t> </w:t>
      </w:r>
      <w:r>
        <w:rPr/>
        <w:t>della</w:t>
      </w:r>
      <w:r>
        <w:rPr>
          <w:spacing w:val="29"/>
        </w:rPr>
        <w:t> </w:t>
      </w:r>
      <w:r>
        <w:rPr/>
        <w:t>moderata</w:t>
      </w:r>
      <w:r>
        <w:rPr>
          <w:spacing w:val="29"/>
        </w:rPr>
        <w:t> </w:t>
      </w:r>
      <w:r>
        <w:rPr/>
        <w:t>crescita</w:t>
      </w:r>
      <w:r>
        <w:rPr>
          <w:spacing w:val="28"/>
        </w:rPr>
        <w:t> </w:t>
      </w:r>
      <w:r>
        <w:rPr/>
        <w:t>della</w:t>
      </w:r>
    </w:p>
    <w:p>
      <w:pPr>
        <w:pStyle w:val="BodyText"/>
        <w:rPr>
          <w:sz w:val="20"/>
        </w:rPr>
      </w:pPr>
    </w:p>
    <w:p>
      <w:pPr>
        <w:pStyle w:val="BodyText"/>
        <w:rPr>
          <w:sz w:val="20"/>
        </w:rPr>
      </w:pPr>
    </w:p>
    <w:p>
      <w:pPr>
        <w:pStyle w:val="BodyText"/>
        <w:spacing w:before="1"/>
        <w:rPr>
          <w:sz w:val="29"/>
        </w:rPr>
      </w:pPr>
      <w:r>
        <w:rPr/>
        <w:pict>
          <v:group style="position:absolute;margin-left:93.599998pt;margin-top:18.899267pt;width:21.4pt;height:2.15pt;mso-position-horizontal-relative:page;mso-position-vertical-relative:paragraph;z-index:-251542528;mso-wrap-distance-left:0;mso-wrap-distance-right:0" coordorigin="1872,378" coordsize="428,43">
            <v:line style="position:absolute" from="1872,398" to="2299,398" stroked="true" strokeweight="2.050pt" strokecolor="#aaaaaa">
              <v:stroke dashstyle="solid"/>
            </v:line>
            <v:rect style="position:absolute;left:1872;top:379;width:5;height:5" filled="true" fillcolor="#9f9f9f" stroked="false">
              <v:fill type="solid"/>
            </v:rect>
            <v:rect style="position:absolute;left:1872;top:379;width:5;height:5" filled="true" fillcolor="#9f9f9f" stroked="false">
              <v:fill type="solid"/>
            </v:rect>
            <v:line style="position:absolute" from="1877,382" to="2295,382" stroked="true" strokeweight=".23999pt" strokecolor="#9f9f9f">
              <v:stroke dashstyle="solid"/>
            </v:line>
            <v:rect style="position:absolute;left:2294;top:379;width:5;height:5" filled="true" fillcolor="#e2e2e2" stroked="false">
              <v:fill type="solid"/>
            </v:rect>
            <v:rect style="position:absolute;left:2294;top:379;width:5;height:5" filled="true" fillcolor="#9f9f9f" stroked="false">
              <v:fill type="solid"/>
            </v:rect>
            <v:rect style="position:absolute;left:1872;top:384;width:5;height:32" filled="true" fillcolor="#9f9f9f" stroked="false">
              <v:fill type="solid"/>
            </v:rect>
            <v:rect style="position:absolute;left:2294;top:384;width:5;height:32" filled="true" fillcolor="#e2e2e2" stroked="false">
              <v:fill type="solid"/>
            </v:rect>
            <v:rect style="position:absolute;left:1872;top:415;width:5;height:5" filled="true" fillcolor="#9f9f9f" stroked="false">
              <v:fill type="solid"/>
            </v:rect>
            <v:rect style="position:absolute;left:1872;top:415;width:5;height:5" filled="true" fillcolor="#e2e2e2" stroked="false">
              <v:fill type="solid"/>
            </v:rect>
            <v:line style="position:absolute" from="1877,418" to="2295,418" stroked="true" strokeweight=".23999pt" strokecolor="#e2e2e2">
              <v:stroke dashstyle="solid"/>
            </v:line>
            <v:rect style="position:absolute;left:2294;top:415;width:5;height:5" filled="true" fillcolor="#e2e2e2" stroked="false">
              <v:fill type="solid"/>
            </v:rect>
            <v:rect style="position:absolute;left:2294;top:415;width:5;height:5" filled="true" fillcolor="#e2e2e2" stroked="false">
              <v:fill type="solid"/>
            </v:rect>
            <w10:wrap type="topAndBottom"/>
          </v:group>
        </w:pict>
      </w:r>
    </w:p>
    <w:p>
      <w:pPr>
        <w:spacing w:before="20"/>
        <w:ind w:left="732" w:right="0" w:firstLine="0"/>
        <w:jc w:val="left"/>
        <w:rPr>
          <w:sz w:val="16"/>
        </w:rPr>
      </w:pPr>
      <w:r>
        <w:rPr>
          <w:position w:val="6"/>
          <w:sz w:val="10"/>
        </w:rPr>
        <w:t>17 </w:t>
      </w:r>
      <w:r>
        <w:rPr>
          <w:sz w:val="16"/>
        </w:rPr>
        <w:t>Banca d’Italia, Bollettino economico, luglio 2019.</w:t>
      </w:r>
    </w:p>
    <w:p>
      <w:pPr>
        <w:spacing w:after="0"/>
        <w:jc w:val="left"/>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before="101"/>
        <w:ind w:left="1128"/>
      </w:pPr>
      <w:r>
        <w:rPr/>
        <w:t>produttività,</w:t>
      </w:r>
      <w:r>
        <w:rPr>
          <w:spacing w:val="54"/>
        </w:rPr>
        <w:t> </w:t>
      </w:r>
      <w:r>
        <w:rPr/>
        <w:t>aumenta</w:t>
      </w:r>
      <w:r>
        <w:rPr>
          <w:spacing w:val="52"/>
        </w:rPr>
        <w:t> </w:t>
      </w:r>
      <w:r>
        <w:rPr/>
        <w:t>in</w:t>
      </w:r>
      <w:r>
        <w:rPr>
          <w:spacing w:val="53"/>
        </w:rPr>
        <w:t> </w:t>
      </w:r>
      <w:r>
        <w:rPr/>
        <w:t>media</w:t>
      </w:r>
      <w:r>
        <w:rPr>
          <w:spacing w:val="52"/>
        </w:rPr>
        <w:t> </w:t>
      </w:r>
      <w:r>
        <w:rPr/>
        <w:t>dell’1,2</w:t>
      </w:r>
      <w:r>
        <w:rPr>
          <w:spacing w:val="54"/>
        </w:rPr>
        <w:t> </w:t>
      </w:r>
      <w:r>
        <w:rPr/>
        <w:t>per</w:t>
      </w:r>
      <w:r>
        <w:rPr>
          <w:spacing w:val="54"/>
        </w:rPr>
        <w:t> </w:t>
      </w:r>
      <w:r>
        <w:rPr/>
        <w:t>cento</w:t>
      </w:r>
      <w:r>
        <w:rPr>
          <w:spacing w:val="53"/>
        </w:rPr>
        <w:t> </w:t>
      </w:r>
      <w:r>
        <w:rPr/>
        <w:t>nell’orizzonte</w:t>
      </w:r>
      <w:r>
        <w:rPr>
          <w:spacing w:val="53"/>
        </w:rPr>
        <w:t> </w:t>
      </w:r>
      <w:r>
        <w:rPr/>
        <w:t>di</w:t>
      </w:r>
      <w:r>
        <w:rPr>
          <w:spacing w:val="53"/>
        </w:rPr>
        <w:t> </w:t>
      </w:r>
      <w:r>
        <w:rPr/>
        <w:t>previsione</w:t>
      </w:r>
    </w:p>
    <w:p>
      <w:pPr>
        <w:pStyle w:val="BodyText"/>
        <w:spacing w:before="14"/>
        <w:ind w:left="1128"/>
      </w:pPr>
      <w:r>
        <w:rPr/>
        <w:t>(2019-2022).</w:t>
      </w:r>
    </w:p>
    <w:p>
      <w:pPr>
        <w:pStyle w:val="BodyText"/>
        <w:spacing w:line="252" w:lineRule="auto" w:before="13"/>
        <w:ind w:left="1128" w:right="1414" w:firstLine="453"/>
        <w:jc w:val="both"/>
      </w:pPr>
      <w:r>
        <w:rPr/>
        <w:t>L’inflazione resta contenuta nel 2019 (0,8 per cento) per effetto della caduta dei prezzi dei beni energetici e del rallentamento della domanda interna. Il deflatore</w:t>
      </w:r>
      <w:r>
        <w:rPr>
          <w:spacing w:val="-7"/>
        </w:rPr>
        <w:t> </w:t>
      </w:r>
      <w:r>
        <w:rPr/>
        <w:t>del</w:t>
      </w:r>
      <w:r>
        <w:rPr>
          <w:spacing w:val="-7"/>
        </w:rPr>
        <w:t> </w:t>
      </w:r>
      <w:r>
        <w:rPr/>
        <w:t>PIL</w:t>
      </w:r>
      <w:r>
        <w:rPr>
          <w:spacing w:val="-8"/>
        </w:rPr>
        <w:t> </w:t>
      </w:r>
      <w:r>
        <w:rPr/>
        <w:t>aumenta</w:t>
      </w:r>
      <w:r>
        <w:rPr>
          <w:spacing w:val="-7"/>
        </w:rPr>
        <w:t> </w:t>
      </w:r>
      <w:r>
        <w:rPr/>
        <w:t>dello</w:t>
      </w:r>
      <w:r>
        <w:rPr>
          <w:spacing w:val="-7"/>
        </w:rPr>
        <w:t> </w:t>
      </w:r>
      <w:r>
        <w:rPr/>
        <w:t>0,9</w:t>
      </w:r>
      <w:r>
        <w:rPr>
          <w:spacing w:val="-10"/>
        </w:rPr>
        <w:t> </w:t>
      </w:r>
      <w:r>
        <w:rPr/>
        <w:t>per</w:t>
      </w:r>
      <w:r>
        <w:rPr>
          <w:spacing w:val="-10"/>
        </w:rPr>
        <w:t> </w:t>
      </w:r>
      <w:r>
        <w:rPr/>
        <w:t>cento</w:t>
      </w:r>
      <w:r>
        <w:rPr>
          <w:spacing w:val="-7"/>
        </w:rPr>
        <w:t> </w:t>
      </w:r>
      <w:r>
        <w:rPr/>
        <w:t>nel</w:t>
      </w:r>
      <w:r>
        <w:rPr>
          <w:spacing w:val="-9"/>
        </w:rPr>
        <w:t> </w:t>
      </w:r>
      <w:r>
        <w:rPr/>
        <w:t>2019.</w:t>
      </w:r>
      <w:r>
        <w:rPr>
          <w:spacing w:val="-8"/>
        </w:rPr>
        <w:t> </w:t>
      </w:r>
      <w:r>
        <w:rPr/>
        <w:t>Nel</w:t>
      </w:r>
      <w:r>
        <w:rPr>
          <w:spacing w:val="-9"/>
        </w:rPr>
        <w:t> </w:t>
      </w:r>
      <w:r>
        <w:rPr/>
        <w:t>2020</w:t>
      </w:r>
      <w:r>
        <w:rPr>
          <w:spacing w:val="-10"/>
        </w:rPr>
        <w:t> </w:t>
      </w:r>
      <w:r>
        <w:rPr/>
        <w:t>-</w:t>
      </w:r>
      <w:r>
        <w:rPr>
          <w:spacing w:val="-6"/>
        </w:rPr>
        <w:t> </w:t>
      </w:r>
      <w:r>
        <w:rPr/>
        <w:t>2021</w:t>
      </w:r>
      <w:r>
        <w:rPr>
          <w:spacing w:val="-10"/>
        </w:rPr>
        <w:t> </w:t>
      </w:r>
      <w:r>
        <w:rPr/>
        <w:t>la</w:t>
      </w:r>
      <w:r>
        <w:rPr>
          <w:spacing w:val="-9"/>
        </w:rPr>
        <w:t> </w:t>
      </w:r>
      <w:r>
        <w:rPr/>
        <w:t>dinamica dei prezzi risente dell’aumento delle aliquote</w:t>
      </w:r>
      <w:r>
        <w:rPr>
          <w:spacing w:val="-6"/>
        </w:rPr>
        <w:t> </w:t>
      </w:r>
      <w:r>
        <w:rPr/>
        <w:t>IVA.</w:t>
      </w:r>
    </w:p>
    <w:p>
      <w:pPr>
        <w:pStyle w:val="BodyText"/>
        <w:spacing w:before="9"/>
        <w:rPr>
          <w:sz w:val="23"/>
        </w:rPr>
      </w:pPr>
    </w:p>
    <w:tbl>
      <w:tblPr>
        <w:tblW w:w="0" w:type="auto"/>
        <w:jc w:val="left"/>
        <w:tblInd w:w="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69"/>
        <w:gridCol w:w="757"/>
        <w:gridCol w:w="773"/>
        <w:gridCol w:w="775"/>
        <w:gridCol w:w="775"/>
        <w:gridCol w:w="774"/>
      </w:tblGrid>
      <w:tr>
        <w:trPr>
          <w:trHeight w:val="386" w:hRule="atLeast"/>
        </w:trPr>
        <w:tc>
          <w:tcPr>
            <w:tcW w:w="8223" w:type="dxa"/>
            <w:gridSpan w:val="6"/>
            <w:tcBorders>
              <w:bottom w:val="single" w:sz="4" w:space="0" w:color="000000"/>
            </w:tcBorders>
            <w:shd w:val="clear" w:color="auto" w:fill="006247"/>
          </w:tcPr>
          <w:p>
            <w:pPr>
              <w:pStyle w:val="TableParagraph"/>
              <w:spacing w:line="176" w:lineRule="exact"/>
              <w:ind w:left="28"/>
              <w:jc w:val="left"/>
              <w:rPr>
                <w:rFonts w:ascii="Franklin Gothic Heavy"/>
                <w:b/>
                <w:sz w:val="17"/>
              </w:rPr>
            </w:pPr>
            <w:r>
              <w:rPr>
                <w:rFonts w:ascii="Franklin Gothic Heavy"/>
                <w:b/>
                <w:color w:val="EFEFEF"/>
                <w:sz w:val="17"/>
              </w:rPr>
              <w:t>TAVOLA II.2: QUADRO MACROECONOMICO TENDENZIALE (var. perc. salvo ove non diversamente</w:t>
            </w:r>
          </w:p>
          <w:p>
            <w:pPr>
              <w:pStyle w:val="TableParagraph"/>
              <w:spacing w:line="188" w:lineRule="exact" w:before="1"/>
              <w:ind w:left="28"/>
              <w:jc w:val="left"/>
              <w:rPr>
                <w:rFonts w:ascii="Franklin Gothic Heavy"/>
                <w:b/>
                <w:sz w:val="17"/>
              </w:rPr>
            </w:pPr>
            <w:r>
              <w:rPr>
                <w:rFonts w:ascii="Franklin Gothic Heavy"/>
                <w:b/>
                <w:color w:val="EFEFEF"/>
                <w:sz w:val="17"/>
              </w:rPr>
              <w:t>indicato)</w:t>
            </w:r>
          </w:p>
        </w:tc>
      </w:tr>
      <w:tr>
        <w:trPr>
          <w:trHeight w:val="278" w:hRule="atLeast"/>
        </w:trPr>
        <w:tc>
          <w:tcPr>
            <w:tcW w:w="4369" w:type="dxa"/>
            <w:tcBorders>
              <w:top w:val="single" w:sz="4" w:space="0" w:color="000000"/>
              <w:bottom w:val="single" w:sz="4" w:space="0" w:color="000000"/>
            </w:tcBorders>
          </w:tcPr>
          <w:p>
            <w:pPr>
              <w:pStyle w:val="TableParagraph"/>
              <w:jc w:val="left"/>
              <w:rPr>
                <w:rFonts w:ascii="Times New Roman"/>
                <w:sz w:val="16"/>
              </w:rPr>
            </w:pPr>
          </w:p>
        </w:tc>
        <w:tc>
          <w:tcPr>
            <w:tcW w:w="757" w:type="dxa"/>
            <w:tcBorders>
              <w:top w:val="single" w:sz="4" w:space="0" w:color="000000"/>
              <w:bottom w:val="single" w:sz="4" w:space="0" w:color="000000"/>
            </w:tcBorders>
          </w:tcPr>
          <w:p>
            <w:pPr>
              <w:pStyle w:val="TableParagraph"/>
              <w:spacing w:before="24"/>
              <w:ind w:left="23" w:right="34"/>
              <w:jc w:val="center"/>
              <w:rPr>
                <w:sz w:val="18"/>
              </w:rPr>
            </w:pPr>
            <w:r>
              <w:rPr>
                <w:sz w:val="18"/>
              </w:rPr>
              <w:t>2018</w:t>
            </w:r>
          </w:p>
        </w:tc>
        <w:tc>
          <w:tcPr>
            <w:tcW w:w="773" w:type="dxa"/>
            <w:tcBorders>
              <w:top w:val="single" w:sz="4" w:space="0" w:color="000000"/>
              <w:bottom w:val="single" w:sz="4" w:space="0" w:color="000000"/>
            </w:tcBorders>
          </w:tcPr>
          <w:p>
            <w:pPr>
              <w:pStyle w:val="TableParagraph"/>
              <w:spacing w:before="24"/>
              <w:ind w:left="38" w:right="37"/>
              <w:jc w:val="center"/>
              <w:rPr>
                <w:sz w:val="18"/>
              </w:rPr>
            </w:pPr>
            <w:r>
              <w:rPr>
                <w:sz w:val="18"/>
              </w:rPr>
              <w:t>2019</w:t>
            </w:r>
          </w:p>
        </w:tc>
        <w:tc>
          <w:tcPr>
            <w:tcW w:w="775" w:type="dxa"/>
            <w:tcBorders>
              <w:top w:val="single" w:sz="4" w:space="0" w:color="000000"/>
              <w:bottom w:val="single" w:sz="4" w:space="0" w:color="000000"/>
            </w:tcBorders>
          </w:tcPr>
          <w:p>
            <w:pPr>
              <w:pStyle w:val="TableParagraph"/>
              <w:spacing w:before="24"/>
              <w:ind w:left="38" w:right="38"/>
              <w:jc w:val="center"/>
              <w:rPr>
                <w:sz w:val="18"/>
              </w:rPr>
            </w:pPr>
            <w:r>
              <w:rPr>
                <w:sz w:val="18"/>
              </w:rPr>
              <w:t>2020</w:t>
            </w:r>
          </w:p>
        </w:tc>
        <w:tc>
          <w:tcPr>
            <w:tcW w:w="775" w:type="dxa"/>
            <w:tcBorders>
              <w:top w:val="single" w:sz="4" w:space="0" w:color="000000"/>
              <w:bottom w:val="single" w:sz="4" w:space="0" w:color="000000"/>
            </w:tcBorders>
          </w:tcPr>
          <w:p>
            <w:pPr>
              <w:pStyle w:val="TableParagraph"/>
              <w:spacing w:before="24"/>
              <w:ind w:left="38" w:right="38"/>
              <w:jc w:val="center"/>
              <w:rPr>
                <w:sz w:val="18"/>
              </w:rPr>
            </w:pPr>
            <w:r>
              <w:rPr>
                <w:sz w:val="18"/>
              </w:rPr>
              <w:t>2021</w:t>
            </w:r>
          </w:p>
        </w:tc>
        <w:tc>
          <w:tcPr>
            <w:tcW w:w="774" w:type="dxa"/>
            <w:tcBorders>
              <w:top w:val="single" w:sz="4" w:space="0" w:color="000000"/>
              <w:bottom w:val="single" w:sz="4" w:space="0" w:color="000000"/>
            </w:tcBorders>
          </w:tcPr>
          <w:p>
            <w:pPr>
              <w:pStyle w:val="TableParagraph"/>
              <w:spacing w:before="24"/>
              <w:ind w:left="37" w:right="37"/>
              <w:jc w:val="center"/>
              <w:rPr>
                <w:sz w:val="18"/>
              </w:rPr>
            </w:pPr>
            <w:r>
              <w:rPr>
                <w:sz w:val="18"/>
              </w:rPr>
              <w:t>2022</w:t>
            </w:r>
          </w:p>
        </w:tc>
      </w:tr>
      <w:tr>
        <w:trPr>
          <w:trHeight w:val="415" w:hRule="atLeast"/>
        </w:trPr>
        <w:tc>
          <w:tcPr>
            <w:tcW w:w="4369" w:type="dxa"/>
            <w:tcBorders>
              <w:top w:val="single" w:sz="4" w:space="0" w:color="000000"/>
            </w:tcBorders>
          </w:tcPr>
          <w:p>
            <w:pPr>
              <w:pStyle w:val="TableParagraph"/>
              <w:spacing w:line="195" w:lineRule="exact"/>
              <w:ind w:left="28"/>
              <w:jc w:val="left"/>
              <w:rPr>
                <w:sz w:val="18"/>
              </w:rPr>
            </w:pPr>
            <w:r>
              <w:rPr>
                <w:sz w:val="18"/>
              </w:rPr>
              <w:t>ESOGENE INTERNAZIONALI</w:t>
            </w:r>
          </w:p>
          <w:p>
            <w:pPr>
              <w:pStyle w:val="TableParagraph"/>
              <w:spacing w:line="181" w:lineRule="exact" w:before="16"/>
              <w:ind w:left="28"/>
              <w:jc w:val="left"/>
              <w:rPr>
                <w:sz w:val="17"/>
              </w:rPr>
            </w:pPr>
            <w:r>
              <w:rPr>
                <w:sz w:val="17"/>
              </w:rPr>
              <w:t>Commercio internazionale</w:t>
            </w:r>
          </w:p>
        </w:tc>
        <w:tc>
          <w:tcPr>
            <w:tcW w:w="757" w:type="dxa"/>
            <w:tcBorders>
              <w:top w:val="single" w:sz="4" w:space="0" w:color="000000"/>
            </w:tcBorders>
          </w:tcPr>
          <w:p>
            <w:pPr>
              <w:pStyle w:val="TableParagraph"/>
              <w:spacing w:before="2"/>
              <w:jc w:val="left"/>
              <w:rPr>
                <w:rFonts w:ascii="Trebuchet MS"/>
                <w:sz w:val="18"/>
              </w:rPr>
            </w:pPr>
          </w:p>
          <w:p>
            <w:pPr>
              <w:pStyle w:val="TableParagraph"/>
              <w:spacing w:line="181" w:lineRule="exact"/>
              <w:ind w:left="23" w:right="31"/>
              <w:jc w:val="center"/>
              <w:rPr>
                <w:sz w:val="17"/>
              </w:rPr>
            </w:pPr>
            <w:r>
              <w:rPr>
                <w:sz w:val="17"/>
              </w:rPr>
              <w:t>3,7</w:t>
            </w:r>
          </w:p>
        </w:tc>
        <w:tc>
          <w:tcPr>
            <w:tcW w:w="773" w:type="dxa"/>
            <w:tcBorders>
              <w:top w:val="single" w:sz="4" w:space="0" w:color="000000"/>
            </w:tcBorders>
          </w:tcPr>
          <w:p>
            <w:pPr>
              <w:pStyle w:val="TableParagraph"/>
              <w:spacing w:before="2"/>
              <w:jc w:val="left"/>
              <w:rPr>
                <w:rFonts w:ascii="Trebuchet MS"/>
                <w:sz w:val="18"/>
              </w:rPr>
            </w:pPr>
          </w:p>
          <w:p>
            <w:pPr>
              <w:pStyle w:val="TableParagraph"/>
              <w:spacing w:line="181" w:lineRule="exact"/>
              <w:ind w:left="38" w:right="33"/>
              <w:jc w:val="center"/>
              <w:rPr>
                <w:sz w:val="17"/>
              </w:rPr>
            </w:pPr>
            <w:r>
              <w:rPr>
                <w:sz w:val="17"/>
              </w:rPr>
              <w:t>0,6</w:t>
            </w:r>
          </w:p>
        </w:tc>
        <w:tc>
          <w:tcPr>
            <w:tcW w:w="775" w:type="dxa"/>
            <w:tcBorders>
              <w:top w:val="single" w:sz="4" w:space="0" w:color="000000"/>
            </w:tcBorders>
          </w:tcPr>
          <w:p>
            <w:pPr>
              <w:pStyle w:val="TableParagraph"/>
              <w:spacing w:before="2"/>
              <w:jc w:val="left"/>
              <w:rPr>
                <w:rFonts w:ascii="Trebuchet MS"/>
                <w:sz w:val="18"/>
              </w:rPr>
            </w:pPr>
          </w:p>
          <w:p>
            <w:pPr>
              <w:pStyle w:val="TableParagraph"/>
              <w:spacing w:line="181" w:lineRule="exact"/>
              <w:ind w:left="38" w:right="35"/>
              <w:jc w:val="center"/>
              <w:rPr>
                <w:sz w:val="17"/>
              </w:rPr>
            </w:pPr>
            <w:r>
              <w:rPr>
                <w:sz w:val="17"/>
              </w:rPr>
              <w:t>1,7</w:t>
            </w:r>
          </w:p>
        </w:tc>
        <w:tc>
          <w:tcPr>
            <w:tcW w:w="775" w:type="dxa"/>
            <w:tcBorders>
              <w:top w:val="single" w:sz="4" w:space="0" w:color="000000"/>
            </w:tcBorders>
          </w:tcPr>
          <w:p>
            <w:pPr>
              <w:pStyle w:val="TableParagraph"/>
              <w:spacing w:before="2"/>
              <w:jc w:val="left"/>
              <w:rPr>
                <w:rFonts w:ascii="Trebuchet MS"/>
                <w:sz w:val="18"/>
              </w:rPr>
            </w:pPr>
          </w:p>
          <w:p>
            <w:pPr>
              <w:pStyle w:val="TableParagraph"/>
              <w:spacing w:line="181" w:lineRule="exact"/>
              <w:ind w:left="38" w:right="34"/>
              <w:jc w:val="center"/>
              <w:rPr>
                <w:sz w:val="17"/>
              </w:rPr>
            </w:pPr>
            <w:r>
              <w:rPr>
                <w:sz w:val="17"/>
              </w:rPr>
              <w:t>3,0</w:t>
            </w:r>
          </w:p>
        </w:tc>
        <w:tc>
          <w:tcPr>
            <w:tcW w:w="774" w:type="dxa"/>
            <w:tcBorders>
              <w:top w:val="single" w:sz="4" w:space="0" w:color="000000"/>
            </w:tcBorders>
          </w:tcPr>
          <w:p>
            <w:pPr>
              <w:pStyle w:val="TableParagraph"/>
              <w:spacing w:before="2"/>
              <w:jc w:val="left"/>
              <w:rPr>
                <w:rFonts w:ascii="Trebuchet MS"/>
                <w:sz w:val="18"/>
              </w:rPr>
            </w:pPr>
          </w:p>
          <w:p>
            <w:pPr>
              <w:pStyle w:val="TableParagraph"/>
              <w:spacing w:line="181" w:lineRule="exact"/>
              <w:ind w:left="37" w:right="38"/>
              <w:jc w:val="center"/>
              <w:rPr>
                <w:sz w:val="17"/>
              </w:rPr>
            </w:pPr>
            <w:r>
              <w:rPr>
                <w:sz w:val="17"/>
              </w:rPr>
              <w:t>3,6</w:t>
            </w:r>
          </w:p>
        </w:tc>
      </w:tr>
      <w:tr>
        <w:trPr>
          <w:trHeight w:val="210" w:hRule="atLeast"/>
        </w:trPr>
        <w:tc>
          <w:tcPr>
            <w:tcW w:w="4369" w:type="dxa"/>
          </w:tcPr>
          <w:p>
            <w:pPr>
              <w:pStyle w:val="TableParagraph"/>
              <w:spacing w:line="182" w:lineRule="exact" w:before="8"/>
              <w:ind w:left="28"/>
              <w:jc w:val="left"/>
              <w:rPr>
                <w:sz w:val="17"/>
              </w:rPr>
            </w:pPr>
            <w:r>
              <w:rPr>
                <w:sz w:val="17"/>
              </w:rPr>
              <w:t>Prezzo del petrolio (Brent, futures)</w:t>
            </w:r>
          </w:p>
        </w:tc>
        <w:tc>
          <w:tcPr>
            <w:tcW w:w="757" w:type="dxa"/>
          </w:tcPr>
          <w:p>
            <w:pPr>
              <w:pStyle w:val="TableParagraph"/>
              <w:spacing w:line="182" w:lineRule="exact" w:before="8"/>
              <w:ind w:left="23" w:right="33"/>
              <w:jc w:val="center"/>
              <w:rPr>
                <w:sz w:val="17"/>
              </w:rPr>
            </w:pPr>
            <w:r>
              <w:rPr>
                <w:sz w:val="17"/>
              </w:rPr>
              <w:t>71,3</w:t>
            </w:r>
          </w:p>
        </w:tc>
        <w:tc>
          <w:tcPr>
            <w:tcW w:w="773" w:type="dxa"/>
          </w:tcPr>
          <w:p>
            <w:pPr>
              <w:pStyle w:val="TableParagraph"/>
              <w:spacing w:line="182" w:lineRule="exact" w:before="8"/>
              <w:ind w:left="38" w:right="36"/>
              <w:jc w:val="center"/>
              <w:rPr>
                <w:sz w:val="17"/>
              </w:rPr>
            </w:pPr>
            <w:r>
              <w:rPr>
                <w:sz w:val="17"/>
              </w:rPr>
              <w:t>63,3</w:t>
            </w:r>
          </w:p>
        </w:tc>
        <w:tc>
          <w:tcPr>
            <w:tcW w:w="775" w:type="dxa"/>
          </w:tcPr>
          <w:p>
            <w:pPr>
              <w:pStyle w:val="TableParagraph"/>
              <w:spacing w:line="182" w:lineRule="exact" w:before="8"/>
              <w:ind w:left="38" w:right="38"/>
              <w:jc w:val="center"/>
              <w:rPr>
                <w:sz w:val="17"/>
              </w:rPr>
            </w:pPr>
            <w:r>
              <w:rPr>
                <w:sz w:val="17"/>
              </w:rPr>
              <w:t>57,3</w:t>
            </w:r>
          </w:p>
        </w:tc>
        <w:tc>
          <w:tcPr>
            <w:tcW w:w="775" w:type="dxa"/>
          </w:tcPr>
          <w:p>
            <w:pPr>
              <w:pStyle w:val="TableParagraph"/>
              <w:spacing w:line="182" w:lineRule="exact" w:before="8"/>
              <w:ind w:left="38" w:right="36"/>
              <w:jc w:val="center"/>
              <w:rPr>
                <w:sz w:val="17"/>
              </w:rPr>
            </w:pPr>
            <w:r>
              <w:rPr>
                <w:sz w:val="17"/>
              </w:rPr>
              <w:t>56,2</w:t>
            </w:r>
          </w:p>
        </w:tc>
        <w:tc>
          <w:tcPr>
            <w:tcW w:w="774" w:type="dxa"/>
          </w:tcPr>
          <w:p>
            <w:pPr>
              <w:pStyle w:val="TableParagraph"/>
              <w:spacing w:line="182" w:lineRule="exact" w:before="8"/>
              <w:ind w:left="37" w:right="38"/>
              <w:jc w:val="center"/>
              <w:rPr>
                <w:sz w:val="17"/>
              </w:rPr>
            </w:pPr>
            <w:r>
              <w:rPr>
                <w:sz w:val="17"/>
              </w:rPr>
              <w:t>56,4</w:t>
            </w:r>
          </w:p>
        </w:tc>
      </w:tr>
      <w:tr>
        <w:trPr>
          <w:trHeight w:val="213" w:hRule="atLeast"/>
        </w:trPr>
        <w:tc>
          <w:tcPr>
            <w:tcW w:w="4369" w:type="dxa"/>
            <w:tcBorders>
              <w:bottom w:val="single" w:sz="4" w:space="0" w:color="000000"/>
            </w:tcBorders>
          </w:tcPr>
          <w:p>
            <w:pPr>
              <w:pStyle w:val="TableParagraph"/>
              <w:spacing w:line="188" w:lineRule="exact" w:before="9"/>
              <w:ind w:left="28"/>
              <w:jc w:val="left"/>
              <w:rPr>
                <w:sz w:val="17"/>
              </w:rPr>
            </w:pPr>
            <w:r>
              <w:rPr>
                <w:sz w:val="17"/>
              </w:rPr>
              <w:t>Cambio dollaro/euro</w:t>
            </w:r>
          </w:p>
        </w:tc>
        <w:tc>
          <w:tcPr>
            <w:tcW w:w="757" w:type="dxa"/>
            <w:tcBorders>
              <w:bottom w:val="single" w:sz="4" w:space="0" w:color="000000"/>
            </w:tcBorders>
          </w:tcPr>
          <w:p>
            <w:pPr>
              <w:pStyle w:val="TableParagraph"/>
              <w:spacing w:line="188" w:lineRule="exact" w:before="9"/>
              <w:ind w:left="23" w:right="33"/>
              <w:jc w:val="center"/>
              <w:rPr>
                <w:sz w:val="17"/>
              </w:rPr>
            </w:pPr>
            <w:r>
              <w:rPr>
                <w:sz w:val="17"/>
              </w:rPr>
              <w:t>1,18</w:t>
            </w:r>
          </w:p>
        </w:tc>
        <w:tc>
          <w:tcPr>
            <w:tcW w:w="773" w:type="dxa"/>
            <w:tcBorders>
              <w:bottom w:val="single" w:sz="4" w:space="0" w:color="000000"/>
            </w:tcBorders>
          </w:tcPr>
          <w:p>
            <w:pPr>
              <w:pStyle w:val="TableParagraph"/>
              <w:spacing w:line="188" w:lineRule="exact" w:before="9"/>
              <w:ind w:left="38" w:right="36"/>
              <w:jc w:val="center"/>
              <w:rPr>
                <w:sz w:val="17"/>
              </w:rPr>
            </w:pPr>
            <w:r>
              <w:rPr>
                <w:sz w:val="17"/>
              </w:rPr>
              <w:t>1,12</w:t>
            </w:r>
          </w:p>
        </w:tc>
        <w:tc>
          <w:tcPr>
            <w:tcW w:w="775" w:type="dxa"/>
            <w:tcBorders>
              <w:bottom w:val="single" w:sz="4" w:space="0" w:color="000000"/>
            </w:tcBorders>
          </w:tcPr>
          <w:p>
            <w:pPr>
              <w:pStyle w:val="TableParagraph"/>
              <w:spacing w:line="188" w:lineRule="exact" w:before="9"/>
              <w:ind w:left="38" w:right="38"/>
              <w:jc w:val="center"/>
              <w:rPr>
                <w:sz w:val="17"/>
              </w:rPr>
            </w:pPr>
            <w:r>
              <w:rPr>
                <w:sz w:val="17"/>
              </w:rPr>
              <w:t>1,11</w:t>
            </w:r>
          </w:p>
        </w:tc>
        <w:tc>
          <w:tcPr>
            <w:tcW w:w="775" w:type="dxa"/>
            <w:tcBorders>
              <w:bottom w:val="single" w:sz="4" w:space="0" w:color="000000"/>
            </w:tcBorders>
          </w:tcPr>
          <w:p>
            <w:pPr>
              <w:pStyle w:val="TableParagraph"/>
              <w:spacing w:line="188" w:lineRule="exact" w:before="9"/>
              <w:ind w:left="38" w:right="36"/>
              <w:jc w:val="center"/>
              <w:rPr>
                <w:sz w:val="17"/>
              </w:rPr>
            </w:pPr>
            <w:r>
              <w:rPr>
                <w:sz w:val="17"/>
              </w:rPr>
              <w:t>1,11</w:t>
            </w:r>
          </w:p>
        </w:tc>
        <w:tc>
          <w:tcPr>
            <w:tcW w:w="774" w:type="dxa"/>
            <w:tcBorders>
              <w:bottom w:val="single" w:sz="4" w:space="0" w:color="000000"/>
            </w:tcBorders>
          </w:tcPr>
          <w:p>
            <w:pPr>
              <w:pStyle w:val="TableParagraph"/>
              <w:spacing w:line="188" w:lineRule="exact" w:before="9"/>
              <w:ind w:left="37" w:right="37"/>
              <w:jc w:val="center"/>
              <w:rPr>
                <w:sz w:val="17"/>
              </w:rPr>
            </w:pPr>
            <w:r>
              <w:rPr>
                <w:sz w:val="17"/>
              </w:rPr>
              <w:t>1,11</w:t>
            </w:r>
          </w:p>
        </w:tc>
      </w:tr>
      <w:tr>
        <w:trPr>
          <w:trHeight w:val="417" w:hRule="atLeast"/>
        </w:trPr>
        <w:tc>
          <w:tcPr>
            <w:tcW w:w="4369" w:type="dxa"/>
            <w:tcBorders>
              <w:top w:val="single" w:sz="4" w:space="0" w:color="000000"/>
            </w:tcBorders>
          </w:tcPr>
          <w:p>
            <w:pPr>
              <w:pStyle w:val="TableParagraph"/>
              <w:spacing w:line="195" w:lineRule="exact"/>
              <w:ind w:left="28"/>
              <w:jc w:val="left"/>
              <w:rPr>
                <w:sz w:val="18"/>
              </w:rPr>
            </w:pPr>
            <w:r>
              <w:rPr>
                <w:sz w:val="18"/>
              </w:rPr>
              <w:t>MACRO ITALIA (VOLUMI)</w:t>
            </w:r>
          </w:p>
          <w:p>
            <w:pPr>
              <w:pStyle w:val="TableParagraph"/>
              <w:spacing w:line="182" w:lineRule="exact" w:before="17"/>
              <w:ind w:left="28"/>
              <w:jc w:val="left"/>
              <w:rPr>
                <w:sz w:val="17"/>
              </w:rPr>
            </w:pPr>
            <w:r>
              <w:rPr>
                <w:sz w:val="17"/>
              </w:rPr>
              <w:t>PIL</w:t>
            </w:r>
          </w:p>
        </w:tc>
        <w:tc>
          <w:tcPr>
            <w:tcW w:w="757" w:type="dxa"/>
            <w:tcBorders>
              <w:top w:val="single" w:sz="4" w:space="0" w:color="000000"/>
            </w:tcBorders>
          </w:tcPr>
          <w:p>
            <w:pPr>
              <w:pStyle w:val="TableParagraph"/>
              <w:spacing w:before="2"/>
              <w:jc w:val="left"/>
              <w:rPr>
                <w:rFonts w:ascii="Trebuchet MS"/>
                <w:sz w:val="18"/>
              </w:rPr>
            </w:pPr>
          </w:p>
          <w:p>
            <w:pPr>
              <w:pStyle w:val="TableParagraph"/>
              <w:spacing w:line="182" w:lineRule="exact"/>
              <w:ind w:left="23" w:right="31"/>
              <w:jc w:val="center"/>
              <w:rPr>
                <w:sz w:val="17"/>
              </w:rPr>
            </w:pPr>
            <w:r>
              <w:rPr>
                <w:sz w:val="17"/>
              </w:rPr>
              <w:t>0,8</w:t>
            </w:r>
          </w:p>
        </w:tc>
        <w:tc>
          <w:tcPr>
            <w:tcW w:w="773" w:type="dxa"/>
            <w:tcBorders>
              <w:top w:val="single" w:sz="4" w:space="0" w:color="000000"/>
            </w:tcBorders>
          </w:tcPr>
          <w:p>
            <w:pPr>
              <w:pStyle w:val="TableParagraph"/>
              <w:spacing w:before="2"/>
              <w:jc w:val="left"/>
              <w:rPr>
                <w:rFonts w:ascii="Trebuchet MS"/>
                <w:sz w:val="18"/>
              </w:rPr>
            </w:pPr>
          </w:p>
          <w:p>
            <w:pPr>
              <w:pStyle w:val="TableParagraph"/>
              <w:spacing w:line="182" w:lineRule="exact"/>
              <w:ind w:left="38" w:right="33"/>
              <w:jc w:val="center"/>
              <w:rPr>
                <w:sz w:val="17"/>
              </w:rPr>
            </w:pPr>
            <w:r>
              <w:rPr>
                <w:sz w:val="17"/>
              </w:rPr>
              <w:t>0,1</w:t>
            </w:r>
          </w:p>
        </w:tc>
        <w:tc>
          <w:tcPr>
            <w:tcW w:w="775" w:type="dxa"/>
            <w:tcBorders>
              <w:top w:val="single" w:sz="4" w:space="0" w:color="000000"/>
            </w:tcBorders>
          </w:tcPr>
          <w:p>
            <w:pPr>
              <w:pStyle w:val="TableParagraph"/>
              <w:spacing w:before="2"/>
              <w:jc w:val="left"/>
              <w:rPr>
                <w:rFonts w:ascii="Trebuchet MS"/>
                <w:sz w:val="18"/>
              </w:rPr>
            </w:pPr>
          </w:p>
          <w:p>
            <w:pPr>
              <w:pStyle w:val="TableParagraph"/>
              <w:spacing w:line="182" w:lineRule="exact"/>
              <w:ind w:left="38" w:right="35"/>
              <w:jc w:val="center"/>
              <w:rPr>
                <w:sz w:val="17"/>
              </w:rPr>
            </w:pPr>
            <w:r>
              <w:rPr>
                <w:sz w:val="17"/>
              </w:rPr>
              <w:t>0,4</w:t>
            </w:r>
          </w:p>
        </w:tc>
        <w:tc>
          <w:tcPr>
            <w:tcW w:w="775" w:type="dxa"/>
            <w:tcBorders>
              <w:top w:val="single" w:sz="4" w:space="0" w:color="000000"/>
            </w:tcBorders>
          </w:tcPr>
          <w:p>
            <w:pPr>
              <w:pStyle w:val="TableParagraph"/>
              <w:spacing w:before="2"/>
              <w:jc w:val="left"/>
              <w:rPr>
                <w:rFonts w:ascii="Trebuchet MS"/>
                <w:sz w:val="18"/>
              </w:rPr>
            </w:pPr>
          </w:p>
          <w:p>
            <w:pPr>
              <w:pStyle w:val="TableParagraph"/>
              <w:spacing w:line="182" w:lineRule="exact"/>
              <w:ind w:left="38" w:right="34"/>
              <w:jc w:val="center"/>
              <w:rPr>
                <w:sz w:val="17"/>
              </w:rPr>
            </w:pPr>
            <w:r>
              <w:rPr>
                <w:sz w:val="17"/>
              </w:rPr>
              <w:t>0,8</w:t>
            </w:r>
          </w:p>
        </w:tc>
        <w:tc>
          <w:tcPr>
            <w:tcW w:w="774" w:type="dxa"/>
            <w:tcBorders>
              <w:top w:val="single" w:sz="4" w:space="0" w:color="000000"/>
            </w:tcBorders>
          </w:tcPr>
          <w:p>
            <w:pPr>
              <w:pStyle w:val="TableParagraph"/>
              <w:spacing w:before="2"/>
              <w:jc w:val="left"/>
              <w:rPr>
                <w:rFonts w:ascii="Trebuchet MS"/>
                <w:sz w:val="18"/>
              </w:rPr>
            </w:pPr>
          </w:p>
          <w:p>
            <w:pPr>
              <w:pStyle w:val="TableParagraph"/>
              <w:spacing w:line="182" w:lineRule="exact"/>
              <w:ind w:left="37" w:right="38"/>
              <w:jc w:val="center"/>
              <w:rPr>
                <w:sz w:val="17"/>
              </w:rPr>
            </w:pPr>
            <w:r>
              <w:rPr>
                <w:sz w:val="17"/>
              </w:rPr>
              <w:t>1,0</w:t>
            </w:r>
          </w:p>
        </w:tc>
      </w:tr>
      <w:tr>
        <w:trPr>
          <w:trHeight w:val="210" w:hRule="atLeast"/>
        </w:trPr>
        <w:tc>
          <w:tcPr>
            <w:tcW w:w="4369" w:type="dxa"/>
          </w:tcPr>
          <w:p>
            <w:pPr>
              <w:pStyle w:val="TableParagraph"/>
              <w:spacing w:line="181" w:lineRule="exact" w:before="9"/>
              <w:ind w:left="28"/>
              <w:jc w:val="left"/>
              <w:rPr>
                <w:sz w:val="17"/>
              </w:rPr>
            </w:pPr>
            <w:r>
              <w:rPr>
                <w:sz w:val="17"/>
              </w:rPr>
              <w:t>Importazioni</w:t>
            </w:r>
          </w:p>
        </w:tc>
        <w:tc>
          <w:tcPr>
            <w:tcW w:w="757" w:type="dxa"/>
          </w:tcPr>
          <w:p>
            <w:pPr>
              <w:pStyle w:val="TableParagraph"/>
              <w:spacing w:line="181" w:lineRule="exact" w:before="9"/>
              <w:ind w:left="23" w:right="31"/>
              <w:jc w:val="center"/>
              <w:rPr>
                <w:sz w:val="17"/>
              </w:rPr>
            </w:pPr>
            <w:r>
              <w:rPr>
                <w:sz w:val="17"/>
              </w:rPr>
              <w:t>3,0</w:t>
            </w:r>
          </w:p>
        </w:tc>
        <w:tc>
          <w:tcPr>
            <w:tcW w:w="773" w:type="dxa"/>
          </w:tcPr>
          <w:p>
            <w:pPr>
              <w:pStyle w:val="TableParagraph"/>
              <w:spacing w:line="181" w:lineRule="exact" w:before="9"/>
              <w:ind w:left="38" w:right="33"/>
              <w:jc w:val="center"/>
              <w:rPr>
                <w:sz w:val="17"/>
              </w:rPr>
            </w:pPr>
            <w:r>
              <w:rPr>
                <w:sz w:val="17"/>
              </w:rPr>
              <w:t>0,7</w:t>
            </w:r>
          </w:p>
        </w:tc>
        <w:tc>
          <w:tcPr>
            <w:tcW w:w="775" w:type="dxa"/>
          </w:tcPr>
          <w:p>
            <w:pPr>
              <w:pStyle w:val="TableParagraph"/>
              <w:spacing w:line="181" w:lineRule="exact" w:before="9"/>
              <w:ind w:left="38" w:right="35"/>
              <w:jc w:val="center"/>
              <w:rPr>
                <w:sz w:val="17"/>
              </w:rPr>
            </w:pPr>
            <w:r>
              <w:rPr>
                <w:sz w:val="17"/>
              </w:rPr>
              <w:t>2,0</w:t>
            </w:r>
          </w:p>
        </w:tc>
        <w:tc>
          <w:tcPr>
            <w:tcW w:w="775" w:type="dxa"/>
          </w:tcPr>
          <w:p>
            <w:pPr>
              <w:pStyle w:val="TableParagraph"/>
              <w:spacing w:line="181" w:lineRule="exact" w:before="9"/>
              <w:ind w:left="38" w:right="34"/>
              <w:jc w:val="center"/>
              <w:rPr>
                <w:sz w:val="17"/>
              </w:rPr>
            </w:pPr>
            <w:r>
              <w:rPr>
                <w:sz w:val="17"/>
              </w:rPr>
              <w:t>3,2</w:t>
            </w:r>
          </w:p>
        </w:tc>
        <w:tc>
          <w:tcPr>
            <w:tcW w:w="774" w:type="dxa"/>
          </w:tcPr>
          <w:p>
            <w:pPr>
              <w:pStyle w:val="TableParagraph"/>
              <w:spacing w:line="181" w:lineRule="exact" w:before="9"/>
              <w:ind w:left="37" w:right="38"/>
              <w:jc w:val="center"/>
              <w:rPr>
                <w:sz w:val="17"/>
              </w:rPr>
            </w:pPr>
            <w:r>
              <w:rPr>
                <w:sz w:val="17"/>
              </w:rPr>
              <w:t>3,6</w:t>
            </w:r>
          </w:p>
        </w:tc>
      </w:tr>
      <w:tr>
        <w:trPr>
          <w:trHeight w:val="210" w:hRule="atLeast"/>
        </w:trPr>
        <w:tc>
          <w:tcPr>
            <w:tcW w:w="4369" w:type="dxa"/>
          </w:tcPr>
          <w:p>
            <w:pPr>
              <w:pStyle w:val="TableParagraph"/>
              <w:spacing w:line="182" w:lineRule="exact" w:before="8"/>
              <w:ind w:left="28"/>
              <w:jc w:val="left"/>
              <w:rPr>
                <w:sz w:val="17"/>
              </w:rPr>
            </w:pPr>
            <w:r>
              <w:rPr>
                <w:sz w:val="17"/>
              </w:rPr>
              <w:t>Consumi finali nazionali</w:t>
            </w:r>
          </w:p>
        </w:tc>
        <w:tc>
          <w:tcPr>
            <w:tcW w:w="757" w:type="dxa"/>
          </w:tcPr>
          <w:p>
            <w:pPr>
              <w:pStyle w:val="TableParagraph"/>
              <w:spacing w:line="182" w:lineRule="exact" w:before="8"/>
              <w:ind w:left="23" w:right="31"/>
              <w:jc w:val="center"/>
              <w:rPr>
                <w:sz w:val="17"/>
              </w:rPr>
            </w:pPr>
            <w:r>
              <w:rPr>
                <w:sz w:val="17"/>
              </w:rPr>
              <w:t>0,7</w:t>
            </w:r>
          </w:p>
        </w:tc>
        <w:tc>
          <w:tcPr>
            <w:tcW w:w="773" w:type="dxa"/>
          </w:tcPr>
          <w:p>
            <w:pPr>
              <w:pStyle w:val="TableParagraph"/>
              <w:spacing w:line="182" w:lineRule="exact" w:before="8"/>
              <w:ind w:left="38" w:right="33"/>
              <w:jc w:val="center"/>
              <w:rPr>
                <w:sz w:val="17"/>
              </w:rPr>
            </w:pPr>
            <w:r>
              <w:rPr>
                <w:sz w:val="17"/>
              </w:rPr>
              <w:t>0,3</w:t>
            </w:r>
          </w:p>
        </w:tc>
        <w:tc>
          <w:tcPr>
            <w:tcW w:w="775" w:type="dxa"/>
          </w:tcPr>
          <w:p>
            <w:pPr>
              <w:pStyle w:val="TableParagraph"/>
              <w:spacing w:line="182" w:lineRule="exact" w:before="8"/>
              <w:ind w:left="38" w:right="35"/>
              <w:jc w:val="center"/>
              <w:rPr>
                <w:sz w:val="17"/>
              </w:rPr>
            </w:pPr>
            <w:r>
              <w:rPr>
                <w:sz w:val="17"/>
              </w:rPr>
              <w:t>0,2</w:t>
            </w:r>
          </w:p>
        </w:tc>
        <w:tc>
          <w:tcPr>
            <w:tcW w:w="775" w:type="dxa"/>
          </w:tcPr>
          <w:p>
            <w:pPr>
              <w:pStyle w:val="TableParagraph"/>
              <w:spacing w:line="182" w:lineRule="exact" w:before="8"/>
              <w:ind w:left="38" w:right="34"/>
              <w:jc w:val="center"/>
              <w:rPr>
                <w:sz w:val="17"/>
              </w:rPr>
            </w:pPr>
            <w:r>
              <w:rPr>
                <w:sz w:val="17"/>
              </w:rPr>
              <w:t>0,5</w:t>
            </w:r>
          </w:p>
        </w:tc>
        <w:tc>
          <w:tcPr>
            <w:tcW w:w="774" w:type="dxa"/>
          </w:tcPr>
          <w:p>
            <w:pPr>
              <w:pStyle w:val="TableParagraph"/>
              <w:spacing w:line="182" w:lineRule="exact" w:before="8"/>
              <w:ind w:left="37" w:right="38"/>
              <w:jc w:val="center"/>
              <w:rPr>
                <w:sz w:val="17"/>
              </w:rPr>
            </w:pPr>
            <w:r>
              <w:rPr>
                <w:sz w:val="17"/>
              </w:rPr>
              <w:t>0,8</w:t>
            </w:r>
          </w:p>
        </w:tc>
      </w:tr>
      <w:tr>
        <w:trPr>
          <w:trHeight w:val="210" w:hRule="atLeast"/>
        </w:trPr>
        <w:tc>
          <w:tcPr>
            <w:tcW w:w="4369" w:type="dxa"/>
          </w:tcPr>
          <w:p>
            <w:pPr>
              <w:pStyle w:val="TableParagraph"/>
              <w:spacing w:line="181" w:lineRule="exact" w:before="9"/>
              <w:ind w:left="28"/>
              <w:jc w:val="left"/>
              <w:rPr>
                <w:sz w:val="17"/>
              </w:rPr>
            </w:pPr>
            <w:r>
              <w:rPr>
                <w:sz w:val="17"/>
              </w:rPr>
              <w:t>Consumi famiglie e ISP</w:t>
            </w:r>
          </w:p>
        </w:tc>
        <w:tc>
          <w:tcPr>
            <w:tcW w:w="757" w:type="dxa"/>
          </w:tcPr>
          <w:p>
            <w:pPr>
              <w:pStyle w:val="TableParagraph"/>
              <w:spacing w:line="181" w:lineRule="exact" w:before="9"/>
              <w:ind w:left="23" w:right="31"/>
              <w:jc w:val="center"/>
              <w:rPr>
                <w:sz w:val="17"/>
              </w:rPr>
            </w:pPr>
            <w:r>
              <w:rPr>
                <w:sz w:val="17"/>
              </w:rPr>
              <w:t>0,8</w:t>
            </w:r>
          </w:p>
        </w:tc>
        <w:tc>
          <w:tcPr>
            <w:tcW w:w="773" w:type="dxa"/>
          </w:tcPr>
          <w:p>
            <w:pPr>
              <w:pStyle w:val="TableParagraph"/>
              <w:spacing w:line="181" w:lineRule="exact" w:before="9"/>
              <w:ind w:left="38" w:right="33"/>
              <w:jc w:val="center"/>
              <w:rPr>
                <w:sz w:val="17"/>
              </w:rPr>
            </w:pPr>
            <w:r>
              <w:rPr>
                <w:sz w:val="17"/>
              </w:rPr>
              <w:t>0,4</w:t>
            </w:r>
          </w:p>
        </w:tc>
        <w:tc>
          <w:tcPr>
            <w:tcW w:w="775" w:type="dxa"/>
          </w:tcPr>
          <w:p>
            <w:pPr>
              <w:pStyle w:val="TableParagraph"/>
              <w:spacing w:line="181" w:lineRule="exact" w:before="9"/>
              <w:ind w:left="38" w:right="35"/>
              <w:jc w:val="center"/>
              <w:rPr>
                <w:sz w:val="17"/>
              </w:rPr>
            </w:pPr>
            <w:r>
              <w:rPr>
                <w:sz w:val="17"/>
              </w:rPr>
              <w:t>0,3</w:t>
            </w:r>
          </w:p>
        </w:tc>
        <w:tc>
          <w:tcPr>
            <w:tcW w:w="775" w:type="dxa"/>
          </w:tcPr>
          <w:p>
            <w:pPr>
              <w:pStyle w:val="TableParagraph"/>
              <w:spacing w:line="181" w:lineRule="exact" w:before="9"/>
              <w:ind w:left="38" w:right="34"/>
              <w:jc w:val="center"/>
              <w:rPr>
                <w:sz w:val="17"/>
              </w:rPr>
            </w:pPr>
            <w:r>
              <w:rPr>
                <w:sz w:val="17"/>
              </w:rPr>
              <w:t>0,7</w:t>
            </w:r>
          </w:p>
        </w:tc>
        <w:tc>
          <w:tcPr>
            <w:tcW w:w="774" w:type="dxa"/>
          </w:tcPr>
          <w:p>
            <w:pPr>
              <w:pStyle w:val="TableParagraph"/>
              <w:spacing w:line="181" w:lineRule="exact" w:before="9"/>
              <w:ind w:left="37" w:right="38"/>
              <w:jc w:val="center"/>
              <w:rPr>
                <w:sz w:val="17"/>
              </w:rPr>
            </w:pPr>
            <w:r>
              <w:rPr>
                <w:sz w:val="17"/>
              </w:rPr>
              <w:t>1,0</w:t>
            </w:r>
          </w:p>
        </w:tc>
      </w:tr>
      <w:tr>
        <w:trPr>
          <w:trHeight w:val="210" w:hRule="atLeast"/>
        </w:trPr>
        <w:tc>
          <w:tcPr>
            <w:tcW w:w="4369" w:type="dxa"/>
          </w:tcPr>
          <w:p>
            <w:pPr>
              <w:pStyle w:val="TableParagraph"/>
              <w:spacing w:line="182" w:lineRule="exact" w:before="8"/>
              <w:ind w:left="28"/>
              <w:jc w:val="left"/>
              <w:rPr>
                <w:sz w:val="17"/>
              </w:rPr>
            </w:pPr>
            <w:r>
              <w:rPr>
                <w:sz w:val="17"/>
              </w:rPr>
              <w:t>Spesa della PA</w:t>
            </w:r>
          </w:p>
        </w:tc>
        <w:tc>
          <w:tcPr>
            <w:tcW w:w="757" w:type="dxa"/>
          </w:tcPr>
          <w:p>
            <w:pPr>
              <w:pStyle w:val="TableParagraph"/>
              <w:spacing w:line="182" w:lineRule="exact" w:before="8"/>
              <w:ind w:left="23" w:right="31"/>
              <w:jc w:val="center"/>
              <w:rPr>
                <w:sz w:val="17"/>
              </w:rPr>
            </w:pPr>
            <w:r>
              <w:rPr>
                <w:sz w:val="17"/>
              </w:rPr>
              <w:t>0,4</w:t>
            </w:r>
          </w:p>
        </w:tc>
        <w:tc>
          <w:tcPr>
            <w:tcW w:w="773" w:type="dxa"/>
          </w:tcPr>
          <w:p>
            <w:pPr>
              <w:pStyle w:val="TableParagraph"/>
              <w:spacing w:line="182" w:lineRule="exact" w:before="8"/>
              <w:ind w:left="38" w:right="33"/>
              <w:jc w:val="center"/>
              <w:rPr>
                <w:sz w:val="17"/>
              </w:rPr>
            </w:pPr>
            <w:r>
              <w:rPr>
                <w:sz w:val="17"/>
              </w:rPr>
              <w:t>-0,2</w:t>
            </w:r>
          </w:p>
        </w:tc>
        <w:tc>
          <w:tcPr>
            <w:tcW w:w="775" w:type="dxa"/>
          </w:tcPr>
          <w:p>
            <w:pPr>
              <w:pStyle w:val="TableParagraph"/>
              <w:spacing w:line="182" w:lineRule="exact" w:before="8"/>
              <w:ind w:left="38" w:right="35"/>
              <w:jc w:val="center"/>
              <w:rPr>
                <w:sz w:val="17"/>
              </w:rPr>
            </w:pPr>
            <w:r>
              <w:rPr>
                <w:sz w:val="17"/>
              </w:rPr>
              <w:t>0,1</w:t>
            </w:r>
          </w:p>
        </w:tc>
        <w:tc>
          <w:tcPr>
            <w:tcW w:w="775" w:type="dxa"/>
          </w:tcPr>
          <w:p>
            <w:pPr>
              <w:pStyle w:val="TableParagraph"/>
              <w:spacing w:line="182" w:lineRule="exact" w:before="8"/>
              <w:ind w:left="38" w:right="34"/>
              <w:jc w:val="center"/>
              <w:rPr>
                <w:sz w:val="17"/>
              </w:rPr>
            </w:pPr>
            <w:r>
              <w:rPr>
                <w:sz w:val="17"/>
              </w:rPr>
              <w:t>0,1</w:t>
            </w:r>
          </w:p>
        </w:tc>
        <w:tc>
          <w:tcPr>
            <w:tcW w:w="774" w:type="dxa"/>
          </w:tcPr>
          <w:p>
            <w:pPr>
              <w:pStyle w:val="TableParagraph"/>
              <w:spacing w:line="182" w:lineRule="exact" w:before="8"/>
              <w:ind w:left="37" w:right="38"/>
              <w:jc w:val="center"/>
              <w:rPr>
                <w:sz w:val="17"/>
              </w:rPr>
            </w:pPr>
            <w:r>
              <w:rPr>
                <w:sz w:val="17"/>
              </w:rPr>
              <w:t>0,2</w:t>
            </w:r>
          </w:p>
        </w:tc>
      </w:tr>
      <w:tr>
        <w:trPr>
          <w:trHeight w:val="210" w:hRule="atLeast"/>
        </w:trPr>
        <w:tc>
          <w:tcPr>
            <w:tcW w:w="4369" w:type="dxa"/>
          </w:tcPr>
          <w:p>
            <w:pPr>
              <w:pStyle w:val="TableParagraph"/>
              <w:spacing w:line="181" w:lineRule="exact" w:before="9"/>
              <w:ind w:left="28"/>
              <w:jc w:val="left"/>
              <w:rPr>
                <w:sz w:val="17"/>
              </w:rPr>
            </w:pPr>
            <w:r>
              <w:rPr>
                <w:sz w:val="17"/>
              </w:rPr>
              <w:t>Investimenti</w:t>
            </w:r>
          </w:p>
        </w:tc>
        <w:tc>
          <w:tcPr>
            <w:tcW w:w="757" w:type="dxa"/>
          </w:tcPr>
          <w:p>
            <w:pPr>
              <w:pStyle w:val="TableParagraph"/>
              <w:spacing w:line="181" w:lineRule="exact" w:before="9"/>
              <w:ind w:left="23" w:right="31"/>
              <w:jc w:val="center"/>
              <w:rPr>
                <w:sz w:val="17"/>
              </w:rPr>
            </w:pPr>
            <w:r>
              <w:rPr>
                <w:sz w:val="17"/>
              </w:rPr>
              <w:t>3,2</w:t>
            </w:r>
          </w:p>
        </w:tc>
        <w:tc>
          <w:tcPr>
            <w:tcW w:w="773" w:type="dxa"/>
          </w:tcPr>
          <w:p>
            <w:pPr>
              <w:pStyle w:val="TableParagraph"/>
              <w:spacing w:line="181" w:lineRule="exact" w:before="9"/>
              <w:ind w:left="38" w:right="33"/>
              <w:jc w:val="center"/>
              <w:rPr>
                <w:sz w:val="17"/>
              </w:rPr>
            </w:pPr>
            <w:r>
              <w:rPr>
                <w:sz w:val="17"/>
              </w:rPr>
              <w:t>2,1</w:t>
            </w:r>
          </w:p>
        </w:tc>
        <w:tc>
          <w:tcPr>
            <w:tcW w:w="775" w:type="dxa"/>
          </w:tcPr>
          <w:p>
            <w:pPr>
              <w:pStyle w:val="TableParagraph"/>
              <w:spacing w:line="181" w:lineRule="exact" w:before="9"/>
              <w:ind w:left="38" w:right="35"/>
              <w:jc w:val="center"/>
              <w:rPr>
                <w:sz w:val="17"/>
              </w:rPr>
            </w:pPr>
            <w:r>
              <w:rPr>
                <w:sz w:val="17"/>
              </w:rPr>
              <w:t>1,6</w:t>
            </w:r>
          </w:p>
        </w:tc>
        <w:tc>
          <w:tcPr>
            <w:tcW w:w="775" w:type="dxa"/>
          </w:tcPr>
          <w:p>
            <w:pPr>
              <w:pStyle w:val="TableParagraph"/>
              <w:spacing w:line="181" w:lineRule="exact" w:before="9"/>
              <w:ind w:left="38" w:right="34"/>
              <w:jc w:val="center"/>
              <w:rPr>
                <w:sz w:val="17"/>
              </w:rPr>
            </w:pPr>
            <w:r>
              <w:rPr>
                <w:sz w:val="17"/>
              </w:rPr>
              <w:t>1,7</w:t>
            </w:r>
          </w:p>
        </w:tc>
        <w:tc>
          <w:tcPr>
            <w:tcW w:w="774" w:type="dxa"/>
          </w:tcPr>
          <w:p>
            <w:pPr>
              <w:pStyle w:val="TableParagraph"/>
              <w:spacing w:line="181" w:lineRule="exact" w:before="9"/>
              <w:ind w:left="37" w:right="38"/>
              <w:jc w:val="center"/>
              <w:rPr>
                <w:sz w:val="17"/>
              </w:rPr>
            </w:pPr>
            <w:r>
              <w:rPr>
                <w:sz w:val="17"/>
              </w:rPr>
              <w:t>2,2</w:t>
            </w:r>
          </w:p>
        </w:tc>
      </w:tr>
      <w:tr>
        <w:trPr>
          <w:trHeight w:val="210" w:hRule="atLeast"/>
        </w:trPr>
        <w:tc>
          <w:tcPr>
            <w:tcW w:w="4369" w:type="dxa"/>
          </w:tcPr>
          <w:p>
            <w:pPr>
              <w:pStyle w:val="TableParagraph"/>
              <w:spacing w:line="182" w:lineRule="exact" w:before="8"/>
              <w:ind w:left="71"/>
              <w:jc w:val="left"/>
              <w:rPr>
                <w:sz w:val="17"/>
              </w:rPr>
            </w:pPr>
            <w:r>
              <w:rPr>
                <w:sz w:val="17"/>
              </w:rPr>
              <w:t>- macchinari, attrezzature e vari</w:t>
            </w:r>
          </w:p>
        </w:tc>
        <w:tc>
          <w:tcPr>
            <w:tcW w:w="757" w:type="dxa"/>
          </w:tcPr>
          <w:p>
            <w:pPr>
              <w:pStyle w:val="TableParagraph"/>
              <w:spacing w:line="182" w:lineRule="exact" w:before="8"/>
              <w:ind w:left="23" w:right="31"/>
              <w:jc w:val="center"/>
              <w:rPr>
                <w:sz w:val="17"/>
              </w:rPr>
            </w:pPr>
            <w:r>
              <w:rPr>
                <w:sz w:val="17"/>
              </w:rPr>
              <w:t>2,6</w:t>
            </w:r>
          </w:p>
        </w:tc>
        <w:tc>
          <w:tcPr>
            <w:tcW w:w="773" w:type="dxa"/>
          </w:tcPr>
          <w:p>
            <w:pPr>
              <w:pStyle w:val="TableParagraph"/>
              <w:spacing w:line="182" w:lineRule="exact" w:before="8"/>
              <w:ind w:left="38" w:right="33"/>
              <w:jc w:val="center"/>
              <w:rPr>
                <w:sz w:val="17"/>
              </w:rPr>
            </w:pPr>
            <w:r>
              <w:rPr>
                <w:sz w:val="17"/>
              </w:rPr>
              <w:t>1,5</w:t>
            </w:r>
          </w:p>
        </w:tc>
        <w:tc>
          <w:tcPr>
            <w:tcW w:w="775" w:type="dxa"/>
          </w:tcPr>
          <w:p>
            <w:pPr>
              <w:pStyle w:val="TableParagraph"/>
              <w:spacing w:line="182" w:lineRule="exact" w:before="8"/>
              <w:ind w:left="38" w:right="35"/>
              <w:jc w:val="center"/>
              <w:rPr>
                <w:sz w:val="17"/>
              </w:rPr>
            </w:pPr>
            <w:r>
              <w:rPr>
                <w:sz w:val="17"/>
              </w:rPr>
              <w:t>1,3</w:t>
            </w:r>
          </w:p>
        </w:tc>
        <w:tc>
          <w:tcPr>
            <w:tcW w:w="775" w:type="dxa"/>
          </w:tcPr>
          <w:p>
            <w:pPr>
              <w:pStyle w:val="TableParagraph"/>
              <w:spacing w:line="182" w:lineRule="exact" w:before="8"/>
              <w:ind w:left="38" w:right="34"/>
              <w:jc w:val="center"/>
              <w:rPr>
                <w:sz w:val="17"/>
              </w:rPr>
            </w:pPr>
            <w:r>
              <w:rPr>
                <w:sz w:val="17"/>
              </w:rPr>
              <w:t>1,3</w:t>
            </w:r>
          </w:p>
        </w:tc>
        <w:tc>
          <w:tcPr>
            <w:tcW w:w="774" w:type="dxa"/>
          </w:tcPr>
          <w:p>
            <w:pPr>
              <w:pStyle w:val="TableParagraph"/>
              <w:spacing w:line="182" w:lineRule="exact" w:before="8"/>
              <w:ind w:left="37" w:right="38"/>
              <w:jc w:val="center"/>
              <w:rPr>
                <w:sz w:val="17"/>
              </w:rPr>
            </w:pPr>
            <w:r>
              <w:rPr>
                <w:sz w:val="17"/>
              </w:rPr>
              <w:t>2,5</w:t>
            </w:r>
          </w:p>
        </w:tc>
      </w:tr>
      <w:tr>
        <w:trPr>
          <w:trHeight w:val="210" w:hRule="atLeast"/>
        </w:trPr>
        <w:tc>
          <w:tcPr>
            <w:tcW w:w="4369" w:type="dxa"/>
          </w:tcPr>
          <w:p>
            <w:pPr>
              <w:pStyle w:val="TableParagraph"/>
              <w:spacing w:line="181" w:lineRule="exact" w:before="9"/>
              <w:ind w:left="71"/>
              <w:jc w:val="left"/>
              <w:rPr>
                <w:sz w:val="17"/>
              </w:rPr>
            </w:pPr>
            <w:r>
              <w:rPr>
                <w:sz w:val="17"/>
              </w:rPr>
              <w:t>- mezzi di trasporto</w:t>
            </w:r>
          </w:p>
        </w:tc>
        <w:tc>
          <w:tcPr>
            <w:tcW w:w="757" w:type="dxa"/>
          </w:tcPr>
          <w:p>
            <w:pPr>
              <w:pStyle w:val="TableParagraph"/>
              <w:spacing w:line="181" w:lineRule="exact" w:before="9"/>
              <w:ind w:left="23" w:right="31"/>
              <w:jc w:val="center"/>
              <w:rPr>
                <w:sz w:val="17"/>
              </w:rPr>
            </w:pPr>
            <w:r>
              <w:rPr>
                <w:sz w:val="17"/>
              </w:rPr>
              <w:t>8,8</w:t>
            </w:r>
          </w:p>
        </w:tc>
        <w:tc>
          <w:tcPr>
            <w:tcW w:w="773" w:type="dxa"/>
          </w:tcPr>
          <w:p>
            <w:pPr>
              <w:pStyle w:val="TableParagraph"/>
              <w:spacing w:line="181" w:lineRule="exact" w:before="9"/>
              <w:ind w:left="38" w:right="33"/>
              <w:jc w:val="center"/>
              <w:rPr>
                <w:sz w:val="17"/>
              </w:rPr>
            </w:pPr>
            <w:r>
              <w:rPr>
                <w:sz w:val="17"/>
              </w:rPr>
              <w:t>0,3</w:t>
            </w:r>
          </w:p>
        </w:tc>
        <w:tc>
          <w:tcPr>
            <w:tcW w:w="775" w:type="dxa"/>
          </w:tcPr>
          <w:p>
            <w:pPr>
              <w:pStyle w:val="TableParagraph"/>
              <w:spacing w:line="181" w:lineRule="exact" w:before="9"/>
              <w:ind w:left="38" w:right="35"/>
              <w:jc w:val="center"/>
              <w:rPr>
                <w:sz w:val="17"/>
              </w:rPr>
            </w:pPr>
            <w:r>
              <w:rPr>
                <w:sz w:val="17"/>
              </w:rPr>
              <w:t>1,6</w:t>
            </w:r>
          </w:p>
        </w:tc>
        <w:tc>
          <w:tcPr>
            <w:tcW w:w="775" w:type="dxa"/>
          </w:tcPr>
          <w:p>
            <w:pPr>
              <w:pStyle w:val="TableParagraph"/>
              <w:spacing w:line="181" w:lineRule="exact" w:before="9"/>
              <w:ind w:left="38" w:right="34"/>
              <w:jc w:val="center"/>
              <w:rPr>
                <w:sz w:val="17"/>
              </w:rPr>
            </w:pPr>
            <w:r>
              <w:rPr>
                <w:sz w:val="17"/>
              </w:rPr>
              <w:t>1,3</w:t>
            </w:r>
          </w:p>
        </w:tc>
        <w:tc>
          <w:tcPr>
            <w:tcW w:w="774" w:type="dxa"/>
          </w:tcPr>
          <w:p>
            <w:pPr>
              <w:pStyle w:val="TableParagraph"/>
              <w:spacing w:line="181" w:lineRule="exact" w:before="9"/>
              <w:ind w:left="37" w:right="38"/>
              <w:jc w:val="center"/>
              <w:rPr>
                <w:sz w:val="17"/>
              </w:rPr>
            </w:pPr>
            <w:r>
              <w:rPr>
                <w:sz w:val="17"/>
              </w:rPr>
              <w:t>1,5</w:t>
            </w:r>
          </w:p>
        </w:tc>
      </w:tr>
      <w:tr>
        <w:trPr>
          <w:trHeight w:val="210" w:hRule="atLeast"/>
        </w:trPr>
        <w:tc>
          <w:tcPr>
            <w:tcW w:w="4369" w:type="dxa"/>
          </w:tcPr>
          <w:p>
            <w:pPr>
              <w:pStyle w:val="TableParagraph"/>
              <w:spacing w:line="182" w:lineRule="exact" w:before="8"/>
              <w:ind w:left="71"/>
              <w:jc w:val="left"/>
              <w:rPr>
                <w:sz w:val="17"/>
              </w:rPr>
            </w:pPr>
            <w:r>
              <w:rPr>
                <w:sz w:val="17"/>
              </w:rPr>
              <w:t>- costruzioni</w:t>
            </w:r>
          </w:p>
        </w:tc>
        <w:tc>
          <w:tcPr>
            <w:tcW w:w="757" w:type="dxa"/>
          </w:tcPr>
          <w:p>
            <w:pPr>
              <w:pStyle w:val="TableParagraph"/>
              <w:spacing w:line="182" w:lineRule="exact" w:before="8"/>
              <w:ind w:left="23" w:right="31"/>
              <w:jc w:val="center"/>
              <w:rPr>
                <w:sz w:val="17"/>
              </w:rPr>
            </w:pPr>
            <w:r>
              <w:rPr>
                <w:sz w:val="17"/>
              </w:rPr>
              <w:t>2,9</w:t>
            </w:r>
          </w:p>
        </w:tc>
        <w:tc>
          <w:tcPr>
            <w:tcW w:w="773" w:type="dxa"/>
          </w:tcPr>
          <w:p>
            <w:pPr>
              <w:pStyle w:val="TableParagraph"/>
              <w:spacing w:line="182" w:lineRule="exact" w:before="8"/>
              <w:ind w:left="38" w:right="33"/>
              <w:jc w:val="center"/>
              <w:rPr>
                <w:sz w:val="17"/>
              </w:rPr>
            </w:pPr>
            <w:r>
              <w:rPr>
                <w:sz w:val="17"/>
              </w:rPr>
              <w:t>3,1</w:t>
            </w:r>
          </w:p>
        </w:tc>
        <w:tc>
          <w:tcPr>
            <w:tcW w:w="775" w:type="dxa"/>
          </w:tcPr>
          <w:p>
            <w:pPr>
              <w:pStyle w:val="TableParagraph"/>
              <w:spacing w:line="182" w:lineRule="exact" w:before="8"/>
              <w:ind w:left="38" w:right="35"/>
              <w:jc w:val="center"/>
              <w:rPr>
                <w:sz w:val="17"/>
              </w:rPr>
            </w:pPr>
            <w:r>
              <w:rPr>
                <w:sz w:val="17"/>
              </w:rPr>
              <w:t>2,0</w:t>
            </w:r>
          </w:p>
        </w:tc>
        <w:tc>
          <w:tcPr>
            <w:tcW w:w="775" w:type="dxa"/>
          </w:tcPr>
          <w:p>
            <w:pPr>
              <w:pStyle w:val="TableParagraph"/>
              <w:spacing w:line="182" w:lineRule="exact" w:before="8"/>
              <w:ind w:left="38" w:right="34"/>
              <w:jc w:val="center"/>
              <w:rPr>
                <w:sz w:val="17"/>
              </w:rPr>
            </w:pPr>
            <w:r>
              <w:rPr>
                <w:sz w:val="17"/>
              </w:rPr>
              <w:t>2,1</w:t>
            </w:r>
          </w:p>
        </w:tc>
        <w:tc>
          <w:tcPr>
            <w:tcW w:w="774" w:type="dxa"/>
          </w:tcPr>
          <w:p>
            <w:pPr>
              <w:pStyle w:val="TableParagraph"/>
              <w:spacing w:line="182" w:lineRule="exact" w:before="8"/>
              <w:ind w:left="37" w:right="38"/>
              <w:jc w:val="center"/>
              <w:rPr>
                <w:sz w:val="17"/>
              </w:rPr>
            </w:pPr>
            <w:r>
              <w:rPr>
                <w:sz w:val="17"/>
              </w:rPr>
              <w:t>2,1</w:t>
            </w:r>
          </w:p>
        </w:tc>
      </w:tr>
      <w:tr>
        <w:trPr>
          <w:trHeight w:val="286" w:hRule="atLeast"/>
        </w:trPr>
        <w:tc>
          <w:tcPr>
            <w:tcW w:w="4369" w:type="dxa"/>
          </w:tcPr>
          <w:p>
            <w:pPr>
              <w:pStyle w:val="TableParagraph"/>
              <w:spacing w:before="9"/>
              <w:ind w:left="28"/>
              <w:jc w:val="left"/>
              <w:rPr>
                <w:sz w:val="17"/>
              </w:rPr>
            </w:pPr>
            <w:r>
              <w:rPr>
                <w:sz w:val="17"/>
              </w:rPr>
              <w:t>Esportazioni</w:t>
            </w:r>
          </w:p>
        </w:tc>
        <w:tc>
          <w:tcPr>
            <w:tcW w:w="757" w:type="dxa"/>
          </w:tcPr>
          <w:p>
            <w:pPr>
              <w:pStyle w:val="TableParagraph"/>
              <w:spacing w:before="9"/>
              <w:ind w:left="23" w:right="31"/>
              <w:jc w:val="center"/>
              <w:rPr>
                <w:sz w:val="17"/>
              </w:rPr>
            </w:pPr>
            <w:r>
              <w:rPr>
                <w:sz w:val="17"/>
              </w:rPr>
              <w:t>1,8</w:t>
            </w:r>
          </w:p>
        </w:tc>
        <w:tc>
          <w:tcPr>
            <w:tcW w:w="773" w:type="dxa"/>
          </w:tcPr>
          <w:p>
            <w:pPr>
              <w:pStyle w:val="TableParagraph"/>
              <w:spacing w:before="9"/>
              <w:ind w:left="38" w:right="33"/>
              <w:jc w:val="center"/>
              <w:rPr>
                <w:sz w:val="17"/>
              </w:rPr>
            </w:pPr>
            <w:r>
              <w:rPr>
                <w:sz w:val="17"/>
              </w:rPr>
              <w:t>2,8</w:t>
            </w:r>
          </w:p>
        </w:tc>
        <w:tc>
          <w:tcPr>
            <w:tcW w:w="775" w:type="dxa"/>
          </w:tcPr>
          <w:p>
            <w:pPr>
              <w:pStyle w:val="TableParagraph"/>
              <w:spacing w:before="9"/>
              <w:ind w:left="38" w:right="35"/>
              <w:jc w:val="center"/>
              <w:rPr>
                <w:sz w:val="17"/>
              </w:rPr>
            </w:pPr>
            <w:r>
              <w:rPr>
                <w:sz w:val="17"/>
              </w:rPr>
              <w:t>2,3</w:t>
            </w:r>
          </w:p>
        </w:tc>
        <w:tc>
          <w:tcPr>
            <w:tcW w:w="775" w:type="dxa"/>
          </w:tcPr>
          <w:p>
            <w:pPr>
              <w:pStyle w:val="TableParagraph"/>
              <w:spacing w:before="9"/>
              <w:ind w:left="38" w:right="34"/>
              <w:jc w:val="center"/>
              <w:rPr>
                <w:sz w:val="17"/>
              </w:rPr>
            </w:pPr>
            <w:r>
              <w:rPr>
                <w:sz w:val="17"/>
              </w:rPr>
              <w:t>2,8</w:t>
            </w:r>
          </w:p>
        </w:tc>
        <w:tc>
          <w:tcPr>
            <w:tcW w:w="774" w:type="dxa"/>
          </w:tcPr>
          <w:p>
            <w:pPr>
              <w:pStyle w:val="TableParagraph"/>
              <w:spacing w:before="9"/>
              <w:ind w:left="37" w:right="38"/>
              <w:jc w:val="center"/>
              <w:rPr>
                <w:sz w:val="17"/>
              </w:rPr>
            </w:pPr>
            <w:r>
              <w:rPr>
                <w:sz w:val="17"/>
              </w:rPr>
              <w:t>3,2</w:t>
            </w:r>
          </w:p>
        </w:tc>
      </w:tr>
      <w:tr>
        <w:trPr>
          <w:trHeight w:val="349" w:hRule="atLeast"/>
        </w:trPr>
        <w:tc>
          <w:tcPr>
            <w:tcW w:w="4369" w:type="dxa"/>
            <w:tcBorders>
              <w:bottom w:val="single" w:sz="4" w:space="0" w:color="000000"/>
            </w:tcBorders>
          </w:tcPr>
          <w:p>
            <w:pPr>
              <w:pStyle w:val="TableParagraph"/>
              <w:spacing w:before="85"/>
              <w:ind w:left="28"/>
              <w:jc w:val="left"/>
              <w:rPr>
                <w:i/>
                <w:sz w:val="17"/>
              </w:rPr>
            </w:pPr>
            <w:r>
              <w:rPr>
                <w:i/>
                <w:sz w:val="17"/>
              </w:rPr>
              <w:t>pm. saldo corrente bil. pag.in % PIL</w:t>
            </w:r>
          </w:p>
        </w:tc>
        <w:tc>
          <w:tcPr>
            <w:tcW w:w="757" w:type="dxa"/>
            <w:tcBorders>
              <w:bottom w:val="single" w:sz="4" w:space="0" w:color="000000"/>
            </w:tcBorders>
          </w:tcPr>
          <w:p>
            <w:pPr>
              <w:pStyle w:val="TableParagraph"/>
              <w:spacing w:before="85"/>
              <w:ind w:left="23" w:right="31"/>
              <w:jc w:val="center"/>
              <w:rPr>
                <w:i/>
                <w:sz w:val="17"/>
              </w:rPr>
            </w:pPr>
            <w:r>
              <w:rPr>
                <w:i/>
                <w:sz w:val="17"/>
              </w:rPr>
              <w:t>2,5</w:t>
            </w:r>
          </w:p>
        </w:tc>
        <w:tc>
          <w:tcPr>
            <w:tcW w:w="773" w:type="dxa"/>
            <w:tcBorders>
              <w:bottom w:val="single" w:sz="4" w:space="0" w:color="000000"/>
            </w:tcBorders>
          </w:tcPr>
          <w:p>
            <w:pPr>
              <w:pStyle w:val="TableParagraph"/>
              <w:spacing w:before="85"/>
              <w:ind w:left="38" w:right="33"/>
              <w:jc w:val="center"/>
              <w:rPr>
                <w:i/>
                <w:sz w:val="17"/>
              </w:rPr>
            </w:pPr>
            <w:r>
              <w:rPr>
                <w:i/>
                <w:sz w:val="17"/>
              </w:rPr>
              <w:t>2,7</w:t>
            </w:r>
          </w:p>
        </w:tc>
        <w:tc>
          <w:tcPr>
            <w:tcW w:w="775" w:type="dxa"/>
            <w:tcBorders>
              <w:bottom w:val="single" w:sz="4" w:space="0" w:color="000000"/>
            </w:tcBorders>
          </w:tcPr>
          <w:p>
            <w:pPr>
              <w:pStyle w:val="TableParagraph"/>
              <w:spacing w:before="85"/>
              <w:ind w:left="38" w:right="35"/>
              <w:jc w:val="center"/>
              <w:rPr>
                <w:i/>
                <w:sz w:val="17"/>
              </w:rPr>
            </w:pPr>
            <w:r>
              <w:rPr>
                <w:i/>
                <w:sz w:val="17"/>
              </w:rPr>
              <w:t>2,8</w:t>
            </w:r>
          </w:p>
        </w:tc>
        <w:tc>
          <w:tcPr>
            <w:tcW w:w="775" w:type="dxa"/>
            <w:tcBorders>
              <w:bottom w:val="single" w:sz="4" w:space="0" w:color="000000"/>
            </w:tcBorders>
          </w:tcPr>
          <w:p>
            <w:pPr>
              <w:pStyle w:val="TableParagraph"/>
              <w:spacing w:before="85"/>
              <w:ind w:left="38" w:right="34"/>
              <w:jc w:val="center"/>
              <w:rPr>
                <w:i/>
                <w:sz w:val="17"/>
              </w:rPr>
            </w:pPr>
            <w:r>
              <w:rPr>
                <w:i/>
                <w:sz w:val="17"/>
              </w:rPr>
              <w:t>2,7</w:t>
            </w:r>
          </w:p>
        </w:tc>
        <w:tc>
          <w:tcPr>
            <w:tcW w:w="774" w:type="dxa"/>
            <w:tcBorders>
              <w:bottom w:val="single" w:sz="4" w:space="0" w:color="000000"/>
            </w:tcBorders>
          </w:tcPr>
          <w:p>
            <w:pPr>
              <w:pStyle w:val="TableParagraph"/>
              <w:spacing w:before="85"/>
              <w:ind w:left="37" w:right="38"/>
              <w:jc w:val="center"/>
              <w:rPr>
                <w:i/>
                <w:sz w:val="17"/>
              </w:rPr>
            </w:pPr>
            <w:r>
              <w:rPr>
                <w:i/>
                <w:sz w:val="17"/>
              </w:rPr>
              <w:t>2,6</w:t>
            </w:r>
          </w:p>
        </w:tc>
      </w:tr>
      <w:tr>
        <w:trPr>
          <w:trHeight w:val="415" w:hRule="atLeast"/>
        </w:trPr>
        <w:tc>
          <w:tcPr>
            <w:tcW w:w="4369" w:type="dxa"/>
            <w:tcBorders>
              <w:top w:val="single" w:sz="4" w:space="0" w:color="000000"/>
            </w:tcBorders>
          </w:tcPr>
          <w:p>
            <w:pPr>
              <w:pStyle w:val="TableParagraph"/>
              <w:spacing w:line="195" w:lineRule="exact"/>
              <w:ind w:left="28"/>
              <w:jc w:val="left"/>
              <w:rPr>
                <w:sz w:val="18"/>
              </w:rPr>
            </w:pPr>
            <w:r>
              <w:rPr>
                <w:sz w:val="18"/>
              </w:rPr>
              <w:t>CONTRIBUTI ALLA CRESCITA DEL PIL (*)</w:t>
            </w:r>
          </w:p>
          <w:p>
            <w:pPr>
              <w:pStyle w:val="TableParagraph"/>
              <w:spacing w:line="181" w:lineRule="exact" w:before="16"/>
              <w:ind w:left="28"/>
              <w:jc w:val="left"/>
              <w:rPr>
                <w:sz w:val="17"/>
              </w:rPr>
            </w:pPr>
            <w:r>
              <w:rPr>
                <w:sz w:val="17"/>
              </w:rPr>
              <w:t>Esportazioni nette</w:t>
            </w:r>
          </w:p>
        </w:tc>
        <w:tc>
          <w:tcPr>
            <w:tcW w:w="757" w:type="dxa"/>
            <w:tcBorders>
              <w:top w:val="single" w:sz="4" w:space="0" w:color="000000"/>
            </w:tcBorders>
          </w:tcPr>
          <w:p>
            <w:pPr>
              <w:pStyle w:val="TableParagraph"/>
              <w:spacing w:before="2"/>
              <w:jc w:val="left"/>
              <w:rPr>
                <w:rFonts w:ascii="Trebuchet MS"/>
                <w:sz w:val="18"/>
              </w:rPr>
            </w:pPr>
          </w:p>
          <w:p>
            <w:pPr>
              <w:pStyle w:val="TableParagraph"/>
              <w:spacing w:line="181" w:lineRule="exact"/>
              <w:ind w:left="23" w:right="31"/>
              <w:jc w:val="center"/>
              <w:rPr>
                <w:sz w:val="17"/>
              </w:rPr>
            </w:pPr>
            <w:r>
              <w:rPr>
                <w:sz w:val="17"/>
              </w:rPr>
              <w:t>-0,3</w:t>
            </w:r>
          </w:p>
        </w:tc>
        <w:tc>
          <w:tcPr>
            <w:tcW w:w="773" w:type="dxa"/>
            <w:tcBorders>
              <w:top w:val="single" w:sz="4" w:space="0" w:color="000000"/>
            </w:tcBorders>
          </w:tcPr>
          <w:p>
            <w:pPr>
              <w:pStyle w:val="TableParagraph"/>
              <w:spacing w:before="2"/>
              <w:jc w:val="left"/>
              <w:rPr>
                <w:rFonts w:ascii="Trebuchet MS"/>
                <w:sz w:val="18"/>
              </w:rPr>
            </w:pPr>
          </w:p>
          <w:p>
            <w:pPr>
              <w:pStyle w:val="TableParagraph"/>
              <w:spacing w:line="181" w:lineRule="exact"/>
              <w:ind w:left="38" w:right="33"/>
              <w:jc w:val="center"/>
              <w:rPr>
                <w:sz w:val="17"/>
              </w:rPr>
            </w:pPr>
            <w:r>
              <w:rPr>
                <w:sz w:val="17"/>
              </w:rPr>
              <w:t>0,6</w:t>
            </w:r>
          </w:p>
        </w:tc>
        <w:tc>
          <w:tcPr>
            <w:tcW w:w="775" w:type="dxa"/>
            <w:tcBorders>
              <w:top w:val="single" w:sz="4" w:space="0" w:color="000000"/>
            </w:tcBorders>
          </w:tcPr>
          <w:p>
            <w:pPr>
              <w:pStyle w:val="TableParagraph"/>
              <w:spacing w:before="2"/>
              <w:jc w:val="left"/>
              <w:rPr>
                <w:rFonts w:ascii="Trebuchet MS"/>
                <w:sz w:val="18"/>
              </w:rPr>
            </w:pPr>
          </w:p>
          <w:p>
            <w:pPr>
              <w:pStyle w:val="TableParagraph"/>
              <w:spacing w:line="181" w:lineRule="exact"/>
              <w:ind w:left="38" w:right="35"/>
              <w:jc w:val="center"/>
              <w:rPr>
                <w:sz w:val="17"/>
              </w:rPr>
            </w:pPr>
            <w:r>
              <w:rPr>
                <w:sz w:val="17"/>
              </w:rPr>
              <w:t>0,1</w:t>
            </w:r>
          </w:p>
        </w:tc>
        <w:tc>
          <w:tcPr>
            <w:tcW w:w="775" w:type="dxa"/>
            <w:tcBorders>
              <w:top w:val="single" w:sz="4" w:space="0" w:color="000000"/>
            </w:tcBorders>
          </w:tcPr>
          <w:p>
            <w:pPr>
              <w:pStyle w:val="TableParagraph"/>
              <w:spacing w:before="2"/>
              <w:jc w:val="left"/>
              <w:rPr>
                <w:rFonts w:ascii="Trebuchet MS"/>
                <w:sz w:val="18"/>
              </w:rPr>
            </w:pPr>
          </w:p>
          <w:p>
            <w:pPr>
              <w:pStyle w:val="TableParagraph"/>
              <w:spacing w:line="181" w:lineRule="exact"/>
              <w:ind w:left="38" w:right="34"/>
              <w:jc w:val="center"/>
              <w:rPr>
                <w:sz w:val="17"/>
              </w:rPr>
            </w:pPr>
            <w:r>
              <w:rPr>
                <w:sz w:val="17"/>
              </w:rPr>
              <w:t>0,0</w:t>
            </w:r>
          </w:p>
        </w:tc>
        <w:tc>
          <w:tcPr>
            <w:tcW w:w="774" w:type="dxa"/>
            <w:tcBorders>
              <w:top w:val="single" w:sz="4" w:space="0" w:color="000000"/>
            </w:tcBorders>
          </w:tcPr>
          <w:p>
            <w:pPr>
              <w:pStyle w:val="TableParagraph"/>
              <w:spacing w:before="2"/>
              <w:jc w:val="left"/>
              <w:rPr>
                <w:rFonts w:ascii="Trebuchet MS"/>
                <w:sz w:val="18"/>
              </w:rPr>
            </w:pPr>
          </w:p>
          <w:p>
            <w:pPr>
              <w:pStyle w:val="TableParagraph"/>
              <w:spacing w:line="181" w:lineRule="exact"/>
              <w:ind w:left="37" w:right="38"/>
              <w:jc w:val="center"/>
              <w:rPr>
                <w:sz w:val="17"/>
              </w:rPr>
            </w:pPr>
            <w:r>
              <w:rPr>
                <w:sz w:val="17"/>
              </w:rPr>
              <w:t>0,0</w:t>
            </w:r>
          </w:p>
        </w:tc>
      </w:tr>
      <w:tr>
        <w:trPr>
          <w:trHeight w:val="210" w:hRule="atLeast"/>
        </w:trPr>
        <w:tc>
          <w:tcPr>
            <w:tcW w:w="4369" w:type="dxa"/>
          </w:tcPr>
          <w:p>
            <w:pPr>
              <w:pStyle w:val="TableParagraph"/>
              <w:spacing w:line="182" w:lineRule="exact" w:before="8"/>
              <w:ind w:left="28"/>
              <w:jc w:val="left"/>
              <w:rPr>
                <w:sz w:val="17"/>
              </w:rPr>
            </w:pPr>
            <w:r>
              <w:rPr>
                <w:sz w:val="17"/>
              </w:rPr>
              <w:t>Scorte</w:t>
            </w:r>
          </w:p>
        </w:tc>
        <w:tc>
          <w:tcPr>
            <w:tcW w:w="757" w:type="dxa"/>
          </w:tcPr>
          <w:p>
            <w:pPr>
              <w:pStyle w:val="TableParagraph"/>
              <w:spacing w:line="182" w:lineRule="exact" w:before="8"/>
              <w:ind w:left="23" w:right="31"/>
              <w:jc w:val="center"/>
              <w:rPr>
                <w:sz w:val="17"/>
              </w:rPr>
            </w:pPr>
            <w:r>
              <w:rPr>
                <w:sz w:val="17"/>
              </w:rPr>
              <w:t>-0,1</w:t>
            </w:r>
          </w:p>
        </w:tc>
        <w:tc>
          <w:tcPr>
            <w:tcW w:w="773" w:type="dxa"/>
          </w:tcPr>
          <w:p>
            <w:pPr>
              <w:pStyle w:val="TableParagraph"/>
              <w:spacing w:line="182" w:lineRule="exact" w:before="8"/>
              <w:ind w:left="38" w:right="33"/>
              <w:jc w:val="center"/>
              <w:rPr>
                <w:sz w:val="17"/>
              </w:rPr>
            </w:pPr>
            <w:r>
              <w:rPr>
                <w:sz w:val="17"/>
              </w:rPr>
              <w:t>-1,1</w:t>
            </w:r>
          </w:p>
        </w:tc>
        <w:tc>
          <w:tcPr>
            <w:tcW w:w="775" w:type="dxa"/>
          </w:tcPr>
          <w:p>
            <w:pPr>
              <w:pStyle w:val="TableParagraph"/>
              <w:spacing w:line="182" w:lineRule="exact" w:before="8"/>
              <w:ind w:left="38" w:right="35"/>
              <w:jc w:val="center"/>
              <w:rPr>
                <w:sz w:val="17"/>
              </w:rPr>
            </w:pPr>
            <w:r>
              <w:rPr>
                <w:sz w:val="17"/>
              </w:rPr>
              <w:t>-0,2</w:t>
            </w:r>
          </w:p>
        </w:tc>
        <w:tc>
          <w:tcPr>
            <w:tcW w:w="775" w:type="dxa"/>
          </w:tcPr>
          <w:p>
            <w:pPr>
              <w:pStyle w:val="TableParagraph"/>
              <w:spacing w:line="182" w:lineRule="exact" w:before="8"/>
              <w:ind w:left="38" w:right="34"/>
              <w:jc w:val="center"/>
              <w:rPr>
                <w:sz w:val="17"/>
              </w:rPr>
            </w:pPr>
            <w:r>
              <w:rPr>
                <w:sz w:val="17"/>
              </w:rPr>
              <w:t>0,1</w:t>
            </w:r>
          </w:p>
        </w:tc>
        <w:tc>
          <w:tcPr>
            <w:tcW w:w="774" w:type="dxa"/>
          </w:tcPr>
          <w:p>
            <w:pPr>
              <w:pStyle w:val="TableParagraph"/>
              <w:spacing w:line="182" w:lineRule="exact" w:before="8"/>
              <w:ind w:left="37" w:right="38"/>
              <w:jc w:val="center"/>
              <w:rPr>
                <w:sz w:val="17"/>
              </w:rPr>
            </w:pPr>
            <w:r>
              <w:rPr>
                <w:sz w:val="17"/>
              </w:rPr>
              <w:t>0,1</w:t>
            </w:r>
          </w:p>
        </w:tc>
      </w:tr>
      <w:tr>
        <w:trPr>
          <w:trHeight w:val="213" w:hRule="atLeast"/>
        </w:trPr>
        <w:tc>
          <w:tcPr>
            <w:tcW w:w="4369" w:type="dxa"/>
            <w:tcBorders>
              <w:bottom w:val="single" w:sz="4" w:space="0" w:color="000000"/>
            </w:tcBorders>
          </w:tcPr>
          <w:p>
            <w:pPr>
              <w:pStyle w:val="TableParagraph"/>
              <w:spacing w:line="188" w:lineRule="exact" w:before="9"/>
              <w:ind w:left="28"/>
              <w:jc w:val="left"/>
              <w:rPr>
                <w:sz w:val="17"/>
              </w:rPr>
            </w:pPr>
            <w:r>
              <w:rPr>
                <w:sz w:val="17"/>
              </w:rPr>
              <w:t>Domanda nazionale al netto delle scorte</w:t>
            </w:r>
          </w:p>
        </w:tc>
        <w:tc>
          <w:tcPr>
            <w:tcW w:w="757" w:type="dxa"/>
            <w:tcBorders>
              <w:bottom w:val="single" w:sz="4" w:space="0" w:color="000000"/>
            </w:tcBorders>
          </w:tcPr>
          <w:p>
            <w:pPr>
              <w:pStyle w:val="TableParagraph"/>
              <w:spacing w:line="188" w:lineRule="exact" w:before="9"/>
              <w:ind w:left="23" w:right="31"/>
              <w:jc w:val="center"/>
              <w:rPr>
                <w:sz w:val="17"/>
              </w:rPr>
            </w:pPr>
            <w:r>
              <w:rPr>
                <w:sz w:val="17"/>
              </w:rPr>
              <w:t>1,1</w:t>
            </w:r>
          </w:p>
        </w:tc>
        <w:tc>
          <w:tcPr>
            <w:tcW w:w="773" w:type="dxa"/>
            <w:tcBorders>
              <w:bottom w:val="single" w:sz="4" w:space="0" w:color="000000"/>
            </w:tcBorders>
          </w:tcPr>
          <w:p>
            <w:pPr>
              <w:pStyle w:val="TableParagraph"/>
              <w:spacing w:line="188" w:lineRule="exact" w:before="9"/>
              <w:ind w:left="38" w:right="33"/>
              <w:jc w:val="center"/>
              <w:rPr>
                <w:sz w:val="17"/>
              </w:rPr>
            </w:pPr>
            <w:r>
              <w:rPr>
                <w:sz w:val="17"/>
              </w:rPr>
              <w:t>0,6</w:t>
            </w:r>
          </w:p>
        </w:tc>
        <w:tc>
          <w:tcPr>
            <w:tcW w:w="775" w:type="dxa"/>
            <w:tcBorders>
              <w:bottom w:val="single" w:sz="4" w:space="0" w:color="000000"/>
            </w:tcBorders>
          </w:tcPr>
          <w:p>
            <w:pPr>
              <w:pStyle w:val="TableParagraph"/>
              <w:spacing w:line="188" w:lineRule="exact" w:before="9"/>
              <w:ind w:left="38" w:right="35"/>
              <w:jc w:val="center"/>
              <w:rPr>
                <w:sz w:val="17"/>
              </w:rPr>
            </w:pPr>
            <w:r>
              <w:rPr>
                <w:sz w:val="17"/>
              </w:rPr>
              <w:t>0,5</w:t>
            </w:r>
          </w:p>
        </w:tc>
        <w:tc>
          <w:tcPr>
            <w:tcW w:w="775" w:type="dxa"/>
            <w:tcBorders>
              <w:bottom w:val="single" w:sz="4" w:space="0" w:color="000000"/>
            </w:tcBorders>
          </w:tcPr>
          <w:p>
            <w:pPr>
              <w:pStyle w:val="TableParagraph"/>
              <w:spacing w:line="188" w:lineRule="exact" w:before="9"/>
              <w:ind w:left="38" w:right="34"/>
              <w:jc w:val="center"/>
              <w:rPr>
                <w:sz w:val="17"/>
              </w:rPr>
            </w:pPr>
            <w:r>
              <w:rPr>
                <w:sz w:val="17"/>
              </w:rPr>
              <w:t>0,7</w:t>
            </w:r>
          </w:p>
        </w:tc>
        <w:tc>
          <w:tcPr>
            <w:tcW w:w="774" w:type="dxa"/>
            <w:tcBorders>
              <w:bottom w:val="single" w:sz="4" w:space="0" w:color="000000"/>
            </w:tcBorders>
          </w:tcPr>
          <w:p>
            <w:pPr>
              <w:pStyle w:val="TableParagraph"/>
              <w:spacing w:line="188" w:lineRule="exact" w:before="9"/>
              <w:ind w:left="37" w:right="38"/>
              <w:jc w:val="center"/>
              <w:rPr>
                <w:sz w:val="17"/>
              </w:rPr>
            </w:pPr>
            <w:r>
              <w:rPr>
                <w:sz w:val="17"/>
              </w:rPr>
              <w:t>1,0</w:t>
            </w:r>
          </w:p>
        </w:tc>
      </w:tr>
      <w:tr>
        <w:trPr>
          <w:trHeight w:val="417" w:hRule="atLeast"/>
        </w:trPr>
        <w:tc>
          <w:tcPr>
            <w:tcW w:w="4369" w:type="dxa"/>
            <w:tcBorders>
              <w:top w:val="single" w:sz="4" w:space="0" w:color="000000"/>
            </w:tcBorders>
          </w:tcPr>
          <w:p>
            <w:pPr>
              <w:pStyle w:val="TableParagraph"/>
              <w:spacing w:line="195" w:lineRule="exact"/>
              <w:ind w:left="28"/>
              <w:jc w:val="left"/>
              <w:rPr>
                <w:sz w:val="18"/>
              </w:rPr>
            </w:pPr>
            <w:r>
              <w:rPr>
                <w:sz w:val="18"/>
              </w:rPr>
              <w:t>PREZZI</w:t>
            </w:r>
          </w:p>
          <w:p>
            <w:pPr>
              <w:pStyle w:val="TableParagraph"/>
              <w:spacing w:line="182" w:lineRule="exact" w:before="16"/>
              <w:ind w:left="28"/>
              <w:jc w:val="left"/>
              <w:rPr>
                <w:sz w:val="17"/>
              </w:rPr>
            </w:pPr>
            <w:r>
              <w:rPr>
                <w:sz w:val="17"/>
              </w:rPr>
              <w:t>Deflatore importazioni</w:t>
            </w:r>
          </w:p>
        </w:tc>
        <w:tc>
          <w:tcPr>
            <w:tcW w:w="757" w:type="dxa"/>
            <w:tcBorders>
              <w:top w:val="single" w:sz="4" w:space="0" w:color="000000"/>
            </w:tcBorders>
          </w:tcPr>
          <w:p>
            <w:pPr>
              <w:pStyle w:val="TableParagraph"/>
              <w:spacing w:before="2"/>
              <w:jc w:val="left"/>
              <w:rPr>
                <w:rFonts w:ascii="Trebuchet MS"/>
                <w:sz w:val="18"/>
              </w:rPr>
            </w:pPr>
          </w:p>
          <w:p>
            <w:pPr>
              <w:pStyle w:val="TableParagraph"/>
              <w:spacing w:line="182" w:lineRule="exact"/>
              <w:ind w:left="23" w:right="31"/>
              <w:jc w:val="center"/>
              <w:rPr>
                <w:sz w:val="17"/>
              </w:rPr>
            </w:pPr>
            <w:r>
              <w:rPr>
                <w:sz w:val="17"/>
              </w:rPr>
              <w:t>2,6</w:t>
            </w:r>
          </w:p>
        </w:tc>
        <w:tc>
          <w:tcPr>
            <w:tcW w:w="773" w:type="dxa"/>
            <w:tcBorders>
              <w:top w:val="single" w:sz="4" w:space="0" w:color="000000"/>
            </w:tcBorders>
          </w:tcPr>
          <w:p>
            <w:pPr>
              <w:pStyle w:val="TableParagraph"/>
              <w:spacing w:before="2"/>
              <w:jc w:val="left"/>
              <w:rPr>
                <w:rFonts w:ascii="Trebuchet MS"/>
                <w:sz w:val="18"/>
              </w:rPr>
            </w:pPr>
          </w:p>
          <w:p>
            <w:pPr>
              <w:pStyle w:val="TableParagraph"/>
              <w:spacing w:line="182" w:lineRule="exact"/>
              <w:ind w:left="38" w:right="33"/>
              <w:jc w:val="center"/>
              <w:rPr>
                <w:sz w:val="17"/>
              </w:rPr>
            </w:pPr>
            <w:r>
              <w:rPr>
                <w:sz w:val="17"/>
              </w:rPr>
              <w:t>0,5</w:t>
            </w:r>
          </w:p>
        </w:tc>
        <w:tc>
          <w:tcPr>
            <w:tcW w:w="775" w:type="dxa"/>
            <w:tcBorders>
              <w:top w:val="single" w:sz="4" w:space="0" w:color="000000"/>
            </w:tcBorders>
          </w:tcPr>
          <w:p>
            <w:pPr>
              <w:pStyle w:val="TableParagraph"/>
              <w:spacing w:before="2"/>
              <w:jc w:val="left"/>
              <w:rPr>
                <w:rFonts w:ascii="Trebuchet MS"/>
                <w:sz w:val="18"/>
              </w:rPr>
            </w:pPr>
          </w:p>
          <w:p>
            <w:pPr>
              <w:pStyle w:val="TableParagraph"/>
              <w:spacing w:line="182" w:lineRule="exact"/>
              <w:ind w:left="38" w:right="35"/>
              <w:jc w:val="center"/>
              <w:rPr>
                <w:sz w:val="17"/>
              </w:rPr>
            </w:pPr>
            <w:r>
              <w:rPr>
                <w:sz w:val="17"/>
              </w:rPr>
              <w:t>1,3</w:t>
            </w:r>
          </w:p>
        </w:tc>
        <w:tc>
          <w:tcPr>
            <w:tcW w:w="775" w:type="dxa"/>
            <w:tcBorders>
              <w:top w:val="single" w:sz="4" w:space="0" w:color="000000"/>
            </w:tcBorders>
          </w:tcPr>
          <w:p>
            <w:pPr>
              <w:pStyle w:val="TableParagraph"/>
              <w:spacing w:before="2"/>
              <w:jc w:val="left"/>
              <w:rPr>
                <w:rFonts w:ascii="Trebuchet MS"/>
                <w:sz w:val="18"/>
              </w:rPr>
            </w:pPr>
          </w:p>
          <w:p>
            <w:pPr>
              <w:pStyle w:val="TableParagraph"/>
              <w:spacing w:line="182" w:lineRule="exact"/>
              <w:ind w:left="38" w:right="34"/>
              <w:jc w:val="center"/>
              <w:rPr>
                <w:sz w:val="17"/>
              </w:rPr>
            </w:pPr>
            <w:r>
              <w:rPr>
                <w:sz w:val="17"/>
              </w:rPr>
              <w:t>1,3</w:t>
            </w:r>
          </w:p>
        </w:tc>
        <w:tc>
          <w:tcPr>
            <w:tcW w:w="774" w:type="dxa"/>
            <w:tcBorders>
              <w:top w:val="single" w:sz="4" w:space="0" w:color="000000"/>
            </w:tcBorders>
          </w:tcPr>
          <w:p>
            <w:pPr>
              <w:pStyle w:val="TableParagraph"/>
              <w:spacing w:before="2"/>
              <w:jc w:val="left"/>
              <w:rPr>
                <w:rFonts w:ascii="Trebuchet MS"/>
                <w:sz w:val="18"/>
              </w:rPr>
            </w:pPr>
          </w:p>
          <w:p>
            <w:pPr>
              <w:pStyle w:val="TableParagraph"/>
              <w:spacing w:line="182" w:lineRule="exact"/>
              <w:ind w:left="37" w:right="38"/>
              <w:jc w:val="center"/>
              <w:rPr>
                <w:sz w:val="17"/>
              </w:rPr>
            </w:pPr>
            <w:r>
              <w:rPr>
                <w:sz w:val="17"/>
              </w:rPr>
              <w:t>1,4</w:t>
            </w:r>
          </w:p>
        </w:tc>
      </w:tr>
      <w:tr>
        <w:trPr>
          <w:trHeight w:val="210" w:hRule="atLeast"/>
        </w:trPr>
        <w:tc>
          <w:tcPr>
            <w:tcW w:w="4369" w:type="dxa"/>
          </w:tcPr>
          <w:p>
            <w:pPr>
              <w:pStyle w:val="TableParagraph"/>
              <w:spacing w:line="181" w:lineRule="exact" w:before="9"/>
              <w:ind w:left="28"/>
              <w:jc w:val="left"/>
              <w:rPr>
                <w:sz w:val="17"/>
              </w:rPr>
            </w:pPr>
            <w:r>
              <w:rPr>
                <w:sz w:val="17"/>
              </w:rPr>
              <w:t>Deflatore esportazioni</w:t>
            </w:r>
          </w:p>
        </w:tc>
        <w:tc>
          <w:tcPr>
            <w:tcW w:w="757" w:type="dxa"/>
          </w:tcPr>
          <w:p>
            <w:pPr>
              <w:pStyle w:val="TableParagraph"/>
              <w:spacing w:line="181" w:lineRule="exact" w:before="9"/>
              <w:ind w:left="23" w:right="31"/>
              <w:jc w:val="center"/>
              <w:rPr>
                <w:sz w:val="17"/>
              </w:rPr>
            </w:pPr>
            <w:r>
              <w:rPr>
                <w:sz w:val="17"/>
              </w:rPr>
              <w:t>1,8</w:t>
            </w:r>
          </w:p>
        </w:tc>
        <w:tc>
          <w:tcPr>
            <w:tcW w:w="773" w:type="dxa"/>
          </w:tcPr>
          <w:p>
            <w:pPr>
              <w:pStyle w:val="TableParagraph"/>
              <w:spacing w:line="181" w:lineRule="exact" w:before="9"/>
              <w:ind w:left="38" w:right="33"/>
              <w:jc w:val="center"/>
              <w:rPr>
                <w:sz w:val="17"/>
              </w:rPr>
            </w:pPr>
            <w:r>
              <w:rPr>
                <w:sz w:val="17"/>
              </w:rPr>
              <w:t>0,7</w:t>
            </w:r>
          </w:p>
        </w:tc>
        <w:tc>
          <w:tcPr>
            <w:tcW w:w="775" w:type="dxa"/>
          </w:tcPr>
          <w:p>
            <w:pPr>
              <w:pStyle w:val="TableParagraph"/>
              <w:spacing w:line="181" w:lineRule="exact" w:before="9"/>
              <w:ind w:left="38" w:right="35"/>
              <w:jc w:val="center"/>
              <w:rPr>
                <w:sz w:val="17"/>
              </w:rPr>
            </w:pPr>
            <w:r>
              <w:rPr>
                <w:sz w:val="17"/>
              </w:rPr>
              <w:t>1,2</w:t>
            </w:r>
          </w:p>
        </w:tc>
        <w:tc>
          <w:tcPr>
            <w:tcW w:w="775" w:type="dxa"/>
          </w:tcPr>
          <w:p>
            <w:pPr>
              <w:pStyle w:val="TableParagraph"/>
              <w:spacing w:line="181" w:lineRule="exact" w:before="9"/>
              <w:ind w:left="38" w:right="34"/>
              <w:jc w:val="center"/>
              <w:rPr>
                <w:sz w:val="17"/>
              </w:rPr>
            </w:pPr>
            <w:r>
              <w:rPr>
                <w:sz w:val="17"/>
              </w:rPr>
              <w:t>1,2</w:t>
            </w:r>
          </w:p>
        </w:tc>
        <w:tc>
          <w:tcPr>
            <w:tcW w:w="774" w:type="dxa"/>
          </w:tcPr>
          <w:p>
            <w:pPr>
              <w:pStyle w:val="TableParagraph"/>
              <w:spacing w:line="181" w:lineRule="exact" w:before="9"/>
              <w:ind w:left="37" w:right="38"/>
              <w:jc w:val="center"/>
              <w:rPr>
                <w:sz w:val="17"/>
              </w:rPr>
            </w:pPr>
            <w:r>
              <w:rPr>
                <w:sz w:val="17"/>
              </w:rPr>
              <w:t>1,4</w:t>
            </w:r>
          </w:p>
        </w:tc>
      </w:tr>
      <w:tr>
        <w:trPr>
          <w:trHeight w:val="210" w:hRule="atLeast"/>
        </w:trPr>
        <w:tc>
          <w:tcPr>
            <w:tcW w:w="4369" w:type="dxa"/>
          </w:tcPr>
          <w:p>
            <w:pPr>
              <w:pStyle w:val="TableParagraph"/>
              <w:spacing w:line="182" w:lineRule="exact" w:before="8"/>
              <w:ind w:left="28"/>
              <w:jc w:val="left"/>
              <w:rPr>
                <w:sz w:val="17"/>
              </w:rPr>
            </w:pPr>
            <w:r>
              <w:rPr>
                <w:sz w:val="17"/>
              </w:rPr>
              <w:t>Deflatore PIL</w:t>
            </w:r>
          </w:p>
        </w:tc>
        <w:tc>
          <w:tcPr>
            <w:tcW w:w="757" w:type="dxa"/>
          </w:tcPr>
          <w:p>
            <w:pPr>
              <w:pStyle w:val="TableParagraph"/>
              <w:spacing w:line="182" w:lineRule="exact" w:before="8"/>
              <w:ind w:left="23" w:right="31"/>
              <w:jc w:val="center"/>
              <w:rPr>
                <w:sz w:val="17"/>
              </w:rPr>
            </w:pPr>
            <w:r>
              <w:rPr>
                <w:sz w:val="17"/>
              </w:rPr>
              <w:t>0,9</w:t>
            </w:r>
          </w:p>
        </w:tc>
        <w:tc>
          <w:tcPr>
            <w:tcW w:w="773" w:type="dxa"/>
          </w:tcPr>
          <w:p>
            <w:pPr>
              <w:pStyle w:val="TableParagraph"/>
              <w:spacing w:line="182" w:lineRule="exact" w:before="8"/>
              <w:ind w:left="38" w:right="33"/>
              <w:jc w:val="center"/>
              <w:rPr>
                <w:sz w:val="17"/>
              </w:rPr>
            </w:pPr>
            <w:r>
              <w:rPr>
                <w:sz w:val="17"/>
              </w:rPr>
              <w:t>0,9</w:t>
            </w:r>
          </w:p>
        </w:tc>
        <w:tc>
          <w:tcPr>
            <w:tcW w:w="775" w:type="dxa"/>
          </w:tcPr>
          <w:p>
            <w:pPr>
              <w:pStyle w:val="TableParagraph"/>
              <w:spacing w:line="182" w:lineRule="exact" w:before="8"/>
              <w:ind w:left="38" w:right="35"/>
              <w:jc w:val="center"/>
              <w:rPr>
                <w:sz w:val="17"/>
              </w:rPr>
            </w:pPr>
            <w:r>
              <w:rPr>
                <w:sz w:val="17"/>
              </w:rPr>
              <w:t>1,9</w:t>
            </w:r>
          </w:p>
        </w:tc>
        <w:tc>
          <w:tcPr>
            <w:tcW w:w="775" w:type="dxa"/>
          </w:tcPr>
          <w:p>
            <w:pPr>
              <w:pStyle w:val="TableParagraph"/>
              <w:spacing w:line="182" w:lineRule="exact" w:before="8"/>
              <w:ind w:left="38" w:right="34"/>
              <w:jc w:val="center"/>
              <w:rPr>
                <w:sz w:val="17"/>
              </w:rPr>
            </w:pPr>
            <w:r>
              <w:rPr>
                <w:sz w:val="17"/>
              </w:rPr>
              <w:t>1,5</w:t>
            </w:r>
          </w:p>
        </w:tc>
        <w:tc>
          <w:tcPr>
            <w:tcW w:w="774" w:type="dxa"/>
          </w:tcPr>
          <w:p>
            <w:pPr>
              <w:pStyle w:val="TableParagraph"/>
              <w:spacing w:line="182" w:lineRule="exact" w:before="8"/>
              <w:ind w:left="37" w:right="38"/>
              <w:jc w:val="center"/>
              <w:rPr>
                <w:sz w:val="17"/>
              </w:rPr>
            </w:pPr>
            <w:r>
              <w:rPr>
                <w:sz w:val="17"/>
              </w:rPr>
              <w:t>1,5</w:t>
            </w:r>
          </w:p>
        </w:tc>
      </w:tr>
      <w:tr>
        <w:trPr>
          <w:trHeight w:val="210" w:hRule="atLeast"/>
        </w:trPr>
        <w:tc>
          <w:tcPr>
            <w:tcW w:w="4369" w:type="dxa"/>
          </w:tcPr>
          <w:p>
            <w:pPr>
              <w:pStyle w:val="TableParagraph"/>
              <w:spacing w:line="181" w:lineRule="exact" w:before="9"/>
              <w:ind w:left="28"/>
              <w:jc w:val="left"/>
              <w:rPr>
                <w:sz w:val="17"/>
              </w:rPr>
            </w:pPr>
            <w:r>
              <w:rPr>
                <w:sz w:val="17"/>
              </w:rPr>
              <w:t>PIL nominale</w:t>
            </w:r>
          </w:p>
        </w:tc>
        <w:tc>
          <w:tcPr>
            <w:tcW w:w="757" w:type="dxa"/>
          </w:tcPr>
          <w:p>
            <w:pPr>
              <w:pStyle w:val="TableParagraph"/>
              <w:spacing w:line="181" w:lineRule="exact" w:before="9"/>
              <w:ind w:left="23" w:right="31"/>
              <w:jc w:val="center"/>
              <w:rPr>
                <w:sz w:val="17"/>
              </w:rPr>
            </w:pPr>
            <w:r>
              <w:rPr>
                <w:sz w:val="17"/>
              </w:rPr>
              <w:t>1,7</w:t>
            </w:r>
          </w:p>
        </w:tc>
        <w:tc>
          <w:tcPr>
            <w:tcW w:w="773" w:type="dxa"/>
          </w:tcPr>
          <w:p>
            <w:pPr>
              <w:pStyle w:val="TableParagraph"/>
              <w:spacing w:line="181" w:lineRule="exact" w:before="9"/>
              <w:ind w:left="38" w:right="33"/>
              <w:jc w:val="center"/>
              <w:rPr>
                <w:sz w:val="17"/>
              </w:rPr>
            </w:pPr>
            <w:r>
              <w:rPr>
                <w:sz w:val="17"/>
              </w:rPr>
              <w:t>1,0</w:t>
            </w:r>
          </w:p>
        </w:tc>
        <w:tc>
          <w:tcPr>
            <w:tcW w:w="775" w:type="dxa"/>
          </w:tcPr>
          <w:p>
            <w:pPr>
              <w:pStyle w:val="TableParagraph"/>
              <w:spacing w:line="181" w:lineRule="exact" w:before="9"/>
              <w:ind w:left="38" w:right="35"/>
              <w:jc w:val="center"/>
              <w:rPr>
                <w:sz w:val="17"/>
              </w:rPr>
            </w:pPr>
            <w:r>
              <w:rPr>
                <w:sz w:val="17"/>
              </w:rPr>
              <w:t>2,3</w:t>
            </w:r>
          </w:p>
        </w:tc>
        <w:tc>
          <w:tcPr>
            <w:tcW w:w="775" w:type="dxa"/>
          </w:tcPr>
          <w:p>
            <w:pPr>
              <w:pStyle w:val="TableParagraph"/>
              <w:spacing w:line="181" w:lineRule="exact" w:before="9"/>
              <w:ind w:left="38" w:right="34"/>
              <w:jc w:val="center"/>
              <w:rPr>
                <w:sz w:val="17"/>
              </w:rPr>
            </w:pPr>
            <w:r>
              <w:rPr>
                <w:sz w:val="17"/>
              </w:rPr>
              <w:t>2,3</w:t>
            </w:r>
          </w:p>
        </w:tc>
        <w:tc>
          <w:tcPr>
            <w:tcW w:w="774" w:type="dxa"/>
          </w:tcPr>
          <w:p>
            <w:pPr>
              <w:pStyle w:val="TableParagraph"/>
              <w:spacing w:line="181" w:lineRule="exact" w:before="9"/>
              <w:ind w:left="37" w:right="38"/>
              <w:jc w:val="center"/>
              <w:rPr>
                <w:sz w:val="17"/>
              </w:rPr>
            </w:pPr>
            <w:r>
              <w:rPr>
                <w:sz w:val="17"/>
              </w:rPr>
              <w:t>2,5</w:t>
            </w:r>
          </w:p>
        </w:tc>
      </w:tr>
      <w:tr>
        <w:trPr>
          <w:trHeight w:val="285" w:hRule="atLeast"/>
        </w:trPr>
        <w:tc>
          <w:tcPr>
            <w:tcW w:w="4369" w:type="dxa"/>
          </w:tcPr>
          <w:p>
            <w:pPr>
              <w:pStyle w:val="TableParagraph"/>
              <w:spacing w:before="8"/>
              <w:ind w:left="28"/>
              <w:jc w:val="left"/>
              <w:rPr>
                <w:sz w:val="17"/>
              </w:rPr>
            </w:pPr>
            <w:r>
              <w:rPr>
                <w:sz w:val="17"/>
              </w:rPr>
              <w:t>Deflatore consumi</w:t>
            </w:r>
          </w:p>
        </w:tc>
        <w:tc>
          <w:tcPr>
            <w:tcW w:w="757" w:type="dxa"/>
          </w:tcPr>
          <w:p>
            <w:pPr>
              <w:pStyle w:val="TableParagraph"/>
              <w:spacing w:before="8"/>
              <w:ind w:left="23" w:right="31"/>
              <w:jc w:val="center"/>
              <w:rPr>
                <w:sz w:val="17"/>
              </w:rPr>
            </w:pPr>
            <w:r>
              <w:rPr>
                <w:sz w:val="17"/>
              </w:rPr>
              <w:t>0,9</w:t>
            </w:r>
          </w:p>
        </w:tc>
        <w:tc>
          <w:tcPr>
            <w:tcW w:w="773" w:type="dxa"/>
          </w:tcPr>
          <w:p>
            <w:pPr>
              <w:pStyle w:val="TableParagraph"/>
              <w:spacing w:before="8"/>
              <w:ind w:left="38" w:right="33"/>
              <w:jc w:val="center"/>
              <w:rPr>
                <w:sz w:val="17"/>
              </w:rPr>
            </w:pPr>
            <w:r>
              <w:rPr>
                <w:sz w:val="17"/>
              </w:rPr>
              <w:t>0,8</w:t>
            </w:r>
          </w:p>
        </w:tc>
        <w:tc>
          <w:tcPr>
            <w:tcW w:w="775" w:type="dxa"/>
          </w:tcPr>
          <w:p>
            <w:pPr>
              <w:pStyle w:val="TableParagraph"/>
              <w:spacing w:before="8"/>
              <w:ind w:left="38" w:right="35"/>
              <w:jc w:val="center"/>
              <w:rPr>
                <w:sz w:val="17"/>
              </w:rPr>
            </w:pPr>
            <w:r>
              <w:rPr>
                <w:sz w:val="17"/>
              </w:rPr>
              <w:t>2,0</w:t>
            </w:r>
          </w:p>
        </w:tc>
        <w:tc>
          <w:tcPr>
            <w:tcW w:w="775" w:type="dxa"/>
          </w:tcPr>
          <w:p>
            <w:pPr>
              <w:pStyle w:val="TableParagraph"/>
              <w:spacing w:before="8"/>
              <w:ind w:left="38" w:right="34"/>
              <w:jc w:val="center"/>
              <w:rPr>
                <w:sz w:val="17"/>
              </w:rPr>
            </w:pPr>
            <w:r>
              <w:rPr>
                <w:sz w:val="17"/>
              </w:rPr>
              <w:t>1,7</w:t>
            </w:r>
          </w:p>
        </w:tc>
        <w:tc>
          <w:tcPr>
            <w:tcW w:w="774" w:type="dxa"/>
          </w:tcPr>
          <w:p>
            <w:pPr>
              <w:pStyle w:val="TableParagraph"/>
              <w:spacing w:before="8"/>
              <w:ind w:left="37" w:right="38"/>
              <w:jc w:val="center"/>
              <w:rPr>
                <w:sz w:val="17"/>
              </w:rPr>
            </w:pPr>
            <w:r>
              <w:rPr>
                <w:sz w:val="17"/>
              </w:rPr>
              <w:t>1,5</w:t>
            </w:r>
          </w:p>
        </w:tc>
      </w:tr>
      <w:tr>
        <w:trPr>
          <w:trHeight w:val="349" w:hRule="atLeast"/>
        </w:trPr>
        <w:tc>
          <w:tcPr>
            <w:tcW w:w="4369" w:type="dxa"/>
            <w:tcBorders>
              <w:bottom w:val="single" w:sz="4" w:space="0" w:color="000000"/>
            </w:tcBorders>
          </w:tcPr>
          <w:p>
            <w:pPr>
              <w:pStyle w:val="TableParagraph"/>
              <w:spacing w:before="85"/>
              <w:ind w:left="28"/>
              <w:jc w:val="left"/>
              <w:rPr>
                <w:i/>
                <w:sz w:val="17"/>
              </w:rPr>
            </w:pPr>
            <w:r>
              <w:rPr>
                <w:i/>
                <w:sz w:val="17"/>
              </w:rPr>
              <w:t>p.m. inflazione al netto degli energetici importati, var % (**)</w:t>
            </w:r>
          </w:p>
        </w:tc>
        <w:tc>
          <w:tcPr>
            <w:tcW w:w="757" w:type="dxa"/>
            <w:tcBorders>
              <w:bottom w:val="single" w:sz="4" w:space="0" w:color="000000"/>
            </w:tcBorders>
          </w:tcPr>
          <w:p>
            <w:pPr>
              <w:pStyle w:val="TableParagraph"/>
              <w:spacing w:before="85"/>
              <w:ind w:left="23" w:right="31"/>
              <w:jc w:val="center"/>
              <w:rPr>
                <w:i/>
                <w:sz w:val="17"/>
              </w:rPr>
            </w:pPr>
            <w:r>
              <w:rPr>
                <w:i/>
                <w:sz w:val="17"/>
              </w:rPr>
              <w:t>0,8</w:t>
            </w:r>
          </w:p>
        </w:tc>
        <w:tc>
          <w:tcPr>
            <w:tcW w:w="773" w:type="dxa"/>
            <w:tcBorders>
              <w:bottom w:val="single" w:sz="4" w:space="0" w:color="000000"/>
            </w:tcBorders>
          </w:tcPr>
          <w:p>
            <w:pPr>
              <w:pStyle w:val="TableParagraph"/>
              <w:spacing w:before="85"/>
              <w:ind w:left="38" w:right="33"/>
              <w:jc w:val="center"/>
              <w:rPr>
                <w:i/>
                <w:sz w:val="17"/>
              </w:rPr>
            </w:pPr>
            <w:r>
              <w:rPr>
                <w:i/>
                <w:sz w:val="17"/>
              </w:rPr>
              <w:t>0,9</w:t>
            </w:r>
          </w:p>
        </w:tc>
        <w:tc>
          <w:tcPr>
            <w:tcW w:w="775" w:type="dxa"/>
            <w:tcBorders>
              <w:bottom w:val="single" w:sz="4" w:space="0" w:color="000000"/>
            </w:tcBorders>
          </w:tcPr>
          <w:p>
            <w:pPr>
              <w:pStyle w:val="TableParagraph"/>
              <w:spacing w:before="85"/>
              <w:ind w:left="38" w:right="35"/>
              <w:jc w:val="center"/>
              <w:rPr>
                <w:i/>
                <w:sz w:val="17"/>
              </w:rPr>
            </w:pPr>
            <w:r>
              <w:rPr>
                <w:i/>
                <w:sz w:val="17"/>
              </w:rPr>
              <w:t>1,0</w:t>
            </w:r>
          </w:p>
        </w:tc>
        <w:tc>
          <w:tcPr>
            <w:tcW w:w="775" w:type="dxa"/>
            <w:tcBorders>
              <w:bottom w:val="single" w:sz="4" w:space="0" w:color="000000"/>
            </w:tcBorders>
          </w:tcPr>
          <w:p>
            <w:pPr>
              <w:pStyle w:val="TableParagraph"/>
              <w:spacing w:before="85"/>
              <w:ind w:left="38" w:right="34"/>
              <w:jc w:val="center"/>
              <w:rPr>
                <w:i/>
                <w:sz w:val="17"/>
              </w:rPr>
            </w:pPr>
            <w:r>
              <w:rPr>
                <w:i/>
                <w:sz w:val="17"/>
              </w:rPr>
              <w:t>1,1</w:t>
            </w:r>
          </w:p>
        </w:tc>
        <w:tc>
          <w:tcPr>
            <w:tcW w:w="774" w:type="dxa"/>
            <w:tcBorders>
              <w:bottom w:val="single" w:sz="4" w:space="0" w:color="000000"/>
            </w:tcBorders>
          </w:tcPr>
          <w:p>
            <w:pPr>
              <w:pStyle w:val="TableParagraph"/>
              <w:spacing w:before="85"/>
              <w:ind w:left="37" w:right="38"/>
              <w:jc w:val="center"/>
              <w:rPr>
                <w:i/>
                <w:sz w:val="17"/>
              </w:rPr>
            </w:pPr>
            <w:r>
              <w:rPr>
                <w:i/>
                <w:sz w:val="17"/>
              </w:rPr>
              <w:t>1,1</w:t>
            </w:r>
          </w:p>
        </w:tc>
      </w:tr>
      <w:tr>
        <w:trPr>
          <w:trHeight w:val="417" w:hRule="atLeast"/>
        </w:trPr>
        <w:tc>
          <w:tcPr>
            <w:tcW w:w="4369" w:type="dxa"/>
            <w:tcBorders>
              <w:top w:val="single" w:sz="4" w:space="0" w:color="000000"/>
            </w:tcBorders>
          </w:tcPr>
          <w:p>
            <w:pPr>
              <w:pStyle w:val="TableParagraph"/>
              <w:spacing w:line="193" w:lineRule="exact"/>
              <w:ind w:left="28"/>
              <w:jc w:val="left"/>
              <w:rPr>
                <w:sz w:val="18"/>
              </w:rPr>
            </w:pPr>
            <w:r>
              <w:rPr>
                <w:sz w:val="18"/>
              </w:rPr>
              <w:t>LAVORO</w:t>
            </w:r>
          </w:p>
          <w:p>
            <w:pPr>
              <w:pStyle w:val="TableParagraph"/>
              <w:spacing w:line="182" w:lineRule="exact" w:before="16"/>
              <w:ind w:left="28"/>
              <w:jc w:val="left"/>
              <w:rPr>
                <w:sz w:val="17"/>
              </w:rPr>
            </w:pPr>
            <w:r>
              <w:rPr>
                <w:sz w:val="17"/>
              </w:rPr>
              <w:t>Redditi da lavoro dipendente (intera economia)</w:t>
            </w:r>
          </w:p>
        </w:tc>
        <w:tc>
          <w:tcPr>
            <w:tcW w:w="757" w:type="dxa"/>
            <w:tcBorders>
              <w:top w:val="single" w:sz="4" w:space="0" w:color="000000"/>
            </w:tcBorders>
          </w:tcPr>
          <w:p>
            <w:pPr>
              <w:pStyle w:val="TableParagraph"/>
              <w:spacing w:before="11"/>
              <w:jc w:val="left"/>
              <w:rPr>
                <w:rFonts w:ascii="Trebuchet MS"/>
                <w:sz w:val="17"/>
              </w:rPr>
            </w:pPr>
          </w:p>
          <w:p>
            <w:pPr>
              <w:pStyle w:val="TableParagraph"/>
              <w:spacing w:line="182" w:lineRule="exact"/>
              <w:ind w:left="23" w:right="31"/>
              <w:jc w:val="center"/>
              <w:rPr>
                <w:sz w:val="17"/>
              </w:rPr>
            </w:pPr>
            <w:r>
              <w:rPr>
                <w:sz w:val="17"/>
              </w:rPr>
              <w:t>3,5</w:t>
            </w:r>
          </w:p>
        </w:tc>
        <w:tc>
          <w:tcPr>
            <w:tcW w:w="773" w:type="dxa"/>
            <w:tcBorders>
              <w:top w:val="single" w:sz="4" w:space="0" w:color="000000"/>
            </w:tcBorders>
          </w:tcPr>
          <w:p>
            <w:pPr>
              <w:pStyle w:val="TableParagraph"/>
              <w:spacing w:before="11"/>
              <w:jc w:val="left"/>
              <w:rPr>
                <w:rFonts w:ascii="Trebuchet MS"/>
                <w:sz w:val="17"/>
              </w:rPr>
            </w:pPr>
          </w:p>
          <w:p>
            <w:pPr>
              <w:pStyle w:val="TableParagraph"/>
              <w:spacing w:line="182" w:lineRule="exact"/>
              <w:ind w:left="38" w:right="33"/>
              <w:jc w:val="center"/>
              <w:rPr>
                <w:sz w:val="17"/>
              </w:rPr>
            </w:pPr>
            <w:r>
              <w:rPr>
                <w:sz w:val="17"/>
              </w:rPr>
              <w:t>2,0</w:t>
            </w:r>
          </w:p>
        </w:tc>
        <w:tc>
          <w:tcPr>
            <w:tcW w:w="775" w:type="dxa"/>
            <w:tcBorders>
              <w:top w:val="single" w:sz="4" w:space="0" w:color="000000"/>
            </w:tcBorders>
          </w:tcPr>
          <w:p>
            <w:pPr>
              <w:pStyle w:val="TableParagraph"/>
              <w:spacing w:before="11"/>
              <w:jc w:val="left"/>
              <w:rPr>
                <w:rFonts w:ascii="Trebuchet MS"/>
                <w:sz w:val="17"/>
              </w:rPr>
            </w:pPr>
          </w:p>
          <w:p>
            <w:pPr>
              <w:pStyle w:val="TableParagraph"/>
              <w:spacing w:line="182" w:lineRule="exact"/>
              <w:ind w:left="38" w:right="35"/>
              <w:jc w:val="center"/>
              <w:rPr>
                <w:sz w:val="17"/>
              </w:rPr>
            </w:pPr>
            <w:r>
              <w:rPr>
                <w:sz w:val="17"/>
              </w:rPr>
              <w:t>1,5</w:t>
            </w:r>
          </w:p>
        </w:tc>
        <w:tc>
          <w:tcPr>
            <w:tcW w:w="775" w:type="dxa"/>
            <w:tcBorders>
              <w:top w:val="single" w:sz="4" w:space="0" w:color="000000"/>
            </w:tcBorders>
          </w:tcPr>
          <w:p>
            <w:pPr>
              <w:pStyle w:val="TableParagraph"/>
              <w:spacing w:before="11"/>
              <w:jc w:val="left"/>
              <w:rPr>
                <w:rFonts w:ascii="Trebuchet MS"/>
                <w:sz w:val="17"/>
              </w:rPr>
            </w:pPr>
          </w:p>
          <w:p>
            <w:pPr>
              <w:pStyle w:val="TableParagraph"/>
              <w:spacing w:line="182" w:lineRule="exact"/>
              <w:ind w:left="38" w:right="34"/>
              <w:jc w:val="center"/>
              <w:rPr>
                <w:sz w:val="17"/>
              </w:rPr>
            </w:pPr>
            <w:r>
              <w:rPr>
                <w:sz w:val="17"/>
              </w:rPr>
              <w:t>1,9</w:t>
            </w:r>
          </w:p>
        </w:tc>
        <w:tc>
          <w:tcPr>
            <w:tcW w:w="774" w:type="dxa"/>
            <w:tcBorders>
              <w:top w:val="single" w:sz="4" w:space="0" w:color="000000"/>
            </w:tcBorders>
          </w:tcPr>
          <w:p>
            <w:pPr>
              <w:pStyle w:val="TableParagraph"/>
              <w:spacing w:before="11"/>
              <w:jc w:val="left"/>
              <w:rPr>
                <w:rFonts w:ascii="Trebuchet MS"/>
                <w:sz w:val="17"/>
              </w:rPr>
            </w:pPr>
          </w:p>
          <w:p>
            <w:pPr>
              <w:pStyle w:val="TableParagraph"/>
              <w:spacing w:line="182" w:lineRule="exact"/>
              <w:ind w:left="37" w:right="38"/>
              <w:jc w:val="center"/>
              <w:rPr>
                <w:sz w:val="17"/>
              </w:rPr>
            </w:pPr>
            <w:r>
              <w:rPr>
                <w:sz w:val="17"/>
              </w:rPr>
              <w:t>2,3</w:t>
            </w:r>
          </w:p>
        </w:tc>
      </w:tr>
      <w:tr>
        <w:trPr>
          <w:trHeight w:val="210" w:hRule="atLeast"/>
        </w:trPr>
        <w:tc>
          <w:tcPr>
            <w:tcW w:w="4369" w:type="dxa"/>
          </w:tcPr>
          <w:p>
            <w:pPr>
              <w:pStyle w:val="TableParagraph"/>
              <w:spacing w:line="181" w:lineRule="exact" w:before="9"/>
              <w:ind w:left="28"/>
              <w:jc w:val="left"/>
              <w:rPr>
                <w:sz w:val="17"/>
              </w:rPr>
            </w:pPr>
            <w:r>
              <w:rPr>
                <w:sz w:val="17"/>
              </w:rPr>
              <w:t>costo lavoro per unità di lavoro dipendente</w:t>
            </w:r>
          </w:p>
        </w:tc>
        <w:tc>
          <w:tcPr>
            <w:tcW w:w="757" w:type="dxa"/>
          </w:tcPr>
          <w:p>
            <w:pPr>
              <w:pStyle w:val="TableParagraph"/>
              <w:spacing w:line="181" w:lineRule="exact" w:before="9"/>
              <w:ind w:left="23" w:right="31"/>
              <w:jc w:val="center"/>
              <w:rPr>
                <w:sz w:val="17"/>
              </w:rPr>
            </w:pPr>
            <w:r>
              <w:rPr>
                <w:sz w:val="17"/>
              </w:rPr>
              <w:t>2,2</w:t>
            </w:r>
          </w:p>
        </w:tc>
        <w:tc>
          <w:tcPr>
            <w:tcW w:w="773" w:type="dxa"/>
          </w:tcPr>
          <w:p>
            <w:pPr>
              <w:pStyle w:val="TableParagraph"/>
              <w:spacing w:line="181" w:lineRule="exact" w:before="9"/>
              <w:ind w:left="38" w:right="33"/>
              <w:jc w:val="center"/>
              <w:rPr>
                <w:sz w:val="17"/>
              </w:rPr>
            </w:pPr>
            <w:r>
              <w:rPr>
                <w:sz w:val="17"/>
              </w:rPr>
              <w:t>1,3</w:t>
            </w:r>
          </w:p>
        </w:tc>
        <w:tc>
          <w:tcPr>
            <w:tcW w:w="775" w:type="dxa"/>
          </w:tcPr>
          <w:p>
            <w:pPr>
              <w:pStyle w:val="TableParagraph"/>
              <w:spacing w:line="181" w:lineRule="exact" w:before="9"/>
              <w:ind w:left="38" w:right="35"/>
              <w:jc w:val="center"/>
              <w:rPr>
                <w:sz w:val="17"/>
              </w:rPr>
            </w:pPr>
            <w:r>
              <w:rPr>
                <w:sz w:val="17"/>
              </w:rPr>
              <w:t>1,1</w:t>
            </w:r>
          </w:p>
        </w:tc>
        <w:tc>
          <w:tcPr>
            <w:tcW w:w="775" w:type="dxa"/>
          </w:tcPr>
          <w:p>
            <w:pPr>
              <w:pStyle w:val="TableParagraph"/>
              <w:spacing w:line="181" w:lineRule="exact" w:before="9"/>
              <w:ind w:left="38" w:right="34"/>
              <w:jc w:val="center"/>
              <w:rPr>
                <w:sz w:val="17"/>
              </w:rPr>
            </w:pPr>
            <w:r>
              <w:rPr>
                <w:sz w:val="17"/>
              </w:rPr>
              <w:t>1,3</w:t>
            </w:r>
          </w:p>
        </w:tc>
        <w:tc>
          <w:tcPr>
            <w:tcW w:w="774" w:type="dxa"/>
          </w:tcPr>
          <w:p>
            <w:pPr>
              <w:pStyle w:val="TableParagraph"/>
              <w:spacing w:line="181" w:lineRule="exact" w:before="9"/>
              <w:ind w:left="37" w:right="38"/>
              <w:jc w:val="center"/>
              <w:rPr>
                <w:sz w:val="17"/>
              </w:rPr>
            </w:pPr>
            <w:r>
              <w:rPr>
                <w:sz w:val="17"/>
              </w:rPr>
              <w:t>1,5</w:t>
            </w:r>
          </w:p>
        </w:tc>
      </w:tr>
      <w:tr>
        <w:trPr>
          <w:trHeight w:val="210" w:hRule="atLeast"/>
        </w:trPr>
        <w:tc>
          <w:tcPr>
            <w:tcW w:w="4369" w:type="dxa"/>
          </w:tcPr>
          <w:p>
            <w:pPr>
              <w:pStyle w:val="TableParagraph"/>
              <w:spacing w:line="182" w:lineRule="exact" w:before="8"/>
              <w:ind w:left="28"/>
              <w:jc w:val="left"/>
              <w:rPr>
                <w:sz w:val="17"/>
              </w:rPr>
            </w:pPr>
            <w:r>
              <w:rPr>
                <w:sz w:val="17"/>
              </w:rPr>
              <w:t>produttività (mis.su PIL)</w:t>
            </w:r>
          </w:p>
        </w:tc>
        <w:tc>
          <w:tcPr>
            <w:tcW w:w="757" w:type="dxa"/>
          </w:tcPr>
          <w:p>
            <w:pPr>
              <w:pStyle w:val="TableParagraph"/>
              <w:spacing w:line="182" w:lineRule="exact" w:before="8"/>
              <w:ind w:left="23" w:right="31"/>
              <w:jc w:val="center"/>
              <w:rPr>
                <w:sz w:val="17"/>
              </w:rPr>
            </w:pPr>
            <w:r>
              <w:rPr>
                <w:sz w:val="17"/>
              </w:rPr>
              <w:t>-0,1</w:t>
            </w:r>
          </w:p>
        </w:tc>
        <w:tc>
          <w:tcPr>
            <w:tcW w:w="773" w:type="dxa"/>
          </w:tcPr>
          <w:p>
            <w:pPr>
              <w:pStyle w:val="TableParagraph"/>
              <w:spacing w:line="182" w:lineRule="exact" w:before="8"/>
              <w:ind w:left="38" w:right="33"/>
              <w:jc w:val="center"/>
              <w:rPr>
                <w:sz w:val="17"/>
              </w:rPr>
            </w:pPr>
            <w:r>
              <w:rPr>
                <w:sz w:val="17"/>
              </w:rPr>
              <w:t>-0,4</w:t>
            </w:r>
          </w:p>
        </w:tc>
        <w:tc>
          <w:tcPr>
            <w:tcW w:w="775" w:type="dxa"/>
          </w:tcPr>
          <w:p>
            <w:pPr>
              <w:pStyle w:val="TableParagraph"/>
              <w:spacing w:line="182" w:lineRule="exact" w:before="8"/>
              <w:ind w:left="38" w:right="35"/>
              <w:jc w:val="center"/>
              <w:rPr>
                <w:sz w:val="17"/>
              </w:rPr>
            </w:pPr>
            <w:r>
              <w:rPr>
                <w:sz w:val="17"/>
              </w:rPr>
              <w:t>0,2</w:t>
            </w:r>
          </w:p>
        </w:tc>
        <w:tc>
          <w:tcPr>
            <w:tcW w:w="775" w:type="dxa"/>
          </w:tcPr>
          <w:p>
            <w:pPr>
              <w:pStyle w:val="TableParagraph"/>
              <w:spacing w:line="182" w:lineRule="exact" w:before="8"/>
              <w:ind w:left="38" w:right="34"/>
              <w:jc w:val="center"/>
              <w:rPr>
                <w:sz w:val="17"/>
              </w:rPr>
            </w:pPr>
            <w:r>
              <w:rPr>
                <w:sz w:val="17"/>
              </w:rPr>
              <w:t>0,3</w:t>
            </w:r>
          </w:p>
        </w:tc>
        <w:tc>
          <w:tcPr>
            <w:tcW w:w="774" w:type="dxa"/>
          </w:tcPr>
          <w:p>
            <w:pPr>
              <w:pStyle w:val="TableParagraph"/>
              <w:spacing w:line="182" w:lineRule="exact" w:before="8"/>
              <w:ind w:left="37" w:right="38"/>
              <w:jc w:val="center"/>
              <w:rPr>
                <w:sz w:val="17"/>
              </w:rPr>
            </w:pPr>
            <w:r>
              <w:rPr>
                <w:sz w:val="17"/>
              </w:rPr>
              <w:t>0,4</w:t>
            </w:r>
          </w:p>
        </w:tc>
      </w:tr>
      <w:tr>
        <w:trPr>
          <w:trHeight w:val="210" w:hRule="atLeast"/>
        </w:trPr>
        <w:tc>
          <w:tcPr>
            <w:tcW w:w="4369" w:type="dxa"/>
          </w:tcPr>
          <w:p>
            <w:pPr>
              <w:pStyle w:val="TableParagraph"/>
              <w:spacing w:line="181" w:lineRule="exact" w:before="9"/>
              <w:ind w:left="28"/>
              <w:jc w:val="left"/>
              <w:rPr>
                <w:sz w:val="17"/>
              </w:rPr>
            </w:pPr>
            <w:r>
              <w:rPr>
                <w:sz w:val="17"/>
              </w:rPr>
              <w:t>CLUP (misurato su PIL)</w:t>
            </w:r>
          </w:p>
        </w:tc>
        <w:tc>
          <w:tcPr>
            <w:tcW w:w="757" w:type="dxa"/>
          </w:tcPr>
          <w:p>
            <w:pPr>
              <w:pStyle w:val="TableParagraph"/>
              <w:spacing w:line="181" w:lineRule="exact" w:before="9"/>
              <w:ind w:left="23" w:right="31"/>
              <w:jc w:val="center"/>
              <w:rPr>
                <w:sz w:val="17"/>
              </w:rPr>
            </w:pPr>
            <w:r>
              <w:rPr>
                <w:sz w:val="17"/>
              </w:rPr>
              <w:t>2,2</w:t>
            </w:r>
          </w:p>
        </w:tc>
        <w:tc>
          <w:tcPr>
            <w:tcW w:w="773" w:type="dxa"/>
          </w:tcPr>
          <w:p>
            <w:pPr>
              <w:pStyle w:val="TableParagraph"/>
              <w:spacing w:line="181" w:lineRule="exact" w:before="9"/>
              <w:ind w:left="38" w:right="33"/>
              <w:jc w:val="center"/>
              <w:rPr>
                <w:sz w:val="17"/>
              </w:rPr>
            </w:pPr>
            <w:r>
              <w:rPr>
                <w:sz w:val="17"/>
              </w:rPr>
              <w:t>1,7</w:t>
            </w:r>
          </w:p>
        </w:tc>
        <w:tc>
          <w:tcPr>
            <w:tcW w:w="775" w:type="dxa"/>
          </w:tcPr>
          <w:p>
            <w:pPr>
              <w:pStyle w:val="TableParagraph"/>
              <w:spacing w:line="181" w:lineRule="exact" w:before="9"/>
              <w:ind w:left="38" w:right="35"/>
              <w:jc w:val="center"/>
              <w:rPr>
                <w:sz w:val="17"/>
              </w:rPr>
            </w:pPr>
            <w:r>
              <w:rPr>
                <w:sz w:val="17"/>
              </w:rPr>
              <w:t>1,0</w:t>
            </w:r>
          </w:p>
        </w:tc>
        <w:tc>
          <w:tcPr>
            <w:tcW w:w="775" w:type="dxa"/>
          </w:tcPr>
          <w:p>
            <w:pPr>
              <w:pStyle w:val="TableParagraph"/>
              <w:spacing w:line="181" w:lineRule="exact" w:before="9"/>
              <w:ind w:left="38" w:right="34"/>
              <w:jc w:val="center"/>
              <w:rPr>
                <w:sz w:val="17"/>
              </w:rPr>
            </w:pPr>
            <w:r>
              <w:rPr>
                <w:sz w:val="17"/>
              </w:rPr>
              <w:t>1,0</w:t>
            </w:r>
          </w:p>
        </w:tc>
        <w:tc>
          <w:tcPr>
            <w:tcW w:w="774" w:type="dxa"/>
          </w:tcPr>
          <w:p>
            <w:pPr>
              <w:pStyle w:val="TableParagraph"/>
              <w:spacing w:line="181" w:lineRule="exact" w:before="9"/>
              <w:ind w:left="37" w:right="38"/>
              <w:jc w:val="center"/>
              <w:rPr>
                <w:sz w:val="17"/>
              </w:rPr>
            </w:pPr>
            <w:r>
              <w:rPr>
                <w:sz w:val="17"/>
              </w:rPr>
              <w:t>1,2</w:t>
            </w:r>
          </w:p>
        </w:tc>
      </w:tr>
      <w:tr>
        <w:trPr>
          <w:trHeight w:val="210" w:hRule="atLeast"/>
        </w:trPr>
        <w:tc>
          <w:tcPr>
            <w:tcW w:w="4369" w:type="dxa"/>
          </w:tcPr>
          <w:p>
            <w:pPr>
              <w:pStyle w:val="TableParagraph"/>
              <w:spacing w:line="182" w:lineRule="exact" w:before="8"/>
              <w:ind w:left="28"/>
              <w:jc w:val="left"/>
              <w:rPr>
                <w:sz w:val="17"/>
              </w:rPr>
            </w:pPr>
            <w:r>
              <w:rPr>
                <w:sz w:val="17"/>
              </w:rPr>
              <w:t>occupazione (ULA)</w:t>
            </w:r>
          </w:p>
        </w:tc>
        <w:tc>
          <w:tcPr>
            <w:tcW w:w="757" w:type="dxa"/>
          </w:tcPr>
          <w:p>
            <w:pPr>
              <w:pStyle w:val="TableParagraph"/>
              <w:spacing w:line="182" w:lineRule="exact" w:before="8"/>
              <w:ind w:left="23" w:right="31"/>
              <w:jc w:val="center"/>
              <w:rPr>
                <w:sz w:val="17"/>
              </w:rPr>
            </w:pPr>
            <w:r>
              <w:rPr>
                <w:sz w:val="17"/>
              </w:rPr>
              <w:t>0,8</w:t>
            </w:r>
          </w:p>
        </w:tc>
        <w:tc>
          <w:tcPr>
            <w:tcW w:w="773" w:type="dxa"/>
          </w:tcPr>
          <w:p>
            <w:pPr>
              <w:pStyle w:val="TableParagraph"/>
              <w:spacing w:line="182" w:lineRule="exact" w:before="8"/>
              <w:ind w:left="38" w:right="33"/>
              <w:jc w:val="center"/>
              <w:rPr>
                <w:sz w:val="17"/>
              </w:rPr>
            </w:pPr>
            <w:r>
              <w:rPr>
                <w:sz w:val="17"/>
              </w:rPr>
              <w:t>0,5</w:t>
            </w:r>
          </w:p>
        </w:tc>
        <w:tc>
          <w:tcPr>
            <w:tcW w:w="775" w:type="dxa"/>
          </w:tcPr>
          <w:p>
            <w:pPr>
              <w:pStyle w:val="TableParagraph"/>
              <w:spacing w:line="182" w:lineRule="exact" w:before="8"/>
              <w:ind w:left="38" w:right="35"/>
              <w:jc w:val="center"/>
              <w:rPr>
                <w:sz w:val="17"/>
              </w:rPr>
            </w:pPr>
            <w:r>
              <w:rPr>
                <w:sz w:val="17"/>
              </w:rPr>
              <w:t>0,2</w:t>
            </w:r>
          </w:p>
        </w:tc>
        <w:tc>
          <w:tcPr>
            <w:tcW w:w="775" w:type="dxa"/>
          </w:tcPr>
          <w:p>
            <w:pPr>
              <w:pStyle w:val="TableParagraph"/>
              <w:spacing w:line="182" w:lineRule="exact" w:before="8"/>
              <w:ind w:left="38" w:right="34"/>
              <w:jc w:val="center"/>
              <w:rPr>
                <w:sz w:val="17"/>
              </w:rPr>
            </w:pPr>
            <w:r>
              <w:rPr>
                <w:sz w:val="17"/>
              </w:rPr>
              <w:t>0,5</w:t>
            </w:r>
          </w:p>
        </w:tc>
        <w:tc>
          <w:tcPr>
            <w:tcW w:w="774" w:type="dxa"/>
          </w:tcPr>
          <w:p>
            <w:pPr>
              <w:pStyle w:val="TableParagraph"/>
              <w:spacing w:line="182" w:lineRule="exact" w:before="8"/>
              <w:ind w:left="37" w:right="38"/>
              <w:jc w:val="center"/>
              <w:rPr>
                <w:sz w:val="17"/>
              </w:rPr>
            </w:pPr>
            <w:r>
              <w:rPr>
                <w:sz w:val="17"/>
              </w:rPr>
              <w:t>0,7</w:t>
            </w:r>
          </w:p>
        </w:tc>
      </w:tr>
      <w:tr>
        <w:trPr>
          <w:trHeight w:val="210" w:hRule="atLeast"/>
        </w:trPr>
        <w:tc>
          <w:tcPr>
            <w:tcW w:w="4369" w:type="dxa"/>
          </w:tcPr>
          <w:p>
            <w:pPr>
              <w:pStyle w:val="TableParagraph"/>
              <w:spacing w:line="181" w:lineRule="exact" w:before="9"/>
              <w:ind w:left="157"/>
              <w:jc w:val="left"/>
              <w:rPr>
                <w:sz w:val="17"/>
              </w:rPr>
            </w:pPr>
            <w:r>
              <w:rPr>
                <w:sz w:val="17"/>
              </w:rPr>
              <w:t>dipendenti (ULA)</w:t>
            </w:r>
          </w:p>
        </w:tc>
        <w:tc>
          <w:tcPr>
            <w:tcW w:w="757" w:type="dxa"/>
          </w:tcPr>
          <w:p>
            <w:pPr>
              <w:pStyle w:val="TableParagraph"/>
              <w:spacing w:line="181" w:lineRule="exact" w:before="9"/>
              <w:ind w:left="23" w:right="31"/>
              <w:jc w:val="center"/>
              <w:rPr>
                <w:sz w:val="17"/>
              </w:rPr>
            </w:pPr>
            <w:r>
              <w:rPr>
                <w:sz w:val="17"/>
              </w:rPr>
              <w:t>1,3</w:t>
            </w:r>
          </w:p>
        </w:tc>
        <w:tc>
          <w:tcPr>
            <w:tcW w:w="773" w:type="dxa"/>
          </w:tcPr>
          <w:p>
            <w:pPr>
              <w:pStyle w:val="TableParagraph"/>
              <w:spacing w:line="181" w:lineRule="exact" w:before="9"/>
              <w:ind w:left="38" w:right="33"/>
              <w:jc w:val="center"/>
              <w:rPr>
                <w:sz w:val="17"/>
              </w:rPr>
            </w:pPr>
            <w:r>
              <w:rPr>
                <w:sz w:val="17"/>
              </w:rPr>
              <w:t>0,7</w:t>
            </w:r>
          </w:p>
        </w:tc>
        <w:tc>
          <w:tcPr>
            <w:tcW w:w="775" w:type="dxa"/>
          </w:tcPr>
          <w:p>
            <w:pPr>
              <w:pStyle w:val="TableParagraph"/>
              <w:spacing w:line="181" w:lineRule="exact" w:before="9"/>
              <w:ind w:left="38" w:right="35"/>
              <w:jc w:val="center"/>
              <w:rPr>
                <w:sz w:val="17"/>
              </w:rPr>
            </w:pPr>
            <w:r>
              <w:rPr>
                <w:sz w:val="17"/>
              </w:rPr>
              <w:t>0,3</w:t>
            </w:r>
          </w:p>
        </w:tc>
        <w:tc>
          <w:tcPr>
            <w:tcW w:w="775" w:type="dxa"/>
          </w:tcPr>
          <w:p>
            <w:pPr>
              <w:pStyle w:val="TableParagraph"/>
              <w:spacing w:line="181" w:lineRule="exact" w:before="9"/>
              <w:ind w:left="38" w:right="34"/>
              <w:jc w:val="center"/>
              <w:rPr>
                <w:sz w:val="17"/>
              </w:rPr>
            </w:pPr>
            <w:r>
              <w:rPr>
                <w:sz w:val="17"/>
              </w:rPr>
              <w:t>0,6</w:t>
            </w:r>
          </w:p>
        </w:tc>
        <w:tc>
          <w:tcPr>
            <w:tcW w:w="774" w:type="dxa"/>
          </w:tcPr>
          <w:p>
            <w:pPr>
              <w:pStyle w:val="TableParagraph"/>
              <w:spacing w:line="181" w:lineRule="exact" w:before="9"/>
              <w:ind w:left="37" w:right="38"/>
              <w:jc w:val="center"/>
              <w:rPr>
                <w:sz w:val="17"/>
              </w:rPr>
            </w:pPr>
            <w:r>
              <w:rPr>
                <w:sz w:val="17"/>
              </w:rPr>
              <w:t>0,8</w:t>
            </w:r>
          </w:p>
        </w:tc>
      </w:tr>
      <w:tr>
        <w:trPr>
          <w:trHeight w:val="210" w:hRule="atLeast"/>
        </w:trPr>
        <w:tc>
          <w:tcPr>
            <w:tcW w:w="4369" w:type="dxa"/>
          </w:tcPr>
          <w:p>
            <w:pPr>
              <w:pStyle w:val="TableParagraph"/>
              <w:spacing w:line="182" w:lineRule="exact" w:before="8"/>
              <w:ind w:left="28"/>
              <w:jc w:val="left"/>
              <w:rPr>
                <w:sz w:val="17"/>
              </w:rPr>
            </w:pPr>
            <w:r>
              <w:rPr>
                <w:sz w:val="17"/>
              </w:rPr>
              <w:t>Occupati di contabilità nazionale</w:t>
            </w:r>
          </w:p>
        </w:tc>
        <w:tc>
          <w:tcPr>
            <w:tcW w:w="757" w:type="dxa"/>
          </w:tcPr>
          <w:p>
            <w:pPr>
              <w:pStyle w:val="TableParagraph"/>
              <w:spacing w:line="182" w:lineRule="exact" w:before="8"/>
              <w:ind w:left="23" w:right="31"/>
              <w:jc w:val="center"/>
              <w:rPr>
                <w:sz w:val="17"/>
              </w:rPr>
            </w:pPr>
            <w:r>
              <w:rPr>
                <w:sz w:val="17"/>
              </w:rPr>
              <w:t>0,9</w:t>
            </w:r>
          </w:p>
        </w:tc>
        <w:tc>
          <w:tcPr>
            <w:tcW w:w="773" w:type="dxa"/>
          </w:tcPr>
          <w:p>
            <w:pPr>
              <w:pStyle w:val="TableParagraph"/>
              <w:spacing w:line="182" w:lineRule="exact" w:before="8"/>
              <w:ind w:left="38" w:right="33"/>
              <w:jc w:val="center"/>
              <w:rPr>
                <w:sz w:val="17"/>
              </w:rPr>
            </w:pPr>
            <w:r>
              <w:rPr>
                <w:sz w:val="17"/>
              </w:rPr>
              <w:t>0,5</w:t>
            </w:r>
          </w:p>
        </w:tc>
        <w:tc>
          <w:tcPr>
            <w:tcW w:w="775" w:type="dxa"/>
          </w:tcPr>
          <w:p>
            <w:pPr>
              <w:pStyle w:val="TableParagraph"/>
              <w:spacing w:line="182" w:lineRule="exact" w:before="8"/>
              <w:ind w:left="38" w:right="35"/>
              <w:jc w:val="center"/>
              <w:rPr>
                <w:sz w:val="17"/>
              </w:rPr>
            </w:pPr>
            <w:r>
              <w:rPr>
                <w:sz w:val="17"/>
              </w:rPr>
              <w:t>0,2</w:t>
            </w:r>
          </w:p>
        </w:tc>
        <w:tc>
          <w:tcPr>
            <w:tcW w:w="775" w:type="dxa"/>
          </w:tcPr>
          <w:p>
            <w:pPr>
              <w:pStyle w:val="TableParagraph"/>
              <w:spacing w:line="182" w:lineRule="exact" w:before="8"/>
              <w:ind w:left="38" w:right="34"/>
              <w:jc w:val="center"/>
              <w:rPr>
                <w:sz w:val="17"/>
              </w:rPr>
            </w:pPr>
            <w:r>
              <w:rPr>
                <w:sz w:val="17"/>
              </w:rPr>
              <w:t>0,5</w:t>
            </w:r>
          </w:p>
        </w:tc>
        <w:tc>
          <w:tcPr>
            <w:tcW w:w="774" w:type="dxa"/>
          </w:tcPr>
          <w:p>
            <w:pPr>
              <w:pStyle w:val="TableParagraph"/>
              <w:spacing w:line="182" w:lineRule="exact" w:before="8"/>
              <w:ind w:left="37" w:right="38"/>
              <w:jc w:val="center"/>
              <w:rPr>
                <w:sz w:val="17"/>
              </w:rPr>
            </w:pPr>
            <w:r>
              <w:rPr>
                <w:sz w:val="17"/>
              </w:rPr>
              <w:t>0,7</w:t>
            </w:r>
          </w:p>
        </w:tc>
      </w:tr>
      <w:tr>
        <w:trPr>
          <w:trHeight w:val="210" w:hRule="atLeast"/>
        </w:trPr>
        <w:tc>
          <w:tcPr>
            <w:tcW w:w="4369" w:type="dxa"/>
          </w:tcPr>
          <w:p>
            <w:pPr>
              <w:pStyle w:val="TableParagraph"/>
              <w:spacing w:line="181" w:lineRule="exact" w:before="9"/>
              <w:ind w:left="28"/>
              <w:jc w:val="left"/>
              <w:rPr>
                <w:sz w:val="17"/>
              </w:rPr>
            </w:pPr>
            <w:r>
              <w:rPr>
                <w:sz w:val="17"/>
              </w:rPr>
              <w:t>Occupati FL</w:t>
            </w:r>
          </w:p>
        </w:tc>
        <w:tc>
          <w:tcPr>
            <w:tcW w:w="757" w:type="dxa"/>
          </w:tcPr>
          <w:p>
            <w:pPr>
              <w:pStyle w:val="TableParagraph"/>
              <w:spacing w:line="181" w:lineRule="exact" w:before="9"/>
              <w:ind w:left="23" w:right="31"/>
              <w:jc w:val="center"/>
              <w:rPr>
                <w:sz w:val="17"/>
              </w:rPr>
            </w:pPr>
            <w:r>
              <w:rPr>
                <w:sz w:val="17"/>
              </w:rPr>
              <w:t>0,8</w:t>
            </w:r>
          </w:p>
        </w:tc>
        <w:tc>
          <w:tcPr>
            <w:tcW w:w="773" w:type="dxa"/>
          </w:tcPr>
          <w:p>
            <w:pPr>
              <w:pStyle w:val="TableParagraph"/>
              <w:spacing w:line="181" w:lineRule="exact" w:before="9"/>
              <w:ind w:left="38" w:right="33"/>
              <w:jc w:val="center"/>
              <w:rPr>
                <w:sz w:val="17"/>
              </w:rPr>
            </w:pPr>
            <w:r>
              <w:rPr>
                <w:sz w:val="17"/>
              </w:rPr>
              <w:t>0,5</w:t>
            </w:r>
          </w:p>
        </w:tc>
        <w:tc>
          <w:tcPr>
            <w:tcW w:w="775" w:type="dxa"/>
          </w:tcPr>
          <w:p>
            <w:pPr>
              <w:pStyle w:val="TableParagraph"/>
              <w:spacing w:line="181" w:lineRule="exact" w:before="9"/>
              <w:ind w:left="38" w:right="35"/>
              <w:jc w:val="center"/>
              <w:rPr>
                <w:sz w:val="17"/>
              </w:rPr>
            </w:pPr>
            <w:r>
              <w:rPr>
                <w:sz w:val="17"/>
              </w:rPr>
              <w:t>0,3</w:t>
            </w:r>
          </w:p>
        </w:tc>
        <w:tc>
          <w:tcPr>
            <w:tcW w:w="775" w:type="dxa"/>
          </w:tcPr>
          <w:p>
            <w:pPr>
              <w:pStyle w:val="TableParagraph"/>
              <w:spacing w:line="181" w:lineRule="exact" w:before="9"/>
              <w:ind w:left="38" w:right="34"/>
              <w:jc w:val="center"/>
              <w:rPr>
                <w:sz w:val="17"/>
              </w:rPr>
            </w:pPr>
            <w:r>
              <w:rPr>
                <w:sz w:val="17"/>
              </w:rPr>
              <w:t>0,5</w:t>
            </w:r>
          </w:p>
        </w:tc>
        <w:tc>
          <w:tcPr>
            <w:tcW w:w="774" w:type="dxa"/>
          </w:tcPr>
          <w:p>
            <w:pPr>
              <w:pStyle w:val="TableParagraph"/>
              <w:spacing w:line="181" w:lineRule="exact" w:before="9"/>
              <w:ind w:left="37" w:right="38"/>
              <w:jc w:val="center"/>
              <w:rPr>
                <w:sz w:val="17"/>
              </w:rPr>
            </w:pPr>
            <w:r>
              <w:rPr>
                <w:sz w:val="17"/>
              </w:rPr>
              <w:t>0,7</w:t>
            </w:r>
          </w:p>
        </w:tc>
      </w:tr>
      <w:tr>
        <w:trPr>
          <w:trHeight w:val="210" w:hRule="atLeast"/>
        </w:trPr>
        <w:tc>
          <w:tcPr>
            <w:tcW w:w="4369" w:type="dxa"/>
          </w:tcPr>
          <w:p>
            <w:pPr>
              <w:pStyle w:val="TableParagraph"/>
              <w:spacing w:line="182" w:lineRule="exact" w:before="8"/>
              <w:ind w:left="28"/>
              <w:jc w:val="left"/>
              <w:rPr>
                <w:sz w:val="17"/>
              </w:rPr>
            </w:pPr>
            <w:r>
              <w:rPr>
                <w:sz w:val="17"/>
              </w:rPr>
              <w:t>Ore lavorate</w:t>
            </w:r>
          </w:p>
        </w:tc>
        <w:tc>
          <w:tcPr>
            <w:tcW w:w="757" w:type="dxa"/>
          </w:tcPr>
          <w:p>
            <w:pPr>
              <w:pStyle w:val="TableParagraph"/>
              <w:spacing w:line="182" w:lineRule="exact" w:before="8"/>
              <w:ind w:left="23" w:right="31"/>
              <w:jc w:val="center"/>
              <w:rPr>
                <w:sz w:val="17"/>
              </w:rPr>
            </w:pPr>
            <w:r>
              <w:rPr>
                <w:sz w:val="17"/>
              </w:rPr>
              <w:t>1,1</w:t>
            </w:r>
          </w:p>
        </w:tc>
        <w:tc>
          <w:tcPr>
            <w:tcW w:w="773" w:type="dxa"/>
          </w:tcPr>
          <w:p>
            <w:pPr>
              <w:pStyle w:val="TableParagraph"/>
              <w:spacing w:line="182" w:lineRule="exact" w:before="8"/>
              <w:ind w:left="38" w:right="33"/>
              <w:jc w:val="center"/>
              <w:rPr>
                <w:sz w:val="17"/>
              </w:rPr>
            </w:pPr>
            <w:r>
              <w:rPr>
                <w:sz w:val="17"/>
              </w:rPr>
              <w:t>0,6</w:t>
            </w:r>
          </w:p>
        </w:tc>
        <w:tc>
          <w:tcPr>
            <w:tcW w:w="775" w:type="dxa"/>
          </w:tcPr>
          <w:p>
            <w:pPr>
              <w:pStyle w:val="TableParagraph"/>
              <w:spacing w:line="182" w:lineRule="exact" w:before="8"/>
              <w:ind w:left="38" w:right="35"/>
              <w:jc w:val="center"/>
              <w:rPr>
                <w:sz w:val="17"/>
              </w:rPr>
            </w:pPr>
            <w:r>
              <w:rPr>
                <w:sz w:val="17"/>
              </w:rPr>
              <w:t>0,2</w:t>
            </w:r>
          </w:p>
        </w:tc>
        <w:tc>
          <w:tcPr>
            <w:tcW w:w="775" w:type="dxa"/>
          </w:tcPr>
          <w:p>
            <w:pPr>
              <w:pStyle w:val="TableParagraph"/>
              <w:spacing w:line="182" w:lineRule="exact" w:before="8"/>
              <w:ind w:left="38" w:right="34"/>
              <w:jc w:val="center"/>
              <w:rPr>
                <w:sz w:val="17"/>
              </w:rPr>
            </w:pPr>
            <w:r>
              <w:rPr>
                <w:sz w:val="17"/>
              </w:rPr>
              <w:t>0,6</w:t>
            </w:r>
          </w:p>
        </w:tc>
        <w:tc>
          <w:tcPr>
            <w:tcW w:w="774" w:type="dxa"/>
          </w:tcPr>
          <w:p>
            <w:pPr>
              <w:pStyle w:val="TableParagraph"/>
              <w:spacing w:line="182" w:lineRule="exact" w:before="8"/>
              <w:ind w:left="37" w:right="38"/>
              <w:jc w:val="center"/>
              <w:rPr>
                <w:sz w:val="17"/>
              </w:rPr>
            </w:pPr>
            <w:r>
              <w:rPr>
                <w:sz w:val="17"/>
              </w:rPr>
              <w:t>0,7</w:t>
            </w:r>
          </w:p>
        </w:tc>
      </w:tr>
      <w:tr>
        <w:trPr>
          <w:trHeight w:val="210" w:hRule="atLeast"/>
        </w:trPr>
        <w:tc>
          <w:tcPr>
            <w:tcW w:w="4369" w:type="dxa"/>
          </w:tcPr>
          <w:p>
            <w:pPr>
              <w:pStyle w:val="TableParagraph"/>
              <w:spacing w:line="181" w:lineRule="exact" w:before="9"/>
              <w:ind w:left="28"/>
              <w:jc w:val="left"/>
              <w:rPr>
                <w:sz w:val="17"/>
              </w:rPr>
            </w:pPr>
            <w:r>
              <w:rPr>
                <w:sz w:val="17"/>
              </w:rPr>
              <w:t>Ore lavorate per occupato</w:t>
            </w:r>
          </w:p>
        </w:tc>
        <w:tc>
          <w:tcPr>
            <w:tcW w:w="757" w:type="dxa"/>
          </w:tcPr>
          <w:p>
            <w:pPr>
              <w:pStyle w:val="TableParagraph"/>
              <w:spacing w:line="181" w:lineRule="exact" w:before="9"/>
              <w:ind w:left="23" w:right="31"/>
              <w:jc w:val="center"/>
              <w:rPr>
                <w:sz w:val="17"/>
              </w:rPr>
            </w:pPr>
            <w:r>
              <w:rPr>
                <w:sz w:val="17"/>
              </w:rPr>
              <w:t>0,2</w:t>
            </w:r>
          </w:p>
        </w:tc>
        <w:tc>
          <w:tcPr>
            <w:tcW w:w="773" w:type="dxa"/>
          </w:tcPr>
          <w:p>
            <w:pPr>
              <w:pStyle w:val="TableParagraph"/>
              <w:spacing w:line="181" w:lineRule="exact" w:before="9"/>
              <w:ind w:left="38" w:right="33"/>
              <w:jc w:val="center"/>
              <w:rPr>
                <w:sz w:val="17"/>
              </w:rPr>
            </w:pPr>
            <w:r>
              <w:rPr>
                <w:sz w:val="17"/>
              </w:rPr>
              <w:t>0,1</w:t>
            </w:r>
          </w:p>
        </w:tc>
        <w:tc>
          <w:tcPr>
            <w:tcW w:w="775" w:type="dxa"/>
          </w:tcPr>
          <w:p>
            <w:pPr>
              <w:pStyle w:val="TableParagraph"/>
              <w:spacing w:line="181" w:lineRule="exact" w:before="9"/>
              <w:ind w:left="38" w:right="35"/>
              <w:jc w:val="center"/>
              <w:rPr>
                <w:sz w:val="17"/>
              </w:rPr>
            </w:pPr>
            <w:r>
              <w:rPr>
                <w:sz w:val="17"/>
              </w:rPr>
              <w:t>0,1</w:t>
            </w:r>
          </w:p>
        </w:tc>
        <w:tc>
          <w:tcPr>
            <w:tcW w:w="775" w:type="dxa"/>
          </w:tcPr>
          <w:p>
            <w:pPr>
              <w:pStyle w:val="TableParagraph"/>
              <w:spacing w:line="181" w:lineRule="exact" w:before="9"/>
              <w:ind w:left="38" w:right="34"/>
              <w:jc w:val="center"/>
              <w:rPr>
                <w:sz w:val="17"/>
              </w:rPr>
            </w:pPr>
            <w:r>
              <w:rPr>
                <w:sz w:val="17"/>
              </w:rPr>
              <w:t>0,1</w:t>
            </w:r>
          </w:p>
        </w:tc>
        <w:tc>
          <w:tcPr>
            <w:tcW w:w="774" w:type="dxa"/>
          </w:tcPr>
          <w:p>
            <w:pPr>
              <w:pStyle w:val="TableParagraph"/>
              <w:spacing w:line="181" w:lineRule="exact" w:before="9"/>
              <w:ind w:left="37" w:right="38"/>
              <w:jc w:val="center"/>
              <w:rPr>
                <w:sz w:val="17"/>
              </w:rPr>
            </w:pPr>
            <w:r>
              <w:rPr>
                <w:sz w:val="17"/>
              </w:rPr>
              <w:t>0,0</w:t>
            </w:r>
          </w:p>
        </w:tc>
      </w:tr>
      <w:tr>
        <w:trPr>
          <w:trHeight w:val="210" w:hRule="atLeast"/>
        </w:trPr>
        <w:tc>
          <w:tcPr>
            <w:tcW w:w="4369" w:type="dxa"/>
          </w:tcPr>
          <w:p>
            <w:pPr>
              <w:pStyle w:val="TableParagraph"/>
              <w:spacing w:line="182" w:lineRule="exact" w:before="8"/>
              <w:ind w:left="28"/>
              <w:jc w:val="left"/>
              <w:rPr>
                <w:sz w:val="17"/>
              </w:rPr>
            </w:pPr>
            <w:r>
              <w:rPr>
                <w:sz w:val="17"/>
              </w:rPr>
              <w:t>Tasso di disoccupazione</w:t>
            </w:r>
          </w:p>
        </w:tc>
        <w:tc>
          <w:tcPr>
            <w:tcW w:w="757" w:type="dxa"/>
          </w:tcPr>
          <w:p>
            <w:pPr>
              <w:pStyle w:val="TableParagraph"/>
              <w:spacing w:line="182" w:lineRule="exact" w:before="8"/>
              <w:ind w:left="23" w:right="33"/>
              <w:jc w:val="center"/>
              <w:rPr>
                <w:sz w:val="17"/>
              </w:rPr>
            </w:pPr>
            <w:r>
              <w:rPr>
                <w:sz w:val="17"/>
              </w:rPr>
              <w:t>10,6</w:t>
            </w:r>
          </w:p>
        </w:tc>
        <w:tc>
          <w:tcPr>
            <w:tcW w:w="773" w:type="dxa"/>
          </w:tcPr>
          <w:p>
            <w:pPr>
              <w:pStyle w:val="TableParagraph"/>
              <w:spacing w:line="182" w:lineRule="exact" w:before="8"/>
              <w:ind w:left="38" w:right="36"/>
              <w:jc w:val="center"/>
              <w:rPr>
                <w:sz w:val="17"/>
              </w:rPr>
            </w:pPr>
            <w:r>
              <w:rPr>
                <w:sz w:val="17"/>
              </w:rPr>
              <w:t>10,1</w:t>
            </w:r>
          </w:p>
        </w:tc>
        <w:tc>
          <w:tcPr>
            <w:tcW w:w="775" w:type="dxa"/>
          </w:tcPr>
          <w:p>
            <w:pPr>
              <w:pStyle w:val="TableParagraph"/>
              <w:spacing w:line="182" w:lineRule="exact" w:before="8"/>
              <w:ind w:left="38" w:right="38"/>
              <w:jc w:val="center"/>
              <w:rPr>
                <w:sz w:val="17"/>
              </w:rPr>
            </w:pPr>
            <w:r>
              <w:rPr>
                <w:sz w:val="17"/>
              </w:rPr>
              <w:t>10,2</w:t>
            </w:r>
          </w:p>
        </w:tc>
        <w:tc>
          <w:tcPr>
            <w:tcW w:w="775" w:type="dxa"/>
          </w:tcPr>
          <w:p>
            <w:pPr>
              <w:pStyle w:val="TableParagraph"/>
              <w:spacing w:line="182" w:lineRule="exact" w:before="8"/>
              <w:ind w:left="38" w:right="34"/>
              <w:jc w:val="center"/>
              <w:rPr>
                <w:sz w:val="17"/>
              </w:rPr>
            </w:pPr>
            <w:r>
              <w:rPr>
                <w:sz w:val="17"/>
              </w:rPr>
              <w:t>9,8</w:t>
            </w:r>
          </w:p>
        </w:tc>
        <w:tc>
          <w:tcPr>
            <w:tcW w:w="774" w:type="dxa"/>
          </w:tcPr>
          <w:p>
            <w:pPr>
              <w:pStyle w:val="TableParagraph"/>
              <w:spacing w:line="182" w:lineRule="exact" w:before="8"/>
              <w:ind w:left="37" w:right="38"/>
              <w:jc w:val="center"/>
              <w:rPr>
                <w:sz w:val="17"/>
              </w:rPr>
            </w:pPr>
            <w:r>
              <w:rPr>
                <w:sz w:val="17"/>
              </w:rPr>
              <w:t>9,5</w:t>
            </w:r>
          </w:p>
        </w:tc>
      </w:tr>
      <w:tr>
        <w:trPr>
          <w:trHeight w:val="287" w:hRule="atLeast"/>
        </w:trPr>
        <w:tc>
          <w:tcPr>
            <w:tcW w:w="4369" w:type="dxa"/>
          </w:tcPr>
          <w:p>
            <w:pPr>
              <w:pStyle w:val="TableParagraph"/>
              <w:spacing w:before="9"/>
              <w:ind w:left="28"/>
              <w:jc w:val="left"/>
              <w:rPr>
                <w:sz w:val="17"/>
              </w:rPr>
            </w:pPr>
            <w:r>
              <w:rPr>
                <w:sz w:val="17"/>
              </w:rPr>
              <w:t>Tasso di occupazione (15-64 anni)</w:t>
            </w:r>
          </w:p>
        </w:tc>
        <w:tc>
          <w:tcPr>
            <w:tcW w:w="757" w:type="dxa"/>
          </w:tcPr>
          <w:p>
            <w:pPr>
              <w:pStyle w:val="TableParagraph"/>
              <w:spacing w:before="9"/>
              <w:ind w:left="23" w:right="33"/>
              <w:jc w:val="center"/>
              <w:rPr>
                <w:sz w:val="17"/>
              </w:rPr>
            </w:pPr>
            <w:r>
              <w:rPr>
                <w:sz w:val="17"/>
              </w:rPr>
              <w:t>58,5</w:t>
            </w:r>
          </w:p>
        </w:tc>
        <w:tc>
          <w:tcPr>
            <w:tcW w:w="773" w:type="dxa"/>
          </w:tcPr>
          <w:p>
            <w:pPr>
              <w:pStyle w:val="TableParagraph"/>
              <w:spacing w:before="9"/>
              <w:ind w:left="38" w:right="36"/>
              <w:jc w:val="center"/>
              <w:rPr>
                <w:sz w:val="17"/>
              </w:rPr>
            </w:pPr>
            <w:r>
              <w:rPr>
                <w:sz w:val="17"/>
              </w:rPr>
              <w:t>58,9</w:t>
            </w:r>
          </w:p>
        </w:tc>
        <w:tc>
          <w:tcPr>
            <w:tcW w:w="775" w:type="dxa"/>
          </w:tcPr>
          <w:p>
            <w:pPr>
              <w:pStyle w:val="TableParagraph"/>
              <w:spacing w:before="9"/>
              <w:ind w:left="38" w:right="38"/>
              <w:jc w:val="center"/>
              <w:rPr>
                <w:sz w:val="17"/>
              </w:rPr>
            </w:pPr>
            <w:r>
              <w:rPr>
                <w:sz w:val="17"/>
              </w:rPr>
              <w:t>59,2</w:t>
            </w:r>
          </w:p>
        </w:tc>
        <w:tc>
          <w:tcPr>
            <w:tcW w:w="775" w:type="dxa"/>
          </w:tcPr>
          <w:p>
            <w:pPr>
              <w:pStyle w:val="TableParagraph"/>
              <w:spacing w:before="9"/>
              <w:ind w:left="38" w:right="36"/>
              <w:jc w:val="center"/>
              <w:rPr>
                <w:sz w:val="17"/>
              </w:rPr>
            </w:pPr>
            <w:r>
              <w:rPr>
                <w:sz w:val="17"/>
              </w:rPr>
              <w:t>59,7</w:t>
            </w:r>
          </w:p>
        </w:tc>
        <w:tc>
          <w:tcPr>
            <w:tcW w:w="774" w:type="dxa"/>
          </w:tcPr>
          <w:p>
            <w:pPr>
              <w:pStyle w:val="TableParagraph"/>
              <w:spacing w:before="9"/>
              <w:ind w:left="37" w:right="38"/>
              <w:jc w:val="center"/>
              <w:rPr>
                <w:sz w:val="17"/>
              </w:rPr>
            </w:pPr>
            <w:r>
              <w:rPr>
                <w:sz w:val="17"/>
              </w:rPr>
              <w:t>60,2</w:t>
            </w:r>
          </w:p>
        </w:tc>
      </w:tr>
      <w:tr>
        <w:trPr>
          <w:trHeight w:val="342" w:hRule="atLeast"/>
        </w:trPr>
        <w:tc>
          <w:tcPr>
            <w:tcW w:w="4369" w:type="dxa"/>
            <w:tcBorders>
              <w:bottom w:val="single" w:sz="4" w:space="0" w:color="000000"/>
            </w:tcBorders>
          </w:tcPr>
          <w:p>
            <w:pPr>
              <w:pStyle w:val="TableParagraph"/>
              <w:spacing w:before="85"/>
              <w:ind w:left="28"/>
              <w:jc w:val="left"/>
              <w:rPr>
                <w:i/>
                <w:sz w:val="17"/>
              </w:rPr>
            </w:pPr>
            <w:r>
              <w:rPr>
                <w:i/>
                <w:sz w:val="17"/>
              </w:rPr>
              <w:t>pm. PIL nominale (valori assoluti in milioni euro)</w:t>
            </w:r>
          </w:p>
        </w:tc>
        <w:tc>
          <w:tcPr>
            <w:tcW w:w="757" w:type="dxa"/>
            <w:tcBorders>
              <w:bottom w:val="single" w:sz="4" w:space="0" w:color="000000"/>
            </w:tcBorders>
          </w:tcPr>
          <w:p>
            <w:pPr>
              <w:pStyle w:val="TableParagraph"/>
              <w:spacing w:before="99"/>
              <w:ind w:left="23" w:right="37"/>
              <w:jc w:val="center"/>
              <w:rPr>
                <w:i/>
                <w:sz w:val="16"/>
              </w:rPr>
            </w:pPr>
            <w:r>
              <w:rPr>
                <w:i/>
                <w:sz w:val="16"/>
              </w:rPr>
              <w:t>1765421</w:t>
            </w:r>
          </w:p>
        </w:tc>
        <w:tc>
          <w:tcPr>
            <w:tcW w:w="773" w:type="dxa"/>
            <w:tcBorders>
              <w:bottom w:val="single" w:sz="4" w:space="0" w:color="000000"/>
            </w:tcBorders>
          </w:tcPr>
          <w:p>
            <w:pPr>
              <w:pStyle w:val="TableParagraph"/>
              <w:spacing w:before="99"/>
              <w:ind w:left="38" w:right="38"/>
              <w:jc w:val="center"/>
              <w:rPr>
                <w:i/>
                <w:sz w:val="16"/>
              </w:rPr>
            </w:pPr>
            <w:r>
              <w:rPr>
                <w:i/>
                <w:sz w:val="16"/>
              </w:rPr>
              <w:t>1783142</w:t>
            </w:r>
          </w:p>
        </w:tc>
        <w:tc>
          <w:tcPr>
            <w:tcW w:w="775" w:type="dxa"/>
            <w:tcBorders>
              <w:bottom w:val="single" w:sz="4" w:space="0" w:color="000000"/>
            </w:tcBorders>
          </w:tcPr>
          <w:p>
            <w:pPr>
              <w:pStyle w:val="TableParagraph"/>
              <w:spacing w:before="99"/>
              <w:ind w:left="38" w:right="39"/>
              <w:jc w:val="center"/>
              <w:rPr>
                <w:i/>
                <w:sz w:val="16"/>
              </w:rPr>
            </w:pPr>
            <w:r>
              <w:rPr>
                <w:i/>
                <w:sz w:val="16"/>
              </w:rPr>
              <w:t>1824521</w:t>
            </w:r>
          </w:p>
        </w:tc>
        <w:tc>
          <w:tcPr>
            <w:tcW w:w="775" w:type="dxa"/>
            <w:tcBorders>
              <w:bottom w:val="single" w:sz="4" w:space="0" w:color="000000"/>
            </w:tcBorders>
          </w:tcPr>
          <w:p>
            <w:pPr>
              <w:pStyle w:val="TableParagraph"/>
              <w:spacing w:before="99"/>
              <w:ind w:left="38" w:right="39"/>
              <w:jc w:val="center"/>
              <w:rPr>
                <w:i/>
                <w:sz w:val="16"/>
              </w:rPr>
            </w:pPr>
            <w:r>
              <w:rPr>
                <w:i/>
                <w:sz w:val="16"/>
              </w:rPr>
              <w:t>1866503</w:t>
            </w:r>
          </w:p>
        </w:tc>
        <w:tc>
          <w:tcPr>
            <w:tcW w:w="774" w:type="dxa"/>
            <w:tcBorders>
              <w:bottom w:val="single" w:sz="4" w:space="0" w:color="000000"/>
            </w:tcBorders>
          </w:tcPr>
          <w:p>
            <w:pPr>
              <w:pStyle w:val="TableParagraph"/>
              <w:spacing w:before="99"/>
              <w:ind w:left="37" w:right="39"/>
              <w:jc w:val="center"/>
              <w:rPr>
                <w:i/>
                <w:sz w:val="16"/>
              </w:rPr>
            </w:pPr>
            <w:r>
              <w:rPr>
                <w:i/>
                <w:sz w:val="16"/>
              </w:rPr>
              <w:t>1913559</w:t>
            </w:r>
          </w:p>
        </w:tc>
      </w:tr>
      <w:tr>
        <w:trPr>
          <w:trHeight w:val="177" w:hRule="atLeast"/>
        </w:trPr>
        <w:tc>
          <w:tcPr>
            <w:tcW w:w="4369" w:type="dxa"/>
            <w:tcBorders>
              <w:top w:val="single" w:sz="4" w:space="0" w:color="000000"/>
            </w:tcBorders>
          </w:tcPr>
          <w:p>
            <w:pPr>
              <w:pStyle w:val="TableParagraph"/>
              <w:spacing w:line="147" w:lineRule="exact"/>
              <w:ind w:left="28"/>
              <w:jc w:val="left"/>
              <w:rPr>
                <w:sz w:val="16"/>
              </w:rPr>
            </w:pPr>
            <w:r>
              <w:rPr>
                <w:sz w:val="16"/>
              </w:rPr>
              <w:t>(*) Eventuali imprecisioni derivano dagli arrotondamenti.</w:t>
            </w:r>
          </w:p>
        </w:tc>
        <w:tc>
          <w:tcPr>
            <w:tcW w:w="757" w:type="dxa"/>
            <w:tcBorders>
              <w:top w:val="single" w:sz="4" w:space="0" w:color="000000"/>
            </w:tcBorders>
          </w:tcPr>
          <w:p>
            <w:pPr>
              <w:pStyle w:val="TableParagraph"/>
              <w:jc w:val="left"/>
              <w:rPr>
                <w:rFonts w:ascii="Times New Roman"/>
                <w:sz w:val="10"/>
              </w:rPr>
            </w:pPr>
          </w:p>
        </w:tc>
        <w:tc>
          <w:tcPr>
            <w:tcW w:w="773" w:type="dxa"/>
            <w:tcBorders>
              <w:top w:val="single" w:sz="4" w:space="0" w:color="000000"/>
            </w:tcBorders>
          </w:tcPr>
          <w:p>
            <w:pPr>
              <w:pStyle w:val="TableParagraph"/>
              <w:jc w:val="left"/>
              <w:rPr>
                <w:rFonts w:ascii="Times New Roman"/>
                <w:sz w:val="10"/>
              </w:rPr>
            </w:pPr>
          </w:p>
        </w:tc>
        <w:tc>
          <w:tcPr>
            <w:tcW w:w="775" w:type="dxa"/>
            <w:tcBorders>
              <w:top w:val="single" w:sz="4" w:space="0" w:color="000000"/>
            </w:tcBorders>
          </w:tcPr>
          <w:p>
            <w:pPr>
              <w:pStyle w:val="TableParagraph"/>
              <w:jc w:val="left"/>
              <w:rPr>
                <w:rFonts w:ascii="Times New Roman"/>
                <w:sz w:val="10"/>
              </w:rPr>
            </w:pPr>
          </w:p>
        </w:tc>
        <w:tc>
          <w:tcPr>
            <w:tcW w:w="775" w:type="dxa"/>
            <w:tcBorders>
              <w:top w:val="single" w:sz="4" w:space="0" w:color="000000"/>
            </w:tcBorders>
          </w:tcPr>
          <w:p>
            <w:pPr>
              <w:pStyle w:val="TableParagraph"/>
              <w:jc w:val="left"/>
              <w:rPr>
                <w:rFonts w:ascii="Times New Roman"/>
                <w:sz w:val="10"/>
              </w:rPr>
            </w:pPr>
          </w:p>
        </w:tc>
        <w:tc>
          <w:tcPr>
            <w:tcW w:w="774" w:type="dxa"/>
            <w:tcBorders>
              <w:top w:val="single" w:sz="4" w:space="0" w:color="000000"/>
            </w:tcBorders>
          </w:tcPr>
          <w:p>
            <w:pPr>
              <w:pStyle w:val="TableParagraph"/>
              <w:jc w:val="left"/>
              <w:rPr>
                <w:rFonts w:ascii="Times New Roman"/>
                <w:sz w:val="10"/>
              </w:rPr>
            </w:pPr>
          </w:p>
        </w:tc>
      </w:tr>
    </w:tbl>
    <w:p>
      <w:pPr>
        <w:spacing w:line="181" w:lineRule="exact" w:before="1"/>
        <w:ind w:left="1157" w:right="0" w:firstLine="0"/>
        <w:jc w:val="left"/>
        <w:rPr>
          <w:rFonts w:ascii="Franklin Gothic Book"/>
          <w:sz w:val="16"/>
        </w:rPr>
      </w:pPr>
      <w:r>
        <w:rPr>
          <w:rFonts w:ascii="Franklin Gothic Book"/>
          <w:sz w:val="16"/>
        </w:rPr>
        <w:t>(**) Fonte: ISTAT.</w:t>
      </w:r>
    </w:p>
    <w:p>
      <w:pPr>
        <w:spacing w:before="0" w:after="18"/>
        <w:ind w:left="1157" w:right="1494" w:firstLine="0"/>
        <w:jc w:val="left"/>
        <w:rPr>
          <w:rFonts w:ascii="Franklin Gothic Book" w:hAnsi="Franklin Gothic Book"/>
          <w:sz w:val="16"/>
        </w:rPr>
      </w:pPr>
      <w:r>
        <w:rPr>
          <w:rFonts w:ascii="Franklin Gothic Book" w:hAnsi="Franklin Gothic Book"/>
          <w:sz w:val="16"/>
        </w:rPr>
        <w:t>Nota: Il quadro macroeconomico è stato elaborato sulla base delle informazioni disponibili al 23 settembre 2019. Per le esogene internazionali si fa riferimento alle informazioni disponibili al 10 settembre 2019.</w:t>
      </w:r>
    </w:p>
    <w:p>
      <w:pPr>
        <w:pStyle w:val="BodyText"/>
        <w:spacing w:line="44" w:lineRule="exact"/>
        <w:ind w:left="1092"/>
        <w:rPr>
          <w:rFonts w:ascii="Franklin Gothic Book"/>
          <w:sz w:val="4"/>
        </w:rPr>
      </w:pPr>
      <w:r>
        <w:rPr>
          <w:rFonts w:ascii="Franklin Gothic Book"/>
          <w:position w:val="0"/>
          <w:sz w:val="4"/>
        </w:rPr>
        <w:pict>
          <v:group style="width:411.8pt;height:2.2pt;mso-position-horizontal-relative:char;mso-position-vertical-relative:line" coordorigin="0,0" coordsize="8236,44">
            <v:line style="position:absolute" from="0,22" to="8236,22" stroked="true" strokeweight="2.16pt" strokecolor="#086d44">
              <v:stroke dashstyle="solid"/>
            </v:line>
          </v:group>
        </w:pict>
      </w:r>
      <w:r>
        <w:rPr>
          <w:rFonts w:ascii="Franklin Gothic Book"/>
          <w:position w:val="0"/>
          <w:sz w:val="4"/>
        </w:rPr>
      </w:r>
    </w:p>
    <w:p>
      <w:pPr>
        <w:spacing w:after="0" w:line="44" w:lineRule="exact"/>
        <w:rPr>
          <w:rFonts w:ascii="Franklin Gothic Book"/>
          <w:sz w:val="4"/>
        </w:rPr>
        <w:sectPr>
          <w:pgSz w:w="11910" w:h="16840"/>
          <w:pgMar w:header="838" w:footer="866" w:top="1100" w:bottom="1060" w:left="1140" w:right="0"/>
        </w:sectPr>
      </w:pPr>
    </w:p>
    <w:p>
      <w:pPr>
        <w:pStyle w:val="BodyText"/>
        <w:rPr>
          <w:rFonts w:ascii="Franklin Gothic Book"/>
          <w:sz w:val="20"/>
        </w:rPr>
      </w:pPr>
    </w:p>
    <w:p>
      <w:pPr>
        <w:pStyle w:val="BodyText"/>
        <w:rPr>
          <w:rFonts w:ascii="Franklin Gothic Book"/>
          <w:sz w:val="20"/>
        </w:rPr>
      </w:pPr>
    </w:p>
    <w:p>
      <w:pPr>
        <w:pStyle w:val="BodyText"/>
        <w:spacing w:before="10"/>
        <w:rPr>
          <w:rFonts w:ascii="Franklin Gothic Book"/>
          <w:sz w:val="26"/>
        </w:rPr>
      </w:pPr>
    </w:p>
    <w:p>
      <w:pPr>
        <w:pStyle w:val="Heading6"/>
        <w:ind w:left="782"/>
        <w:rPr>
          <w:sz w:val="14"/>
        </w:rPr>
      </w:pPr>
      <w:r>
        <w:rPr/>
        <w:pict>
          <v:group style="position:absolute;margin-left:70.944pt;margin-top:5.53154pt;width:411.1pt;height:582.1pt;mso-position-horizontal-relative:page;mso-position-vertical-relative:paragraph;z-index:-266230784" coordorigin="1419,111" coordsize="8222,11642">
            <v:rect style="position:absolute;left:1447;top:110;width:22;height:11642" filled="true" fillcolor="#efefef" stroked="false">
              <v:fill type="solid"/>
            </v:rect>
            <v:line style="position:absolute" from="1458,111" to="1458,367" stroked="true" strokeweight="1.08pt" strokecolor="#efefef">
              <v:stroke dashstyle="solid"/>
            </v:line>
            <v:shape style="position:absolute;left:1469;top:110;width:8171;height:11642" coordorigin="1469,111" coordsize="8171,11642" path="m9640,11272l1469,11272,1469,11512,1469,11752,9640,11752,9640,11512,9640,11272m9640,3591l1469,3591,1469,3831,1469,4131,1469,4371,1469,4671,1469,4911,1469,5151,1469,5391,1469,5631,1469,5871,1469,6111,1469,6351,1469,6591,1469,6831,1469,7131,1469,7371,1469,7371,1469,7672,1469,7912,1469,8212,1469,8452,1469,8692,1469,8932,1469,9172,1469,9472,1469,9772,1469,10012,1469,10252,1469,10492,1469,10732,1469,10972,1469,11272,9640,11272,9640,10972,9640,10732,9640,10492,9640,10252,9640,10012,9640,9772,9640,9472,9640,9172,9640,8932,9640,8692,9640,8452,9640,8212,9640,7912,9640,7672,9640,7371,9640,7371,9640,7131,9640,6831,9640,6591,9640,6351,9640,6111,9640,5871,9640,5631,9640,5391,9640,5151,9640,4911,9640,4671,9640,4371,9640,4131,9640,3831,9640,3591m9640,111l1469,111,1469,351,1469,651,1469,891,1469,1131,1469,1371,1469,1671,1469,1911,1469,2151,1469,2391,1469,2631,1469,2871,1469,3111,1469,3351,1469,3591,9640,3591,9640,3351,9640,3111,9640,2871,9640,2631,9640,2391,9640,2151,9640,1911,9640,1671,9640,1371,9640,1131,9640,891,9640,651,9640,351,9640,111e" filled="true" fillcolor="#efefef" stroked="false">
              <v:path arrowok="t"/>
              <v:fill type="solid"/>
            </v:shape>
            <v:rect style="position:absolute;left:1418;top:110;width:29;height:11642" filled="true" fillcolor="#086d44" stroked="false">
              <v:fill type="solid"/>
            </v:rect>
            <w10:wrap type="none"/>
          </v:group>
        </w:pict>
      </w:r>
      <w:r>
        <w:rPr/>
        <w:pict>
          <v:shape style="position:absolute;margin-left:71.905952pt;margin-top:7.819679pt;width:15.65pt;height:39.550pt;mso-position-horizontal-relative:page;mso-position-vertical-relative:paragraph;z-index:251778048" type="#_x0000_t202" filled="false" stroked="false">
            <v:textbox inset="0,0,0,0" style="layout-flow:vertical;mso-layout-flow-alt:bottom-to-top">
              <w:txbxContent>
                <w:p>
                  <w:pPr>
                    <w:spacing w:before="20"/>
                    <w:ind w:left="20" w:right="0" w:firstLine="0"/>
                    <w:jc w:val="left"/>
                    <w:rPr>
                      <w:rFonts w:ascii="Franklin Gothic Heavy"/>
                      <w:b/>
                      <w:sz w:val="24"/>
                    </w:rPr>
                  </w:pPr>
                  <w:r>
                    <w:rPr>
                      <w:rFonts w:ascii="Franklin Gothic Heavy"/>
                      <w:b/>
                      <w:color w:val="006247"/>
                      <w:sz w:val="24"/>
                    </w:rPr>
                    <w:t>FOCUS</w:t>
                  </w:r>
                </w:p>
              </w:txbxContent>
            </v:textbox>
            <w10:wrap type="none"/>
          </v:shape>
        </w:pict>
      </w:r>
      <w:r>
        <w:rPr/>
        <w:t>La revisione delle stime di crescita per il 2019 e gli anni seguenti</w:t>
      </w:r>
      <w:r>
        <w:rPr>
          <w:position w:val="5"/>
          <w:sz w:val="14"/>
        </w:rPr>
        <w:t>18</w:t>
      </w:r>
    </w:p>
    <w:p>
      <w:pPr>
        <w:spacing w:line="254" w:lineRule="auto" w:before="69"/>
        <w:ind w:left="782" w:right="2263" w:firstLine="0"/>
        <w:jc w:val="both"/>
        <w:rPr>
          <w:rFonts w:ascii="Franklin Gothic Book" w:hAnsi="Franklin Gothic Book"/>
          <w:sz w:val="20"/>
        </w:rPr>
      </w:pPr>
      <w:r>
        <w:rPr>
          <w:rFonts w:ascii="Franklin Gothic Book" w:hAnsi="Franklin Gothic Book"/>
          <w:sz w:val="20"/>
        </w:rPr>
        <w:t>In analogia con i precedenti documenti, in questo riquadro viene presentata un’analisi dei principali fattori sottostanti la revisione delle previsioni macroeconomiche per il 2019-2020 rispetto al quadro programmatico del DEF 2019; successivamente si illustra l’impatto delle nuove esogene sulla crescita per l’intero arco previsivo.</w:t>
      </w:r>
    </w:p>
    <w:p>
      <w:pPr>
        <w:spacing w:line="254" w:lineRule="auto" w:before="58"/>
        <w:ind w:left="782" w:right="2262" w:firstLine="0"/>
        <w:jc w:val="both"/>
        <w:rPr>
          <w:rFonts w:ascii="Franklin Gothic Book" w:hAnsi="Franklin Gothic Book"/>
          <w:sz w:val="20"/>
        </w:rPr>
      </w:pPr>
      <w:r>
        <w:rPr>
          <w:rFonts w:ascii="Franklin Gothic Book" w:hAnsi="Franklin Gothic Book"/>
          <w:sz w:val="20"/>
        </w:rPr>
        <w:t>In primo luogo, la Nota di Aggiornamento considera nuove informazioni sull’andamento dell’economia italiana nell’anno in corso rispetto al documento di aprile con riferimento sia ai dati trimestrali di contabilità nazionale, disponibili ora per i primi due trimestri dell’anno, sia alle nuove prospettive del quadro internazionale. Inoltre le revisioni dell’ISTAT sui dati annuali hanno comportato una revisione verso l’alto del PIL nominale per gli anni 2016- 2018, che risulta significativa soprattutto nel 2017 (9,2 miliardi). Le modifiche intervenute sulle componenti della domanda nel 2018, potrebbero avere un impatto sul trascinamento del 2019. Occorrerà verificare l’esercizio di confronto con i conti trimestrali coerenti con la nuova contabilità nazionale per una valutazione complessiva più accurata. I valori riportati nella tabella sono relativi ai dati corretti per i giorni lavorativi.</w:t>
      </w:r>
    </w:p>
    <w:p>
      <w:pPr>
        <w:spacing w:line="254" w:lineRule="auto" w:before="57"/>
        <w:ind w:left="782" w:right="2261" w:firstLine="0"/>
        <w:jc w:val="both"/>
        <w:rPr>
          <w:rFonts w:ascii="Franklin Gothic Book"/>
          <w:sz w:val="20"/>
        </w:rPr>
      </w:pPr>
      <w:r>
        <w:rPr>
          <w:rFonts w:ascii="Franklin Gothic Book"/>
          <w:sz w:val="20"/>
        </w:rPr>
        <w:t>I</w:t>
      </w:r>
      <w:r>
        <w:rPr>
          <w:rFonts w:ascii="Franklin Gothic Book"/>
          <w:spacing w:val="-8"/>
          <w:sz w:val="20"/>
        </w:rPr>
        <w:t> </w:t>
      </w:r>
      <w:r>
        <w:rPr>
          <w:rFonts w:ascii="Franklin Gothic Book"/>
          <w:sz w:val="20"/>
        </w:rPr>
        <w:t>principali</w:t>
      </w:r>
      <w:r>
        <w:rPr>
          <w:rFonts w:ascii="Franklin Gothic Book"/>
          <w:spacing w:val="-7"/>
          <w:sz w:val="20"/>
        </w:rPr>
        <w:t> </w:t>
      </w:r>
      <w:r>
        <w:rPr>
          <w:rFonts w:ascii="Franklin Gothic Book"/>
          <w:sz w:val="20"/>
        </w:rPr>
        <w:t>fattori</w:t>
      </w:r>
      <w:r>
        <w:rPr>
          <w:rFonts w:ascii="Franklin Gothic Book"/>
          <w:spacing w:val="-8"/>
          <w:sz w:val="20"/>
        </w:rPr>
        <w:t> </w:t>
      </w:r>
      <w:r>
        <w:rPr>
          <w:rFonts w:ascii="Franklin Gothic Book"/>
          <w:sz w:val="20"/>
        </w:rPr>
        <w:t>sottostanti</w:t>
      </w:r>
      <w:r>
        <w:rPr>
          <w:rFonts w:ascii="Franklin Gothic Book"/>
          <w:spacing w:val="-10"/>
          <w:sz w:val="20"/>
        </w:rPr>
        <w:t> </w:t>
      </w:r>
      <w:r>
        <w:rPr>
          <w:rFonts w:ascii="Franklin Gothic Book"/>
          <w:sz w:val="20"/>
        </w:rPr>
        <w:t>la</w:t>
      </w:r>
      <w:r>
        <w:rPr>
          <w:rFonts w:ascii="Franklin Gothic Book"/>
          <w:spacing w:val="-8"/>
          <w:sz w:val="20"/>
        </w:rPr>
        <w:t> </w:t>
      </w:r>
      <w:r>
        <w:rPr>
          <w:rFonts w:ascii="Franklin Gothic Book"/>
          <w:sz w:val="20"/>
        </w:rPr>
        <w:t>revisione</w:t>
      </w:r>
      <w:r>
        <w:rPr>
          <w:rFonts w:ascii="Franklin Gothic Book"/>
          <w:spacing w:val="-8"/>
          <w:sz w:val="20"/>
        </w:rPr>
        <w:t> </w:t>
      </w:r>
      <w:r>
        <w:rPr>
          <w:rFonts w:ascii="Franklin Gothic Book"/>
          <w:sz w:val="20"/>
        </w:rPr>
        <w:t>della</w:t>
      </w:r>
      <w:r>
        <w:rPr>
          <w:rFonts w:ascii="Franklin Gothic Book"/>
          <w:spacing w:val="-9"/>
          <w:sz w:val="20"/>
        </w:rPr>
        <w:t> </w:t>
      </w:r>
      <w:r>
        <w:rPr>
          <w:rFonts w:ascii="Franklin Gothic Book"/>
          <w:sz w:val="20"/>
        </w:rPr>
        <w:t>previsione</w:t>
      </w:r>
      <w:r>
        <w:rPr>
          <w:rFonts w:ascii="Franklin Gothic Book"/>
          <w:spacing w:val="-7"/>
          <w:sz w:val="20"/>
        </w:rPr>
        <w:t> </w:t>
      </w:r>
      <w:r>
        <w:rPr>
          <w:rFonts w:ascii="Franklin Gothic Book"/>
          <w:sz w:val="20"/>
        </w:rPr>
        <w:t>macroeconomica</w:t>
      </w:r>
      <w:r>
        <w:rPr>
          <w:rFonts w:ascii="Franklin Gothic Book"/>
          <w:spacing w:val="-8"/>
          <w:sz w:val="20"/>
        </w:rPr>
        <w:t> </w:t>
      </w:r>
      <w:r>
        <w:rPr>
          <w:rFonts w:ascii="Franklin Gothic Book"/>
          <w:sz w:val="20"/>
        </w:rPr>
        <w:t>per</w:t>
      </w:r>
      <w:r>
        <w:rPr>
          <w:rFonts w:ascii="Franklin Gothic Book"/>
          <w:spacing w:val="-9"/>
          <w:sz w:val="20"/>
        </w:rPr>
        <w:t> </w:t>
      </w:r>
      <w:r>
        <w:rPr>
          <w:rFonts w:ascii="Franklin Gothic Book"/>
          <w:sz w:val="20"/>
        </w:rPr>
        <w:t>il</w:t>
      </w:r>
      <w:r>
        <w:rPr>
          <w:rFonts w:ascii="Franklin Gothic Book"/>
          <w:spacing w:val="-8"/>
          <w:sz w:val="20"/>
        </w:rPr>
        <w:t> </w:t>
      </w:r>
      <w:r>
        <w:rPr>
          <w:rFonts w:ascii="Franklin Gothic Book"/>
          <w:sz w:val="20"/>
        </w:rPr>
        <w:t>2019-2020 sono pertanto illustrati nella Tavola</w:t>
      </w:r>
      <w:r>
        <w:rPr>
          <w:rFonts w:ascii="Franklin Gothic Book"/>
          <w:spacing w:val="-2"/>
          <w:sz w:val="20"/>
        </w:rPr>
        <w:t> </w:t>
      </w:r>
      <w:r>
        <w:rPr>
          <w:rFonts w:ascii="Franklin Gothic Book"/>
          <w:sz w:val="20"/>
        </w:rPr>
        <w:t>R.1.</w:t>
      </w:r>
    </w:p>
    <w:p>
      <w:pPr>
        <w:spacing w:line="254" w:lineRule="auto" w:before="60"/>
        <w:ind w:left="782" w:right="2263" w:firstLine="0"/>
        <w:jc w:val="both"/>
        <w:rPr>
          <w:rFonts w:ascii="Franklin Gothic Book" w:hAnsi="Franklin Gothic Book"/>
          <w:sz w:val="20"/>
        </w:rPr>
      </w:pPr>
      <w:r>
        <w:rPr>
          <w:rFonts w:ascii="Franklin Gothic Book" w:hAnsi="Franklin Gothic Book"/>
          <w:sz w:val="20"/>
        </w:rPr>
        <w:t>Le</w:t>
      </w:r>
      <w:r>
        <w:rPr>
          <w:rFonts w:ascii="Franklin Gothic Book" w:hAnsi="Franklin Gothic Book"/>
          <w:spacing w:val="-8"/>
          <w:sz w:val="20"/>
        </w:rPr>
        <w:t> </w:t>
      </w:r>
      <w:r>
        <w:rPr>
          <w:rFonts w:ascii="Franklin Gothic Book" w:hAnsi="Franklin Gothic Book"/>
          <w:sz w:val="20"/>
        </w:rPr>
        <w:t>prime</w:t>
      </w:r>
      <w:r>
        <w:rPr>
          <w:rFonts w:ascii="Franklin Gothic Book" w:hAnsi="Franklin Gothic Book"/>
          <w:spacing w:val="-7"/>
          <w:sz w:val="20"/>
        </w:rPr>
        <w:t> </w:t>
      </w:r>
      <w:r>
        <w:rPr>
          <w:rFonts w:ascii="Franklin Gothic Book" w:hAnsi="Franklin Gothic Book"/>
          <w:sz w:val="20"/>
        </w:rPr>
        <w:t>due</w:t>
      </w:r>
      <w:r>
        <w:rPr>
          <w:rFonts w:ascii="Franklin Gothic Book" w:hAnsi="Franklin Gothic Book"/>
          <w:spacing w:val="-7"/>
          <w:sz w:val="20"/>
        </w:rPr>
        <w:t> </w:t>
      </w:r>
      <w:r>
        <w:rPr>
          <w:rFonts w:ascii="Franklin Gothic Book" w:hAnsi="Franklin Gothic Book"/>
          <w:sz w:val="20"/>
        </w:rPr>
        <w:t>colonne</w:t>
      </w:r>
      <w:r>
        <w:rPr>
          <w:rFonts w:ascii="Franklin Gothic Book" w:hAnsi="Franklin Gothic Book"/>
          <w:spacing w:val="-7"/>
          <w:sz w:val="20"/>
        </w:rPr>
        <w:t> </w:t>
      </w:r>
      <w:r>
        <w:rPr>
          <w:rFonts w:ascii="Franklin Gothic Book" w:hAnsi="Franklin Gothic Book"/>
          <w:sz w:val="20"/>
        </w:rPr>
        <w:t>presentano</w:t>
      </w:r>
      <w:r>
        <w:rPr>
          <w:rFonts w:ascii="Franklin Gothic Book" w:hAnsi="Franklin Gothic Book"/>
          <w:spacing w:val="-5"/>
          <w:sz w:val="20"/>
        </w:rPr>
        <w:t> </w:t>
      </w:r>
      <w:r>
        <w:rPr>
          <w:rFonts w:ascii="Franklin Gothic Book" w:hAnsi="Franklin Gothic Book"/>
          <w:sz w:val="20"/>
        </w:rPr>
        <w:t>le</w:t>
      </w:r>
      <w:r>
        <w:rPr>
          <w:rFonts w:ascii="Franklin Gothic Book" w:hAnsi="Franklin Gothic Book"/>
          <w:spacing w:val="-8"/>
          <w:sz w:val="20"/>
        </w:rPr>
        <w:t> </w:t>
      </w:r>
      <w:r>
        <w:rPr>
          <w:rFonts w:ascii="Franklin Gothic Book" w:hAnsi="Franklin Gothic Book"/>
          <w:sz w:val="20"/>
        </w:rPr>
        <w:t>stime</w:t>
      </w:r>
      <w:r>
        <w:rPr>
          <w:rFonts w:ascii="Franklin Gothic Book" w:hAnsi="Franklin Gothic Book"/>
          <w:spacing w:val="-8"/>
          <w:sz w:val="20"/>
        </w:rPr>
        <w:t> </w:t>
      </w:r>
      <w:r>
        <w:rPr>
          <w:rFonts w:ascii="Franklin Gothic Book" w:hAnsi="Franklin Gothic Book"/>
          <w:sz w:val="20"/>
        </w:rPr>
        <w:t>di</w:t>
      </w:r>
      <w:r>
        <w:rPr>
          <w:rFonts w:ascii="Franklin Gothic Book" w:hAnsi="Franklin Gothic Book"/>
          <w:spacing w:val="-9"/>
          <w:sz w:val="20"/>
        </w:rPr>
        <w:t> </w:t>
      </w:r>
      <w:r>
        <w:rPr>
          <w:rFonts w:ascii="Franklin Gothic Book" w:hAnsi="Franklin Gothic Book"/>
          <w:sz w:val="20"/>
        </w:rPr>
        <w:t>crescita</w:t>
      </w:r>
      <w:r>
        <w:rPr>
          <w:rFonts w:ascii="Franklin Gothic Book" w:hAnsi="Franklin Gothic Book"/>
          <w:spacing w:val="-7"/>
          <w:sz w:val="20"/>
        </w:rPr>
        <w:t> </w:t>
      </w:r>
      <w:r>
        <w:rPr>
          <w:rFonts w:ascii="Franklin Gothic Book" w:hAnsi="Franklin Gothic Book"/>
          <w:sz w:val="20"/>
        </w:rPr>
        <w:t>del</w:t>
      </w:r>
      <w:r>
        <w:rPr>
          <w:rFonts w:ascii="Franklin Gothic Book" w:hAnsi="Franklin Gothic Book"/>
          <w:spacing w:val="-8"/>
          <w:sz w:val="20"/>
        </w:rPr>
        <w:t> </w:t>
      </w:r>
      <w:r>
        <w:rPr>
          <w:rFonts w:ascii="Franklin Gothic Book" w:hAnsi="Franklin Gothic Book"/>
          <w:sz w:val="20"/>
        </w:rPr>
        <w:t>PIL</w:t>
      </w:r>
      <w:r>
        <w:rPr>
          <w:rFonts w:ascii="Franklin Gothic Book" w:hAnsi="Franklin Gothic Book"/>
          <w:spacing w:val="-6"/>
          <w:sz w:val="20"/>
        </w:rPr>
        <w:t> </w:t>
      </w:r>
      <w:r>
        <w:rPr>
          <w:rFonts w:ascii="Franklin Gothic Book" w:hAnsi="Franklin Gothic Book"/>
          <w:sz w:val="20"/>
        </w:rPr>
        <w:t>e</w:t>
      </w:r>
      <w:r>
        <w:rPr>
          <w:rFonts w:ascii="Franklin Gothic Book" w:hAnsi="Franklin Gothic Book"/>
          <w:spacing w:val="-7"/>
          <w:sz w:val="20"/>
        </w:rPr>
        <w:t> </w:t>
      </w:r>
      <w:r>
        <w:rPr>
          <w:rFonts w:ascii="Franklin Gothic Book" w:hAnsi="Franklin Gothic Book"/>
          <w:sz w:val="20"/>
        </w:rPr>
        <w:t>delle</w:t>
      </w:r>
      <w:r>
        <w:rPr>
          <w:rFonts w:ascii="Franklin Gothic Book" w:hAnsi="Franklin Gothic Book"/>
          <w:spacing w:val="-8"/>
          <w:sz w:val="20"/>
        </w:rPr>
        <w:t> </w:t>
      </w:r>
      <w:r>
        <w:rPr>
          <w:rFonts w:ascii="Franklin Gothic Book" w:hAnsi="Franklin Gothic Book"/>
          <w:sz w:val="20"/>
        </w:rPr>
        <w:t>sue</w:t>
      </w:r>
      <w:r>
        <w:rPr>
          <w:rFonts w:ascii="Franklin Gothic Book" w:hAnsi="Franklin Gothic Book"/>
          <w:spacing w:val="-7"/>
          <w:sz w:val="20"/>
        </w:rPr>
        <w:t> </w:t>
      </w:r>
      <w:r>
        <w:rPr>
          <w:rFonts w:ascii="Franklin Gothic Book" w:hAnsi="Franklin Gothic Book"/>
          <w:sz w:val="20"/>
        </w:rPr>
        <w:t>componenti</w:t>
      </w:r>
      <w:r>
        <w:rPr>
          <w:rFonts w:ascii="Franklin Gothic Book" w:hAnsi="Franklin Gothic Book"/>
          <w:spacing w:val="-7"/>
          <w:sz w:val="20"/>
        </w:rPr>
        <w:t> </w:t>
      </w:r>
      <w:r>
        <w:rPr>
          <w:rFonts w:ascii="Franklin Gothic Book" w:hAnsi="Franklin Gothic Book"/>
          <w:sz w:val="20"/>
        </w:rPr>
        <w:t>nel</w:t>
      </w:r>
      <w:r>
        <w:rPr>
          <w:rFonts w:ascii="Franklin Gothic Book" w:hAnsi="Franklin Gothic Book"/>
          <w:spacing w:val="-6"/>
          <w:sz w:val="20"/>
        </w:rPr>
        <w:t> </w:t>
      </w:r>
      <w:r>
        <w:rPr>
          <w:rFonts w:ascii="Franklin Gothic Book" w:hAnsi="Franklin Gothic Book"/>
          <w:sz w:val="20"/>
        </w:rPr>
        <w:t>DEF e nella NADEF a confronto e nella terza è riportato il differenziale tra le due (Delta a). Del delta ne vengono rappresentate le determinanti principali: a) l’effetto degli errori di previsione che hanno interessato i primi due trimestri del 2019 poiché le stime del DEF si basavano sui dati di contabilità trimestrale disponibili fino al 4T del 2018 (delta b); b) l’impatto</w:t>
      </w:r>
      <w:r>
        <w:rPr>
          <w:rFonts w:ascii="Franklin Gothic Book" w:hAnsi="Franklin Gothic Book"/>
          <w:spacing w:val="-9"/>
          <w:sz w:val="20"/>
        </w:rPr>
        <w:t> </w:t>
      </w:r>
      <w:r>
        <w:rPr>
          <w:rFonts w:ascii="Franklin Gothic Book" w:hAnsi="Franklin Gothic Book"/>
          <w:sz w:val="20"/>
        </w:rPr>
        <w:t>delle</w:t>
      </w:r>
      <w:r>
        <w:rPr>
          <w:rFonts w:ascii="Franklin Gothic Book" w:hAnsi="Franklin Gothic Book"/>
          <w:spacing w:val="-7"/>
          <w:sz w:val="20"/>
        </w:rPr>
        <w:t> </w:t>
      </w:r>
      <w:r>
        <w:rPr>
          <w:rFonts w:ascii="Franklin Gothic Book" w:hAnsi="Franklin Gothic Book"/>
          <w:sz w:val="20"/>
        </w:rPr>
        <w:t>esogene</w:t>
      </w:r>
      <w:r>
        <w:rPr>
          <w:rFonts w:ascii="Franklin Gothic Book" w:hAnsi="Franklin Gothic Book"/>
          <w:spacing w:val="-10"/>
          <w:sz w:val="20"/>
        </w:rPr>
        <w:t> </w:t>
      </w:r>
      <w:r>
        <w:rPr>
          <w:rFonts w:ascii="Franklin Gothic Book" w:hAnsi="Franklin Gothic Book"/>
          <w:sz w:val="20"/>
        </w:rPr>
        <w:t>(delta</w:t>
      </w:r>
      <w:r>
        <w:rPr>
          <w:rFonts w:ascii="Franklin Gothic Book" w:hAnsi="Franklin Gothic Book"/>
          <w:spacing w:val="-8"/>
          <w:sz w:val="20"/>
        </w:rPr>
        <w:t> </w:t>
      </w:r>
      <w:r>
        <w:rPr>
          <w:rFonts w:ascii="Franklin Gothic Book" w:hAnsi="Franklin Gothic Book"/>
          <w:sz w:val="20"/>
        </w:rPr>
        <w:t>c).</w:t>
      </w:r>
      <w:r>
        <w:rPr>
          <w:rFonts w:ascii="Franklin Gothic Book" w:hAnsi="Franklin Gothic Book"/>
          <w:spacing w:val="-8"/>
          <w:sz w:val="20"/>
        </w:rPr>
        <w:t> </w:t>
      </w:r>
      <w:r>
        <w:rPr>
          <w:rFonts w:ascii="Franklin Gothic Book" w:hAnsi="Franklin Gothic Book"/>
          <w:sz w:val="20"/>
        </w:rPr>
        <w:t>Il</w:t>
      </w:r>
      <w:r>
        <w:rPr>
          <w:rFonts w:ascii="Franklin Gothic Book" w:hAnsi="Franklin Gothic Book"/>
          <w:spacing w:val="-9"/>
          <w:sz w:val="20"/>
        </w:rPr>
        <w:t> </w:t>
      </w:r>
      <w:r>
        <w:rPr>
          <w:rFonts w:ascii="Franklin Gothic Book" w:hAnsi="Franklin Gothic Book"/>
          <w:sz w:val="20"/>
        </w:rPr>
        <w:t>delta</w:t>
      </w:r>
      <w:r>
        <w:rPr>
          <w:rFonts w:ascii="Franklin Gothic Book" w:hAnsi="Franklin Gothic Book"/>
          <w:spacing w:val="-6"/>
          <w:sz w:val="20"/>
        </w:rPr>
        <w:t> </w:t>
      </w:r>
      <w:r>
        <w:rPr>
          <w:rFonts w:ascii="Franklin Gothic Book" w:hAnsi="Franklin Gothic Book"/>
          <w:sz w:val="20"/>
        </w:rPr>
        <w:t>residuo</w:t>
      </w:r>
      <w:r>
        <w:rPr>
          <w:rFonts w:ascii="Franklin Gothic Book" w:hAnsi="Franklin Gothic Book"/>
          <w:spacing w:val="-8"/>
          <w:sz w:val="20"/>
        </w:rPr>
        <w:t> </w:t>
      </w:r>
      <w:r>
        <w:rPr>
          <w:rFonts w:ascii="Franklin Gothic Book" w:hAnsi="Franklin Gothic Book"/>
          <w:sz w:val="20"/>
        </w:rPr>
        <w:t>dipende</w:t>
      </w:r>
      <w:r>
        <w:rPr>
          <w:rFonts w:ascii="Franklin Gothic Book" w:hAnsi="Franklin Gothic Book"/>
          <w:spacing w:val="-7"/>
          <w:sz w:val="20"/>
        </w:rPr>
        <w:t> </w:t>
      </w:r>
      <w:r>
        <w:rPr>
          <w:rFonts w:ascii="Franklin Gothic Book" w:hAnsi="Franklin Gothic Book"/>
          <w:sz w:val="20"/>
        </w:rPr>
        <w:t>da</w:t>
      </w:r>
      <w:r>
        <w:rPr>
          <w:rFonts w:ascii="Franklin Gothic Book" w:hAnsi="Franklin Gothic Book"/>
          <w:spacing w:val="-8"/>
          <w:sz w:val="20"/>
        </w:rPr>
        <w:t> </w:t>
      </w:r>
      <w:r>
        <w:rPr>
          <w:rFonts w:ascii="Franklin Gothic Book" w:hAnsi="Franklin Gothic Book"/>
          <w:sz w:val="20"/>
        </w:rPr>
        <w:t>fattori</w:t>
      </w:r>
      <w:r>
        <w:rPr>
          <w:rFonts w:ascii="Franklin Gothic Book" w:hAnsi="Franklin Gothic Book"/>
          <w:spacing w:val="-8"/>
          <w:sz w:val="20"/>
        </w:rPr>
        <w:t> </w:t>
      </w:r>
      <w:r>
        <w:rPr>
          <w:rFonts w:ascii="Franklin Gothic Book" w:hAnsi="Franklin Gothic Book"/>
          <w:sz w:val="20"/>
        </w:rPr>
        <w:t>connessi</w:t>
      </w:r>
      <w:r>
        <w:rPr>
          <w:rFonts w:ascii="Franklin Gothic Book" w:hAnsi="Franklin Gothic Book"/>
          <w:spacing w:val="-9"/>
          <w:sz w:val="20"/>
        </w:rPr>
        <w:t> </w:t>
      </w:r>
      <w:r>
        <w:rPr>
          <w:rFonts w:ascii="Franklin Gothic Book" w:hAnsi="Franklin Gothic Book"/>
          <w:sz w:val="20"/>
        </w:rPr>
        <w:t>alle</w:t>
      </w:r>
      <w:r>
        <w:rPr>
          <w:rFonts w:ascii="Franklin Gothic Book" w:hAnsi="Franklin Gothic Book"/>
          <w:spacing w:val="-9"/>
          <w:sz w:val="20"/>
        </w:rPr>
        <w:t> </w:t>
      </w:r>
      <w:r>
        <w:rPr>
          <w:rFonts w:ascii="Franklin Gothic Book" w:hAnsi="Franklin Gothic Book"/>
          <w:sz w:val="20"/>
        </w:rPr>
        <w:t>aspettative. Nel complesso risulta una revisione verso il basso delle previsioni di crescita del PIL di 0,1 punti percentuali rispetto al DEF. La portata sulle singole componenti è differenziata. Tra le componenti</w:t>
      </w:r>
      <w:r>
        <w:rPr>
          <w:rFonts w:ascii="Franklin Gothic Book" w:hAnsi="Franklin Gothic Book"/>
          <w:spacing w:val="-15"/>
          <w:sz w:val="20"/>
        </w:rPr>
        <w:t> </w:t>
      </w:r>
      <w:r>
        <w:rPr>
          <w:rFonts w:ascii="Franklin Gothic Book" w:hAnsi="Franklin Gothic Book"/>
          <w:sz w:val="20"/>
        </w:rPr>
        <w:t>della</w:t>
      </w:r>
      <w:r>
        <w:rPr>
          <w:rFonts w:ascii="Franklin Gothic Book" w:hAnsi="Franklin Gothic Book"/>
          <w:spacing w:val="-15"/>
          <w:sz w:val="20"/>
        </w:rPr>
        <w:t> </w:t>
      </w:r>
      <w:r>
        <w:rPr>
          <w:rFonts w:ascii="Franklin Gothic Book" w:hAnsi="Franklin Gothic Book"/>
          <w:sz w:val="20"/>
        </w:rPr>
        <w:t>domanda</w:t>
      </w:r>
      <w:r>
        <w:rPr>
          <w:rFonts w:ascii="Franklin Gothic Book" w:hAnsi="Franklin Gothic Book"/>
          <w:spacing w:val="-15"/>
          <w:sz w:val="20"/>
        </w:rPr>
        <w:t> </w:t>
      </w:r>
      <w:r>
        <w:rPr>
          <w:rFonts w:ascii="Franklin Gothic Book" w:hAnsi="Franklin Gothic Book"/>
          <w:sz w:val="20"/>
        </w:rPr>
        <w:t>interna,</w:t>
      </w:r>
      <w:r>
        <w:rPr>
          <w:rFonts w:ascii="Franklin Gothic Book" w:hAnsi="Franklin Gothic Book"/>
          <w:spacing w:val="-14"/>
          <w:sz w:val="20"/>
        </w:rPr>
        <w:t> </w:t>
      </w:r>
      <w:r>
        <w:rPr>
          <w:rFonts w:ascii="Franklin Gothic Book" w:hAnsi="Franklin Gothic Book"/>
          <w:sz w:val="20"/>
        </w:rPr>
        <w:t>nella</w:t>
      </w:r>
      <w:r>
        <w:rPr>
          <w:rFonts w:ascii="Franklin Gothic Book" w:hAnsi="Franklin Gothic Book"/>
          <w:spacing w:val="-14"/>
          <w:sz w:val="20"/>
        </w:rPr>
        <w:t> </w:t>
      </w:r>
      <w:r>
        <w:rPr>
          <w:rFonts w:ascii="Franklin Gothic Book" w:hAnsi="Franklin Gothic Book"/>
          <w:sz w:val="20"/>
        </w:rPr>
        <w:t>prima</w:t>
      </w:r>
      <w:r>
        <w:rPr>
          <w:rFonts w:ascii="Franklin Gothic Book" w:hAnsi="Franklin Gothic Book"/>
          <w:spacing w:val="-15"/>
          <w:sz w:val="20"/>
        </w:rPr>
        <w:t> </w:t>
      </w:r>
      <w:r>
        <w:rPr>
          <w:rFonts w:ascii="Franklin Gothic Book" w:hAnsi="Franklin Gothic Book"/>
          <w:sz w:val="20"/>
        </w:rPr>
        <w:t>metà</w:t>
      </w:r>
      <w:r>
        <w:rPr>
          <w:rFonts w:ascii="Franklin Gothic Book" w:hAnsi="Franklin Gothic Book"/>
          <w:spacing w:val="-15"/>
          <w:sz w:val="20"/>
        </w:rPr>
        <w:t> </w:t>
      </w:r>
      <w:r>
        <w:rPr>
          <w:rFonts w:ascii="Franklin Gothic Book" w:hAnsi="Franklin Gothic Book"/>
          <w:sz w:val="20"/>
        </w:rPr>
        <w:t>del</w:t>
      </w:r>
      <w:r>
        <w:rPr>
          <w:rFonts w:ascii="Franklin Gothic Book" w:hAnsi="Franklin Gothic Book"/>
          <w:spacing w:val="-13"/>
          <w:sz w:val="20"/>
        </w:rPr>
        <w:t> </w:t>
      </w:r>
      <w:r>
        <w:rPr>
          <w:rFonts w:ascii="Franklin Gothic Book" w:hAnsi="Franklin Gothic Book"/>
          <w:sz w:val="20"/>
        </w:rPr>
        <w:t>2019</w:t>
      </w:r>
      <w:r>
        <w:rPr>
          <w:rFonts w:ascii="Franklin Gothic Book" w:hAnsi="Franklin Gothic Book"/>
          <w:spacing w:val="-11"/>
          <w:sz w:val="20"/>
        </w:rPr>
        <w:t> </w:t>
      </w:r>
      <w:r>
        <w:rPr>
          <w:rFonts w:ascii="Franklin Gothic Book" w:hAnsi="Franklin Gothic Book"/>
          <w:sz w:val="20"/>
        </w:rPr>
        <w:t>gli</w:t>
      </w:r>
      <w:r>
        <w:rPr>
          <w:rFonts w:ascii="Franklin Gothic Book" w:hAnsi="Franklin Gothic Book"/>
          <w:spacing w:val="-14"/>
          <w:sz w:val="20"/>
        </w:rPr>
        <w:t> </w:t>
      </w:r>
      <w:r>
        <w:rPr>
          <w:rFonts w:ascii="Franklin Gothic Book" w:hAnsi="Franklin Gothic Book"/>
          <w:sz w:val="20"/>
        </w:rPr>
        <w:t>investimenti</w:t>
      </w:r>
      <w:r>
        <w:rPr>
          <w:rFonts w:ascii="Franklin Gothic Book" w:hAnsi="Franklin Gothic Book"/>
          <w:spacing w:val="-14"/>
          <w:sz w:val="20"/>
        </w:rPr>
        <w:t> </w:t>
      </w:r>
      <w:r>
        <w:rPr>
          <w:rFonts w:ascii="Franklin Gothic Book" w:hAnsi="Franklin Gothic Book"/>
          <w:sz w:val="20"/>
        </w:rPr>
        <w:t>sono</w:t>
      </w:r>
      <w:r>
        <w:rPr>
          <w:rFonts w:ascii="Franklin Gothic Book" w:hAnsi="Franklin Gothic Book"/>
          <w:spacing w:val="-16"/>
          <w:sz w:val="20"/>
        </w:rPr>
        <w:t> </w:t>
      </w:r>
      <w:r>
        <w:rPr>
          <w:rFonts w:ascii="Franklin Gothic Book" w:hAnsi="Franklin Gothic Book"/>
          <w:sz w:val="20"/>
        </w:rPr>
        <w:t>cresciuti più di quanto atteso, mentre i consumi sono cresciuti meno del</w:t>
      </w:r>
      <w:r>
        <w:rPr>
          <w:rFonts w:ascii="Franklin Gothic Book" w:hAnsi="Franklin Gothic Book"/>
          <w:spacing w:val="-12"/>
          <w:sz w:val="20"/>
        </w:rPr>
        <w:t> </w:t>
      </w:r>
      <w:r>
        <w:rPr>
          <w:rFonts w:ascii="Franklin Gothic Book" w:hAnsi="Franklin Gothic Book"/>
          <w:sz w:val="20"/>
        </w:rPr>
        <w:t>previsto.</w:t>
      </w:r>
    </w:p>
    <w:p>
      <w:pPr>
        <w:spacing w:line="254" w:lineRule="auto" w:before="56"/>
        <w:ind w:left="782" w:right="2269" w:firstLine="0"/>
        <w:jc w:val="both"/>
        <w:rPr>
          <w:rFonts w:ascii="Franklin Gothic Book"/>
          <w:sz w:val="20"/>
        </w:rPr>
      </w:pPr>
      <w:r>
        <w:rPr>
          <w:rFonts w:ascii="Franklin Gothic Book"/>
          <w:sz w:val="20"/>
        </w:rPr>
        <w:t>La crescita del deflatore del PIL ha avuto un andamento altalenante con una accelerazione nel 1T del 2019 e una sensibile decelerazione nei mesi primaverili.</w:t>
      </w:r>
    </w:p>
    <w:p>
      <w:pPr>
        <w:spacing w:line="254" w:lineRule="auto" w:before="60"/>
        <w:ind w:left="782" w:right="2267" w:firstLine="0"/>
        <w:jc w:val="both"/>
        <w:rPr>
          <w:rFonts w:ascii="Franklin Gothic Book" w:hAnsi="Franklin Gothic Book"/>
          <w:sz w:val="20"/>
        </w:rPr>
      </w:pPr>
      <w:r>
        <w:rPr>
          <w:rFonts w:ascii="Franklin Gothic Book" w:hAnsi="Franklin Gothic Book"/>
          <w:sz w:val="20"/>
        </w:rPr>
        <w:t>La revisione della previsione di crescita del PIL del 2019 è principalmente influenzata dalle prospettive al ribasso del quadro internazionale.</w:t>
      </w:r>
    </w:p>
    <w:p>
      <w:pPr>
        <w:spacing w:line="254" w:lineRule="auto" w:before="59"/>
        <w:ind w:left="782" w:right="2264" w:firstLine="0"/>
        <w:jc w:val="both"/>
        <w:rPr>
          <w:rFonts w:ascii="Franklin Gothic Book" w:hAnsi="Franklin Gothic Book"/>
          <w:sz w:val="20"/>
        </w:rPr>
      </w:pPr>
      <w:r>
        <w:rPr>
          <w:rFonts w:ascii="Franklin Gothic Book" w:hAnsi="Franklin Gothic Book"/>
          <w:sz w:val="20"/>
        </w:rPr>
        <w:t>Le colonne successive mostrano invece lo scostamento tra la previsione attuale e quella di aprile per il 2020. In questo caso il delta (colonna delta d) della previsione di crescita è pari a</w:t>
      </w:r>
      <w:r>
        <w:rPr>
          <w:rFonts w:ascii="Franklin Gothic Book" w:hAnsi="Franklin Gothic Book"/>
          <w:spacing w:val="-8"/>
          <w:sz w:val="20"/>
        </w:rPr>
        <w:t> </w:t>
      </w:r>
      <w:r>
        <w:rPr>
          <w:rFonts w:ascii="Franklin Gothic Book" w:hAnsi="Franklin Gothic Book"/>
          <w:sz w:val="20"/>
        </w:rPr>
        <w:t>-0,3</w:t>
      </w:r>
      <w:r>
        <w:rPr>
          <w:rFonts w:ascii="Franklin Gothic Book" w:hAnsi="Franklin Gothic Book"/>
          <w:spacing w:val="-6"/>
          <w:sz w:val="20"/>
        </w:rPr>
        <w:t> </w:t>
      </w:r>
      <w:r>
        <w:rPr>
          <w:rFonts w:ascii="Franklin Gothic Book" w:hAnsi="Franklin Gothic Book"/>
          <w:sz w:val="20"/>
        </w:rPr>
        <w:t>punti</w:t>
      </w:r>
      <w:r>
        <w:rPr>
          <w:rFonts w:ascii="Franklin Gothic Book" w:hAnsi="Franklin Gothic Book"/>
          <w:spacing w:val="-7"/>
          <w:sz w:val="20"/>
        </w:rPr>
        <w:t> </w:t>
      </w:r>
      <w:r>
        <w:rPr>
          <w:rFonts w:ascii="Franklin Gothic Book" w:hAnsi="Franklin Gothic Book"/>
          <w:sz w:val="20"/>
        </w:rPr>
        <w:t>percentuali</w:t>
      </w:r>
      <w:r>
        <w:rPr>
          <w:rFonts w:ascii="Franklin Gothic Book" w:hAnsi="Franklin Gothic Book"/>
          <w:spacing w:val="-5"/>
          <w:sz w:val="20"/>
        </w:rPr>
        <w:t> </w:t>
      </w:r>
      <w:r>
        <w:rPr>
          <w:rFonts w:ascii="Franklin Gothic Book" w:hAnsi="Franklin Gothic Book"/>
          <w:sz w:val="20"/>
        </w:rPr>
        <w:t>spiegato</w:t>
      </w:r>
      <w:r>
        <w:rPr>
          <w:rFonts w:ascii="Franklin Gothic Book" w:hAnsi="Franklin Gothic Book"/>
          <w:spacing w:val="-7"/>
          <w:sz w:val="20"/>
        </w:rPr>
        <w:t> </w:t>
      </w:r>
      <w:r>
        <w:rPr>
          <w:rFonts w:ascii="Franklin Gothic Book" w:hAnsi="Franklin Gothic Book"/>
          <w:sz w:val="20"/>
        </w:rPr>
        <w:t>interamente</w:t>
      </w:r>
      <w:r>
        <w:rPr>
          <w:rFonts w:ascii="Franklin Gothic Book" w:hAnsi="Franklin Gothic Book"/>
          <w:spacing w:val="-5"/>
          <w:sz w:val="20"/>
        </w:rPr>
        <w:t> </w:t>
      </w:r>
      <w:r>
        <w:rPr>
          <w:rFonts w:ascii="Franklin Gothic Book" w:hAnsi="Franklin Gothic Book"/>
          <w:sz w:val="20"/>
        </w:rPr>
        <w:t>dalla</w:t>
      </w:r>
      <w:r>
        <w:rPr>
          <w:rFonts w:ascii="Franklin Gothic Book" w:hAnsi="Franklin Gothic Book"/>
          <w:spacing w:val="-4"/>
          <w:sz w:val="20"/>
        </w:rPr>
        <w:t> </w:t>
      </w:r>
      <w:r>
        <w:rPr>
          <w:rFonts w:ascii="Franklin Gothic Book" w:hAnsi="Franklin Gothic Book"/>
          <w:sz w:val="20"/>
        </w:rPr>
        <w:t>revisione</w:t>
      </w:r>
      <w:r>
        <w:rPr>
          <w:rFonts w:ascii="Franklin Gothic Book" w:hAnsi="Franklin Gothic Book"/>
          <w:spacing w:val="-8"/>
          <w:sz w:val="20"/>
        </w:rPr>
        <w:t> </w:t>
      </w:r>
      <w:r>
        <w:rPr>
          <w:rFonts w:ascii="Franklin Gothic Book" w:hAnsi="Franklin Gothic Book"/>
          <w:sz w:val="20"/>
        </w:rPr>
        <w:t>al</w:t>
      </w:r>
      <w:r>
        <w:rPr>
          <w:rFonts w:ascii="Franklin Gothic Book" w:hAnsi="Franklin Gothic Book"/>
          <w:spacing w:val="-4"/>
          <w:sz w:val="20"/>
        </w:rPr>
        <w:t> </w:t>
      </w:r>
      <w:r>
        <w:rPr>
          <w:rFonts w:ascii="Franklin Gothic Book" w:hAnsi="Franklin Gothic Book"/>
          <w:sz w:val="20"/>
        </w:rPr>
        <w:t>ribasso</w:t>
      </w:r>
      <w:r>
        <w:rPr>
          <w:rFonts w:ascii="Franklin Gothic Book" w:hAnsi="Franklin Gothic Book"/>
          <w:spacing w:val="-7"/>
          <w:sz w:val="20"/>
        </w:rPr>
        <w:t> </w:t>
      </w:r>
      <w:r>
        <w:rPr>
          <w:rFonts w:ascii="Franklin Gothic Book" w:hAnsi="Franklin Gothic Book"/>
          <w:sz w:val="20"/>
        </w:rPr>
        <w:t>del</w:t>
      </w:r>
      <w:r>
        <w:rPr>
          <w:rFonts w:ascii="Franklin Gothic Book" w:hAnsi="Franklin Gothic Book"/>
          <w:spacing w:val="-5"/>
          <w:sz w:val="20"/>
        </w:rPr>
        <w:t> </w:t>
      </w:r>
      <w:r>
        <w:rPr>
          <w:rFonts w:ascii="Franklin Gothic Book" w:hAnsi="Franklin Gothic Book"/>
          <w:sz w:val="20"/>
        </w:rPr>
        <w:t>profilo</w:t>
      </w:r>
      <w:r>
        <w:rPr>
          <w:rFonts w:ascii="Franklin Gothic Book" w:hAnsi="Franklin Gothic Book"/>
          <w:spacing w:val="-7"/>
          <w:sz w:val="20"/>
        </w:rPr>
        <w:t> </w:t>
      </w:r>
      <w:r>
        <w:rPr>
          <w:rFonts w:ascii="Franklin Gothic Book" w:hAnsi="Franklin Gothic Book"/>
          <w:sz w:val="20"/>
        </w:rPr>
        <w:t>di</w:t>
      </w:r>
      <w:r>
        <w:rPr>
          <w:rFonts w:ascii="Franklin Gothic Book" w:hAnsi="Franklin Gothic Book"/>
          <w:spacing w:val="-7"/>
          <w:sz w:val="20"/>
        </w:rPr>
        <w:t> </w:t>
      </w:r>
      <w:r>
        <w:rPr>
          <w:rFonts w:ascii="Franklin Gothic Book" w:hAnsi="Franklin Gothic Book"/>
          <w:sz w:val="20"/>
        </w:rPr>
        <w:t>crescita della seconda metà del 2019 sintetizzato nella colonna della revisione del trascinamento (delta</w:t>
      </w:r>
      <w:r>
        <w:rPr>
          <w:rFonts w:ascii="Franklin Gothic Book" w:hAnsi="Franklin Gothic Book"/>
          <w:spacing w:val="-1"/>
          <w:sz w:val="20"/>
        </w:rPr>
        <w:t> </w:t>
      </w:r>
      <w:r>
        <w:rPr>
          <w:rFonts w:ascii="Franklin Gothic Book" w:hAnsi="Franklin Gothic Book"/>
          <w:sz w:val="20"/>
        </w:rPr>
        <w:t>e).</w:t>
      </w:r>
    </w:p>
    <w:p>
      <w:pPr>
        <w:spacing w:before="58"/>
        <w:ind w:left="782" w:right="0" w:firstLine="0"/>
        <w:jc w:val="both"/>
        <w:rPr>
          <w:rFonts w:ascii="Franklin Gothic Book" w:hAnsi="Franklin Gothic Book"/>
          <w:sz w:val="20"/>
        </w:rPr>
      </w:pPr>
      <w:r>
        <w:rPr>
          <w:rFonts w:ascii="Franklin Gothic Book" w:hAnsi="Franklin Gothic Book"/>
          <w:sz w:val="20"/>
        </w:rPr>
        <w:t>Il quadro internazionale è cambiato significativamente rispetto al DEF di aprile.</w:t>
      </w:r>
    </w:p>
    <w:p>
      <w:pPr>
        <w:spacing w:line="254" w:lineRule="auto" w:before="73"/>
        <w:ind w:left="782" w:right="2270" w:firstLine="0"/>
        <w:jc w:val="both"/>
        <w:rPr>
          <w:rFonts w:ascii="Franklin Gothic Book" w:hAnsi="Franklin Gothic Book"/>
          <w:sz w:val="20"/>
        </w:rPr>
      </w:pPr>
      <w:r>
        <w:rPr>
          <w:rFonts w:ascii="Franklin Gothic Book" w:hAnsi="Franklin Gothic Book"/>
          <w:sz w:val="20"/>
        </w:rPr>
        <w:t>Il rallentamento del commercio mondiale è più marcato ed è causato dal persistere delle tensioni commerciali tra USA e Cina che continuano a generare incertezza a livello globale. Ne risentono le esportazioni italiane e le decisioni di investimento delle imprese. Sulla previsione di crescita delle esportazioni incide negativamente anche il tasso di cambio effettivo nominale: l’apprezzamento dell’euro nei confronti di sterlina e yuan più che compensa il deprezzamento dell’euro rispetto al dollaro.</w:t>
      </w:r>
    </w:p>
    <w:p>
      <w:pPr>
        <w:spacing w:line="254" w:lineRule="auto" w:before="58"/>
        <w:ind w:left="782" w:right="2264" w:firstLine="0"/>
        <w:jc w:val="both"/>
        <w:rPr>
          <w:rFonts w:ascii="Franklin Gothic Book" w:hAnsi="Franklin Gothic Book"/>
          <w:sz w:val="20"/>
        </w:rPr>
      </w:pPr>
      <w:r>
        <w:rPr>
          <w:rFonts w:ascii="Franklin Gothic Book" w:hAnsi="Franklin Gothic Book"/>
          <w:sz w:val="20"/>
        </w:rPr>
        <w:t>D’altra</w:t>
      </w:r>
      <w:r>
        <w:rPr>
          <w:rFonts w:ascii="Franklin Gothic Book" w:hAnsi="Franklin Gothic Book"/>
          <w:spacing w:val="-8"/>
          <w:sz w:val="20"/>
        </w:rPr>
        <w:t> </w:t>
      </w:r>
      <w:r>
        <w:rPr>
          <w:rFonts w:ascii="Franklin Gothic Book" w:hAnsi="Franklin Gothic Book"/>
          <w:sz w:val="20"/>
        </w:rPr>
        <w:t>parte,</w:t>
      </w:r>
      <w:r>
        <w:rPr>
          <w:rFonts w:ascii="Franklin Gothic Book" w:hAnsi="Franklin Gothic Book"/>
          <w:spacing w:val="-7"/>
          <w:sz w:val="20"/>
        </w:rPr>
        <w:t> </w:t>
      </w:r>
      <w:r>
        <w:rPr>
          <w:rFonts w:ascii="Franklin Gothic Book" w:hAnsi="Franklin Gothic Book"/>
          <w:sz w:val="20"/>
        </w:rPr>
        <w:t>in</w:t>
      </w:r>
      <w:r>
        <w:rPr>
          <w:rFonts w:ascii="Franklin Gothic Book" w:hAnsi="Franklin Gothic Book"/>
          <w:spacing w:val="-8"/>
          <w:sz w:val="20"/>
        </w:rPr>
        <w:t> </w:t>
      </w:r>
      <w:r>
        <w:rPr>
          <w:rFonts w:ascii="Franklin Gothic Book" w:hAnsi="Franklin Gothic Book"/>
          <w:sz w:val="20"/>
        </w:rPr>
        <w:t>senso</w:t>
      </w:r>
      <w:r>
        <w:rPr>
          <w:rFonts w:ascii="Franklin Gothic Book" w:hAnsi="Franklin Gothic Book"/>
          <w:spacing w:val="-7"/>
          <w:sz w:val="20"/>
        </w:rPr>
        <w:t> </w:t>
      </w:r>
      <w:r>
        <w:rPr>
          <w:rFonts w:ascii="Franklin Gothic Book" w:hAnsi="Franklin Gothic Book"/>
          <w:sz w:val="20"/>
        </w:rPr>
        <w:t>opposto</w:t>
      </w:r>
      <w:r>
        <w:rPr>
          <w:rFonts w:ascii="Franklin Gothic Book" w:hAnsi="Franklin Gothic Book"/>
          <w:spacing w:val="-7"/>
          <w:sz w:val="20"/>
        </w:rPr>
        <w:t> </w:t>
      </w:r>
      <w:r>
        <w:rPr>
          <w:rFonts w:ascii="Franklin Gothic Book" w:hAnsi="Franklin Gothic Book"/>
          <w:sz w:val="20"/>
        </w:rPr>
        <w:t>rispetto</w:t>
      </w:r>
      <w:r>
        <w:rPr>
          <w:rFonts w:ascii="Franklin Gothic Book" w:hAnsi="Franklin Gothic Book"/>
          <w:spacing w:val="-8"/>
          <w:sz w:val="20"/>
        </w:rPr>
        <w:t> </w:t>
      </w:r>
      <w:r>
        <w:rPr>
          <w:rFonts w:ascii="Franklin Gothic Book" w:hAnsi="Franklin Gothic Book"/>
          <w:sz w:val="20"/>
        </w:rPr>
        <w:t>al</w:t>
      </w:r>
      <w:r>
        <w:rPr>
          <w:rFonts w:ascii="Franklin Gothic Book" w:hAnsi="Franklin Gothic Book"/>
          <w:spacing w:val="-7"/>
          <w:sz w:val="20"/>
        </w:rPr>
        <w:t> </w:t>
      </w:r>
      <w:r>
        <w:rPr>
          <w:rFonts w:ascii="Franklin Gothic Book" w:hAnsi="Franklin Gothic Book"/>
          <w:sz w:val="20"/>
        </w:rPr>
        <w:t>DEF,</w:t>
      </w:r>
      <w:r>
        <w:rPr>
          <w:rFonts w:ascii="Franklin Gothic Book" w:hAnsi="Franklin Gothic Book"/>
          <w:spacing w:val="-7"/>
          <w:sz w:val="20"/>
        </w:rPr>
        <w:t> </w:t>
      </w:r>
      <w:r>
        <w:rPr>
          <w:rFonts w:ascii="Franklin Gothic Book" w:hAnsi="Franklin Gothic Book"/>
          <w:sz w:val="20"/>
        </w:rPr>
        <w:t>si</w:t>
      </w:r>
      <w:r>
        <w:rPr>
          <w:rFonts w:ascii="Franklin Gothic Book" w:hAnsi="Franklin Gothic Book"/>
          <w:spacing w:val="-8"/>
          <w:sz w:val="20"/>
        </w:rPr>
        <w:t> </w:t>
      </w:r>
      <w:r>
        <w:rPr>
          <w:rFonts w:ascii="Franklin Gothic Book" w:hAnsi="Franklin Gothic Book"/>
          <w:sz w:val="20"/>
        </w:rPr>
        <w:t>muovono</w:t>
      </w:r>
      <w:r>
        <w:rPr>
          <w:rFonts w:ascii="Franklin Gothic Book" w:hAnsi="Franklin Gothic Book"/>
          <w:spacing w:val="-7"/>
          <w:sz w:val="20"/>
        </w:rPr>
        <w:t> </w:t>
      </w:r>
      <w:r>
        <w:rPr>
          <w:rFonts w:ascii="Franklin Gothic Book" w:hAnsi="Franklin Gothic Book"/>
          <w:sz w:val="20"/>
        </w:rPr>
        <w:t>due</w:t>
      </w:r>
      <w:r>
        <w:rPr>
          <w:rFonts w:ascii="Franklin Gothic Book" w:hAnsi="Franklin Gothic Book"/>
          <w:spacing w:val="-8"/>
          <w:sz w:val="20"/>
        </w:rPr>
        <w:t> </w:t>
      </w:r>
      <w:r>
        <w:rPr>
          <w:rFonts w:ascii="Franklin Gothic Book" w:hAnsi="Franklin Gothic Book"/>
          <w:sz w:val="20"/>
        </w:rPr>
        <w:t>fattori:</w:t>
      </w:r>
      <w:r>
        <w:rPr>
          <w:rFonts w:ascii="Franklin Gothic Book" w:hAnsi="Franklin Gothic Book"/>
          <w:spacing w:val="-6"/>
          <w:sz w:val="20"/>
        </w:rPr>
        <w:t> </w:t>
      </w:r>
      <w:r>
        <w:rPr>
          <w:rFonts w:ascii="Franklin Gothic Book" w:hAnsi="Franklin Gothic Book"/>
          <w:sz w:val="20"/>
        </w:rPr>
        <w:t>il</w:t>
      </w:r>
      <w:r>
        <w:rPr>
          <w:rFonts w:ascii="Franklin Gothic Book" w:hAnsi="Franklin Gothic Book"/>
          <w:spacing w:val="-7"/>
          <w:sz w:val="20"/>
        </w:rPr>
        <w:t> </w:t>
      </w:r>
      <w:r>
        <w:rPr>
          <w:rFonts w:ascii="Franklin Gothic Book" w:hAnsi="Franklin Gothic Book"/>
          <w:sz w:val="20"/>
        </w:rPr>
        <w:t>primo</w:t>
      </w:r>
      <w:r>
        <w:rPr>
          <w:rFonts w:ascii="Franklin Gothic Book" w:hAnsi="Franklin Gothic Book"/>
          <w:spacing w:val="-8"/>
          <w:sz w:val="20"/>
        </w:rPr>
        <w:t> </w:t>
      </w:r>
      <w:r>
        <w:rPr>
          <w:rFonts w:ascii="Franklin Gothic Book" w:hAnsi="Franklin Gothic Book"/>
          <w:sz w:val="20"/>
        </w:rPr>
        <w:t>è</w:t>
      </w:r>
      <w:r>
        <w:rPr>
          <w:rFonts w:ascii="Franklin Gothic Book" w:hAnsi="Franklin Gothic Book"/>
          <w:spacing w:val="-7"/>
          <w:sz w:val="20"/>
        </w:rPr>
        <w:t> </w:t>
      </w:r>
      <w:r>
        <w:rPr>
          <w:rFonts w:ascii="Franklin Gothic Book" w:hAnsi="Franklin Gothic Book"/>
          <w:sz w:val="20"/>
        </w:rPr>
        <w:t>il</w:t>
      </w:r>
      <w:r>
        <w:rPr>
          <w:rFonts w:ascii="Franklin Gothic Book" w:hAnsi="Franklin Gothic Book"/>
          <w:spacing w:val="-8"/>
          <w:sz w:val="20"/>
        </w:rPr>
        <w:t> </w:t>
      </w:r>
      <w:r>
        <w:rPr>
          <w:rFonts w:ascii="Franklin Gothic Book" w:hAnsi="Franklin Gothic Book"/>
          <w:sz w:val="20"/>
        </w:rPr>
        <w:t>prezzo</w:t>
      </w:r>
      <w:r>
        <w:rPr>
          <w:rFonts w:ascii="Franklin Gothic Book" w:hAnsi="Franklin Gothic Book"/>
          <w:spacing w:val="-8"/>
          <w:sz w:val="20"/>
        </w:rPr>
        <w:t> </w:t>
      </w:r>
      <w:r>
        <w:rPr>
          <w:rFonts w:ascii="Franklin Gothic Book" w:hAnsi="Franklin Gothic Book"/>
          <w:sz w:val="20"/>
        </w:rPr>
        <w:t>del petrolio (sensibilmente più basso) e il secondo riguarda la significativa riduzione dei rendimenti</w:t>
      </w:r>
      <w:r>
        <w:rPr>
          <w:rFonts w:ascii="Franklin Gothic Book" w:hAnsi="Franklin Gothic Book"/>
          <w:spacing w:val="35"/>
          <w:sz w:val="20"/>
        </w:rPr>
        <w:t> </w:t>
      </w:r>
      <w:r>
        <w:rPr>
          <w:rFonts w:ascii="Franklin Gothic Book" w:hAnsi="Franklin Gothic Book"/>
          <w:sz w:val="20"/>
        </w:rPr>
        <w:t>dei</w:t>
      </w:r>
      <w:r>
        <w:rPr>
          <w:rFonts w:ascii="Franklin Gothic Book" w:hAnsi="Franklin Gothic Book"/>
          <w:spacing w:val="35"/>
          <w:sz w:val="20"/>
        </w:rPr>
        <w:t> </w:t>
      </w:r>
      <w:r>
        <w:rPr>
          <w:rFonts w:ascii="Franklin Gothic Book" w:hAnsi="Franklin Gothic Book"/>
          <w:sz w:val="20"/>
        </w:rPr>
        <w:t>titoli</w:t>
      </w:r>
      <w:r>
        <w:rPr>
          <w:rFonts w:ascii="Franklin Gothic Book" w:hAnsi="Franklin Gothic Book"/>
          <w:spacing w:val="34"/>
          <w:sz w:val="20"/>
        </w:rPr>
        <w:t> </w:t>
      </w:r>
      <w:r>
        <w:rPr>
          <w:rFonts w:ascii="Franklin Gothic Book" w:hAnsi="Franklin Gothic Book"/>
          <w:sz w:val="20"/>
        </w:rPr>
        <w:t>di</w:t>
      </w:r>
      <w:r>
        <w:rPr>
          <w:rFonts w:ascii="Franklin Gothic Book" w:hAnsi="Franklin Gothic Book"/>
          <w:spacing w:val="35"/>
          <w:sz w:val="20"/>
        </w:rPr>
        <w:t> </w:t>
      </w:r>
      <w:r>
        <w:rPr>
          <w:rFonts w:ascii="Franklin Gothic Book" w:hAnsi="Franklin Gothic Book"/>
          <w:sz w:val="20"/>
        </w:rPr>
        <w:t>Stato,</w:t>
      </w:r>
      <w:r>
        <w:rPr>
          <w:rFonts w:ascii="Franklin Gothic Book" w:hAnsi="Franklin Gothic Book"/>
          <w:spacing w:val="35"/>
          <w:sz w:val="20"/>
        </w:rPr>
        <w:t> </w:t>
      </w:r>
      <w:r>
        <w:rPr>
          <w:rFonts w:ascii="Franklin Gothic Book" w:hAnsi="Franklin Gothic Book"/>
          <w:sz w:val="20"/>
        </w:rPr>
        <w:t>accompagnata</w:t>
      </w:r>
      <w:r>
        <w:rPr>
          <w:rFonts w:ascii="Franklin Gothic Book" w:hAnsi="Franklin Gothic Book"/>
          <w:spacing w:val="35"/>
          <w:sz w:val="20"/>
        </w:rPr>
        <w:t> </w:t>
      </w:r>
      <w:r>
        <w:rPr>
          <w:rFonts w:ascii="Franklin Gothic Book" w:hAnsi="Franklin Gothic Book"/>
          <w:sz w:val="20"/>
        </w:rPr>
        <w:t>da</w:t>
      </w:r>
      <w:r>
        <w:rPr>
          <w:rFonts w:ascii="Franklin Gothic Book" w:hAnsi="Franklin Gothic Book"/>
          <w:spacing w:val="35"/>
          <w:sz w:val="20"/>
        </w:rPr>
        <w:t> </w:t>
      </w:r>
      <w:r>
        <w:rPr>
          <w:rFonts w:ascii="Franklin Gothic Book" w:hAnsi="Franklin Gothic Book"/>
          <w:sz w:val="20"/>
        </w:rPr>
        <w:t>un</w:t>
      </w:r>
      <w:r>
        <w:rPr>
          <w:rFonts w:ascii="Franklin Gothic Book" w:hAnsi="Franklin Gothic Book"/>
          <w:spacing w:val="35"/>
          <w:sz w:val="20"/>
        </w:rPr>
        <w:t> </w:t>
      </w:r>
      <w:r>
        <w:rPr>
          <w:rFonts w:ascii="Franklin Gothic Book" w:hAnsi="Franklin Gothic Book"/>
          <w:sz w:val="20"/>
        </w:rPr>
        <w:t>ridimensionamento</w:t>
      </w:r>
      <w:r>
        <w:rPr>
          <w:rFonts w:ascii="Franklin Gothic Book" w:hAnsi="Franklin Gothic Book"/>
          <w:spacing w:val="35"/>
          <w:sz w:val="20"/>
        </w:rPr>
        <w:t> </w:t>
      </w:r>
      <w:r>
        <w:rPr>
          <w:rFonts w:ascii="Franklin Gothic Book" w:hAnsi="Franklin Gothic Book"/>
          <w:sz w:val="20"/>
        </w:rPr>
        <w:t>dello</w:t>
      </w:r>
      <w:r>
        <w:rPr>
          <w:rFonts w:ascii="Franklin Gothic Book" w:hAnsi="Franklin Gothic Book"/>
          <w:spacing w:val="34"/>
          <w:sz w:val="20"/>
        </w:rPr>
        <w:t> </w:t>
      </w:r>
      <w:r>
        <w:rPr>
          <w:rFonts w:ascii="Franklin Gothic Book" w:hAnsi="Franklin Gothic Book"/>
          <w:sz w:val="20"/>
        </w:rPr>
        <w:t>spread</w:t>
      </w:r>
      <w:r>
        <w:rPr>
          <w:rFonts w:ascii="Franklin Gothic Book" w:hAnsi="Franklin Gothic Book"/>
          <w:spacing w:val="36"/>
          <w:sz w:val="20"/>
        </w:rPr>
        <w:t> </w:t>
      </w:r>
      <w:r>
        <w:rPr>
          <w:rFonts w:ascii="Franklin Gothic Book" w:hAnsi="Franklin Gothic Book"/>
          <w:sz w:val="20"/>
        </w:rPr>
        <w:t>nei</w:t>
      </w:r>
    </w:p>
    <w:p>
      <w:pPr>
        <w:pStyle w:val="BodyText"/>
        <w:rPr>
          <w:rFonts w:ascii="Franklin Gothic Book"/>
          <w:sz w:val="20"/>
        </w:rPr>
      </w:pPr>
    </w:p>
    <w:p>
      <w:pPr>
        <w:pStyle w:val="BodyText"/>
        <w:rPr>
          <w:rFonts w:ascii="Franklin Gothic Book"/>
          <w:sz w:val="20"/>
        </w:rPr>
      </w:pPr>
    </w:p>
    <w:p>
      <w:pPr>
        <w:pStyle w:val="BodyText"/>
        <w:spacing w:before="9"/>
        <w:rPr>
          <w:rFonts w:ascii="Franklin Gothic Book"/>
          <w:sz w:val="10"/>
        </w:rPr>
      </w:pPr>
      <w:r>
        <w:rPr/>
        <w:pict>
          <v:group style="position:absolute;margin-left:93.599998pt;margin-top:8.100390pt;width:21.4pt;height:2.15pt;mso-position-horizontal-relative:page;mso-position-vertical-relative:paragraph;z-index:-251540480;mso-wrap-distance-left:0;mso-wrap-distance-right:0" coordorigin="1872,162" coordsize="428,43">
            <v:line style="position:absolute" from="1872,183" to="2299,183" stroked="true" strokeweight="2.050pt" strokecolor="#aaaaaa">
              <v:stroke dashstyle="solid"/>
            </v:line>
            <v:rect style="position:absolute;left:1872;top:164;width:5;height:5" filled="true" fillcolor="#9f9f9f" stroked="false">
              <v:fill type="solid"/>
            </v:rect>
            <v:rect style="position:absolute;left:1872;top:164;width:5;height:5" filled="true" fillcolor="#9f9f9f" stroked="false">
              <v:fill type="solid"/>
            </v:rect>
            <v:line style="position:absolute" from="1877,167" to="2295,167" stroked="true" strokeweight=".23999pt" strokecolor="#9f9f9f">
              <v:stroke dashstyle="solid"/>
            </v:line>
            <v:rect style="position:absolute;left:2294;top:164;width:5;height:5" filled="true" fillcolor="#e2e2e2" stroked="false">
              <v:fill type="solid"/>
            </v:rect>
            <v:rect style="position:absolute;left:2294;top:164;width:5;height:5" filled="true" fillcolor="#9f9f9f" stroked="false">
              <v:fill type="solid"/>
            </v:rect>
            <v:rect style="position:absolute;left:1872;top:169;width:5;height:32" filled="true" fillcolor="#9f9f9f" stroked="false">
              <v:fill type="solid"/>
            </v:rect>
            <v:rect style="position:absolute;left:2294;top:169;width:5;height:32" filled="true" fillcolor="#e2e2e2" stroked="false">
              <v:fill type="solid"/>
            </v:rect>
            <v:rect style="position:absolute;left:1872;top:200;width:5;height:5" filled="true" fillcolor="#9f9f9f" stroked="false">
              <v:fill type="solid"/>
            </v:rect>
            <v:rect style="position:absolute;left:1872;top:200;width:5;height:5" filled="true" fillcolor="#e2e2e2" stroked="false">
              <v:fill type="solid"/>
            </v:rect>
            <v:line style="position:absolute" from="1877,203" to="2295,203" stroked="true" strokeweight=".23999pt" strokecolor="#e2e2e2">
              <v:stroke dashstyle="solid"/>
            </v:line>
            <v:rect style="position:absolute;left:2294;top:200;width:5;height:5" filled="true" fillcolor="#e2e2e2" stroked="false">
              <v:fill type="solid"/>
            </v:rect>
            <v:rect style="position:absolute;left:2294;top:200;width:5;height:5" filled="true" fillcolor="#e2e2e2" stroked="false">
              <v:fill type="solid"/>
            </v:rect>
            <w10:wrap type="topAndBottom"/>
          </v:group>
        </w:pict>
      </w:r>
    </w:p>
    <w:p>
      <w:pPr>
        <w:spacing w:before="18"/>
        <w:ind w:left="278" w:right="2263" w:firstLine="453"/>
        <w:jc w:val="both"/>
        <w:rPr>
          <w:sz w:val="16"/>
        </w:rPr>
      </w:pPr>
      <w:r>
        <w:rPr>
          <w:position w:val="6"/>
          <w:sz w:val="10"/>
        </w:rPr>
        <w:t>18 </w:t>
      </w:r>
      <w:r>
        <w:rPr>
          <w:sz w:val="16"/>
        </w:rPr>
        <w:t>In questo riquadro si fa riferimento ai dati dei conti economici trimestrali (corretti per i giorni lavorativi) rilasciati</w:t>
      </w:r>
      <w:r>
        <w:rPr>
          <w:spacing w:val="-6"/>
          <w:sz w:val="16"/>
        </w:rPr>
        <w:t> </w:t>
      </w:r>
      <w:r>
        <w:rPr>
          <w:sz w:val="16"/>
        </w:rPr>
        <w:t>dall’ISTAT</w:t>
      </w:r>
      <w:r>
        <w:rPr>
          <w:spacing w:val="-5"/>
          <w:sz w:val="16"/>
        </w:rPr>
        <w:t> </w:t>
      </w:r>
      <w:r>
        <w:rPr>
          <w:sz w:val="16"/>
        </w:rPr>
        <w:t>lo</w:t>
      </w:r>
      <w:r>
        <w:rPr>
          <w:spacing w:val="-5"/>
          <w:sz w:val="16"/>
        </w:rPr>
        <w:t> </w:t>
      </w:r>
      <w:r>
        <w:rPr>
          <w:sz w:val="16"/>
        </w:rPr>
        <w:t>scorso</w:t>
      </w:r>
      <w:r>
        <w:rPr>
          <w:spacing w:val="-5"/>
          <w:sz w:val="16"/>
        </w:rPr>
        <w:t> </w:t>
      </w:r>
      <w:r>
        <w:rPr>
          <w:sz w:val="16"/>
        </w:rPr>
        <w:t>30</w:t>
      </w:r>
      <w:r>
        <w:rPr>
          <w:spacing w:val="-5"/>
          <w:sz w:val="16"/>
        </w:rPr>
        <w:t> </w:t>
      </w:r>
      <w:r>
        <w:rPr>
          <w:sz w:val="16"/>
        </w:rPr>
        <w:t>agosto.</w:t>
      </w:r>
      <w:r>
        <w:rPr>
          <w:spacing w:val="-4"/>
          <w:sz w:val="16"/>
        </w:rPr>
        <w:t> </w:t>
      </w:r>
      <w:r>
        <w:rPr>
          <w:sz w:val="16"/>
        </w:rPr>
        <w:t>Le</w:t>
      </w:r>
      <w:r>
        <w:rPr>
          <w:spacing w:val="-5"/>
          <w:sz w:val="16"/>
        </w:rPr>
        <w:t> </w:t>
      </w:r>
      <w:r>
        <w:rPr>
          <w:sz w:val="16"/>
        </w:rPr>
        <w:t>serie</w:t>
      </w:r>
      <w:r>
        <w:rPr>
          <w:spacing w:val="-7"/>
          <w:sz w:val="16"/>
        </w:rPr>
        <w:t> </w:t>
      </w:r>
      <w:r>
        <w:rPr>
          <w:sz w:val="16"/>
        </w:rPr>
        <w:t>trimestrali</w:t>
      </w:r>
      <w:r>
        <w:rPr>
          <w:spacing w:val="-5"/>
          <w:sz w:val="16"/>
        </w:rPr>
        <w:t> </w:t>
      </w:r>
      <w:r>
        <w:rPr>
          <w:sz w:val="16"/>
        </w:rPr>
        <w:t>coerenti</w:t>
      </w:r>
      <w:r>
        <w:rPr>
          <w:spacing w:val="-5"/>
          <w:sz w:val="16"/>
        </w:rPr>
        <w:t> </w:t>
      </w:r>
      <w:r>
        <w:rPr>
          <w:sz w:val="16"/>
        </w:rPr>
        <w:t>con</w:t>
      </w:r>
      <w:r>
        <w:rPr>
          <w:spacing w:val="-5"/>
          <w:sz w:val="16"/>
        </w:rPr>
        <w:t> </w:t>
      </w:r>
      <w:r>
        <w:rPr>
          <w:sz w:val="16"/>
        </w:rPr>
        <w:t>i</w:t>
      </w:r>
      <w:r>
        <w:rPr>
          <w:spacing w:val="-5"/>
          <w:sz w:val="16"/>
        </w:rPr>
        <w:t> </w:t>
      </w:r>
      <w:r>
        <w:rPr>
          <w:sz w:val="16"/>
        </w:rPr>
        <w:t>dati</w:t>
      </w:r>
      <w:r>
        <w:rPr>
          <w:spacing w:val="-5"/>
          <w:sz w:val="16"/>
        </w:rPr>
        <w:t> </w:t>
      </w:r>
      <w:r>
        <w:rPr>
          <w:sz w:val="16"/>
        </w:rPr>
        <w:t>annuali</w:t>
      </w:r>
      <w:r>
        <w:rPr>
          <w:spacing w:val="-5"/>
          <w:sz w:val="16"/>
        </w:rPr>
        <w:t> </w:t>
      </w:r>
      <w:r>
        <w:rPr>
          <w:sz w:val="16"/>
        </w:rPr>
        <w:t>di</w:t>
      </w:r>
      <w:r>
        <w:rPr>
          <w:spacing w:val="-6"/>
          <w:sz w:val="16"/>
        </w:rPr>
        <w:t> </w:t>
      </w:r>
      <w:r>
        <w:rPr>
          <w:sz w:val="16"/>
        </w:rPr>
        <w:t>contabilità</w:t>
      </w:r>
      <w:r>
        <w:rPr>
          <w:spacing w:val="-7"/>
          <w:sz w:val="16"/>
        </w:rPr>
        <w:t> </w:t>
      </w:r>
      <w:r>
        <w:rPr>
          <w:sz w:val="16"/>
        </w:rPr>
        <w:t>nazionale</w:t>
      </w:r>
      <w:r>
        <w:rPr>
          <w:spacing w:val="-5"/>
          <w:sz w:val="16"/>
        </w:rPr>
        <w:t> </w:t>
      </w:r>
      <w:r>
        <w:rPr>
          <w:sz w:val="16"/>
        </w:rPr>
        <w:t>resi noti il 23 settembre saranno pubblicate il 4</w:t>
      </w:r>
      <w:r>
        <w:rPr>
          <w:spacing w:val="-1"/>
          <w:sz w:val="16"/>
        </w:rPr>
        <w:t> </w:t>
      </w:r>
      <w:r>
        <w:rPr>
          <w:sz w:val="16"/>
        </w:rPr>
        <w:t>ottobre.</w:t>
      </w:r>
    </w:p>
    <w:p>
      <w:pPr>
        <w:spacing w:after="0"/>
        <w:jc w:val="both"/>
        <w:rPr>
          <w:sz w:val="16"/>
        </w:rPr>
        <w:sectPr>
          <w:pgSz w:w="11910" w:h="16840"/>
          <w:pgMar w:header="838" w:footer="866" w:top="1100" w:bottom="1060" w:left="1140" w:right="0"/>
        </w:sectPr>
      </w:pPr>
    </w:p>
    <w:p>
      <w:pPr>
        <w:pStyle w:val="BodyText"/>
        <w:rPr>
          <w:sz w:val="20"/>
        </w:rPr>
      </w:pPr>
      <w:r>
        <w:rPr/>
        <w:pict>
          <v:group style="position:absolute;margin-left:137.899994pt;margin-top:535.75pt;width:386.6pt;height:12.85pt;mso-position-horizontal-relative:page;mso-position-vertical-relative:page;z-index:-266226688" coordorigin="2758,10715" coordsize="7732,257">
            <v:rect style="position:absolute;left:2772;top:10715;width:7718;height:226" filled="true" fillcolor="#efefef" stroked="false">
              <v:fill type="solid"/>
            </v:rect>
            <v:rect style="position:absolute;left:2758;top:10943;width:7732;height:29" filled="true" fillcolor="#086d44" stroked="false">
              <v:fill type="solid"/>
            </v:rect>
            <w10:wrap type="none"/>
          </v:group>
        </w:pict>
      </w:r>
      <w:r>
        <w:rPr/>
        <w:pict>
          <v:line style="position:absolute;mso-position-horizontal-relative:page;mso-position-vertical-relative:page;z-index:251782144" from="114.139999pt,561.915955pt" to="114.139999pt,744.935955pt" stroked="true" strokeweight="1.44pt" strokecolor="#086d44">
            <v:stroke dashstyle="solid"/>
            <w10:wrap type="none"/>
          </v:line>
        </w:pict>
      </w:r>
      <w:r>
        <w:rPr/>
        <w:pict>
          <v:shape style="position:absolute;margin-left:112.821953pt;margin-top:563.118103pt;width:15.65pt;height:39.550pt;mso-position-horizontal-relative:page;mso-position-vertical-relative:page;z-index:251783168" type="#_x0000_t202" filled="false" stroked="false">
            <v:textbox inset="0,0,0,0" style="layout-flow:vertical;mso-layout-flow-alt:bottom-to-top">
              <w:txbxContent>
                <w:p>
                  <w:pPr>
                    <w:spacing w:before="20"/>
                    <w:ind w:left="20" w:right="0" w:firstLine="0"/>
                    <w:jc w:val="left"/>
                    <w:rPr>
                      <w:rFonts w:ascii="Franklin Gothic Heavy"/>
                      <w:b/>
                      <w:sz w:val="24"/>
                    </w:rPr>
                  </w:pPr>
                  <w:r>
                    <w:rPr>
                      <w:rFonts w:ascii="Franklin Gothic Heavy"/>
                      <w:b/>
                      <w:color w:val="006247"/>
                      <w:sz w:val="24"/>
                    </w:rPr>
                    <w:t>FOCUS</w:t>
                  </w:r>
                </w:p>
              </w:txbxContent>
            </v:textbox>
            <w10:wrap type="none"/>
          </v:shape>
        </w:pict>
      </w:r>
    </w:p>
    <w:p>
      <w:pPr>
        <w:pStyle w:val="BodyText"/>
        <w:rPr>
          <w:sz w:val="20"/>
        </w:rPr>
      </w:pPr>
    </w:p>
    <w:p>
      <w:pPr>
        <w:pStyle w:val="BodyText"/>
        <w:rPr>
          <w:sz w:val="27"/>
        </w:rPr>
      </w:pPr>
    </w:p>
    <w:p>
      <w:pPr>
        <w:spacing w:line="254" w:lineRule="auto" w:before="100"/>
        <w:ind w:left="1632" w:right="1261" w:firstLine="0"/>
        <w:jc w:val="left"/>
        <w:rPr>
          <w:rFonts w:ascii="Franklin Gothic Book"/>
          <w:sz w:val="20"/>
        </w:rPr>
      </w:pPr>
      <w:r>
        <w:rPr/>
        <w:pict>
          <v:group style="position:absolute;margin-left:113.419998pt;margin-top:4.565037pt;width:411.1pt;height:449.35pt;mso-position-horizontal-relative:page;mso-position-vertical-relative:paragraph;z-index:-266227712" coordorigin="2268,91" coordsize="8222,8987">
            <v:rect style="position:absolute;left:2297;top:91;width:22;height:8987" filled="true" fillcolor="#efefef" stroked="false">
              <v:fill type="solid"/>
            </v:rect>
            <v:shape style="position:absolute;left:2318;top:91;width:8171;height:8987" coordorigin="2319,91" coordsize="8171,8987" path="m10490,7047l2319,7047,2319,9078,10490,9078,10490,7047m10490,91l2319,91,2319,331,2319,571,2319,871,2319,1155,2319,2026,2319,2026,2319,2376,2319,2556,2319,3927,10490,3927,10490,871,10490,571,10490,331,10490,91e" filled="true" fillcolor="#efefef" stroked="false">
              <v:path arrowok="t"/>
              <v:fill type="solid"/>
            </v:shape>
            <v:shape style="position:absolute;left:4613;top:2385;width:2;height:1530" coordorigin="4614,2386" coordsize="0,1530" path="m4614,3915l4614,2386,4614,3915xe" filled="true" fillcolor="#efefef" stroked="false">
              <v:path arrowok="t"/>
              <v:fill type="solid"/>
            </v:shape>
            <v:shape style="position:absolute;left:2789;top:2385;width:2;height:1530" coordorigin="2789,2386" coordsize="0,1530" path="m2789,3915l2789,2386,2789,3915xe" filled="true" fillcolor="#efefef" stroked="false">
              <v:path arrowok="t"/>
              <v:fill type="solid"/>
            </v:shape>
            <v:rect style="position:absolute;left:2801;top:2385;width:1799;height:171" filled="true" fillcolor="#efefef" stroked="false">
              <v:fill type="solid"/>
            </v:rect>
            <v:rect style="position:absolute;left:4657;top:2385;width:353;height:171" filled="true" fillcolor="#efefef" stroked="false">
              <v:fill type="solid"/>
            </v:rect>
            <v:shape style="position:absolute;left:5051;top:2385;width:2;height:1530" coordorigin="5052,2386" coordsize="0,1530" path="m5052,3915l5052,2386,5052,3915xe" filled="true" fillcolor="#efefef" stroked="false">
              <v:path arrowok="t"/>
              <v:fill type="solid"/>
            </v:shape>
            <v:shape style="position:absolute;left:5515;top:2385;width:2;height:1530" coordorigin="5515,2386" coordsize="0,1530" path="m5515,3915l5515,2386,5515,3915xe" filled="true" fillcolor="#efefef" stroked="false">
              <v:path arrowok="t"/>
              <v:fill type="solid"/>
            </v:shape>
            <v:rect style="position:absolute;left:5065;top:2385;width:440;height:171" filled="true" fillcolor="#efefef" stroked="false">
              <v:fill type="solid"/>
            </v:rect>
            <v:shape style="position:absolute;left:5546;top:2385;width:2;height:1530" coordorigin="5546,2386" coordsize="0,1530" path="m5546,3915l5546,2386,5546,3915xe" filled="true" fillcolor="#efefef" stroked="false">
              <v:path arrowok="t"/>
              <v:fill type="solid"/>
            </v:shape>
            <v:shape style="position:absolute;left:5908;top:2385;width:2;height:1530" coordorigin="5909,2386" coordsize="0,1530" path="m5909,3915l5909,2386,5909,3915xe" filled="true" fillcolor="#efefef" stroked="false">
              <v:path arrowok="t"/>
              <v:fill type="solid"/>
            </v:shape>
            <v:rect style="position:absolute;left:5559;top:2385;width:339;height:171" filled="true" fillcolor="#efefef" stroked="false">
              <v:fill type="solid"/>
            </v:rect>
            <v:shape style="position:absolute;left:5941;top:2385;width:2;height:1530" coordorigin="5941,2386" coordsize="0,1530" path="m5941,3915l5941,2386,5941,3915xe" filled="true" fillcolor="#efefef" stroked="false">
              <v:path arrowok="t"/>
              <v:fill type="solid"/>
            </v:shape>
            <v:shape style="position:absolute;left:6931;top:2385;width:2;height:1191" coordorigin="6931,2386" coordsize="0,1191" path="m6931,3576l6931,2386,6931,3576xe" filled="true" fillcolor="#efefef" stroked="false">
              <v:path arrowok="t"/>
              <v:fill type="solid"/>
            </v:shape>
            <v:rect style="position:absolute;left:5953;top:2385;width:968;height:171" filled="true" fillcolor="#efefef" stroked="false">
              <v:fill type="solid"/>
            </v:rect>
            <v:shape style="position:absolute;left:6965;top:2385;width:2;height:1530" coordorigin="6965,2386" coordsize="0,1530" path="m6965,3915l6965,2386,6965,3915xe" filled="true" fillcolor="#efefef" stroked="false">
              <v:path arrowok="t"/>
              <v:fill type="solid"/>
            </v:shape>
            <v:shape style="position:absolute;left:7532;top:2385;width:2;height:1530" coordorigin="7533,2386" coordsize="0,1530" path="m7533,3915l7533,2386,7533,3915xe" filled="true" fillcolor="#efefef" stroked="false">
              <v:path arrowok="t"/>
              <v:fill type="solid"/>
            </v:shape>
            <v:rect style="position:absolute;left:6975;top:2385;width:545;height:171" filled="true" fillcolor="#efefef" stroked="false">
              <v:fill type="solid"/>
            </v:rect>
            <v:rect style="position:absolute;left:7578;top:2385;width:353;height:171" filled="true" fillcolor="#efefef" stroked="false">
              <v:fill type="solid"/>
            </v:rect>
            <v:shape style="position:absolute;left:7973;top:2385;width:2;height:1530" coordorigin="7973,2386" coordsize="0,1530" path="m7973,3915l7973,2386,7973,3915xe" filled="true" fillcolor="#efefef" stroked="false">
              <v:path arrowok="t"/>
              <v:fill type="solid"/>
            </v:shape>
            <v:shape style="position:absolute;left:8437;top:2385;width:2;height:1530" coordorigin="8437,2386" coordsize="0,1530" path="m8437,3915l8437,2386,8437,3915xe" filled="true" fillcolor="#efefef" stroked="false">
              <v:path arrowok="t"/>
              <v:fill type="solid"/>
            </v:shape>
            <v:rect style="position:absolute;left:7986;top:2385;width:440;height:171" filled="true" fillcolor="#efefef" stroked="false">
              <v:fill type="solid"/>
            </v:rect>
            <v:shape style="position:absolute;left:8467;top:2385;width:2;height:1530" coordorigin="8467,2386" coordsize="0,1530" path="m8467,3915l8467,2386,8467,3915xe" filled="true" fillcolor="#efefef" stroked="false">
              <v:path arrowok="t"/>
              <v:fill type="solid"/>
            </v:shape>
            <v:shape style="position:absolute;left:8828;top:2385;width:2;height:1530" coordorigin="8829,2386" coordsize="0,1530" path="m8829,3915l8829,2386,8829,3915xe" filled="true" fillcolor="#efefef" stroked="false">
              <v:path arrowok="t"/>
              <v:fill type="solid"/>
            </v:shape>
            <v:rect style="position:absolute;left:8480;top:2385;width:336;height:171" filled="true" fillcolor="#efefef" stroked="false">
              <v:fill type="solid"/>
            </v:rect>
            <v:shape style="position:absolute;left:8862;top:2385;width:2;height:1530" coordorigin="8862,2386" coordsize="0,1530" path="m8862,3915l8862,2386,8862,3915xe" filled="true" fillcolor="#efefef" stroked="false">
              <v:path arrowok="t"/>
              <v:fill type="solid"/>
            </v:shape>
            <v:shape style="position:absolute;left:9810;top:2385;width:2;height:1530" coordorigin="9811,2386" coordsize="0,1530" path="m9811,3915l9811,2386,9811,3915xe" filled="true" fillcolor="#efefef" stroked="false">
              <v:path arrowok="t"/>
              <v:fill type="solid"/>
            </v:shape>
            <v:rect style="position:absolute;left:8874;top:2385;width:924;height:171" filled="true" fillcolor="#efefef" stroked="false">
              <v:fill type="solid"/>
            </v:rect>
            <v:shape style="position:absolute;left:9844;top:2385;width:2;height:1530" coordorigin="9844,2386" coordsize="0,1530" path="m9844,3915l9844,2386,9844,3915xe" filled="true" fillcolor="#efefef" stroked="false">
              <v:path arrowok="t"/>
              <v:fill type="solid"/>
            </v:shape>
            <v:shape style="position:absolute;left:10412;top:2385;width:2;height:1530" coordorigin="10412,2386" coordsize="0,1530" path="m10412,3915l10412,2386,10412,3915xe" filled="true" fillcolor="#efefef" stroked="false">
              <v:path arrowok="t"/>
              <v:fill type="solid"/>
            </v:shape>
            <v:shape style="position:absolute;left:2318;top:2385;width:8083;height:1361" coordorigin="2319,2386" coordsize="8083,1361" path="m2768,3406l2319,3406,2319,3576,2319,3747,2768,3747,2768,3576,2768,3406m2768,2556l2319,2556,2319,2724,2319,2895,2319,3065,2319,3235,2319,3406,2768,3406,2768,3235,2768,3065,2768,2895,2768,2724,2768,2556m4599,3406l2801,3406,2801,3576,2801,3747,4599,3747,4599,3576,4599,3406m4599,2556l2801,2556,2801,2724,2801,2895,2801,3065,2801,3235,2801,3406,4599,3406,4599,3235,4599,3065,4599,2895,4599,2724,4599,2556m5010,3406l4657,3406,4657,3576,4657,3747,5010,3747,5010,3576,5010,3406m5010,2556l4657,2556,4657,2724,4657,2895,4657,3065,4657,3235,4657,3406,5010,3406,5010,3235,5010,3065,5010,2895,5010,2724,5010,2556m5504,3406l5065,3406,5065,3576,5065,3747,5504,3747,5504,3576,5504,3406m5504,2556l5065,2556,5065,2724,5065,2895,5065,3065,5065,3235,5065,3406,5504,3406,5504,3235,5504,3065,5504,2895,5504,2724,5504,2556m5898,3406l5559,3406,5559,3576,5559,3747,5898,3747,5898,3576,5898,3406m5898,2556l5559,2556,5559,2724,5559,2895,5559,3065,5559,3235,5559,3406,5898,3406,5898,3235,5898,3065,5898,2895,5898,2724,5898,2556m6921,3406l5953,3406,5953,3576,6921,3576,6921,3406m6921,2556l5953,2556,5953,2724,5953,2895,5953,3065,5953,3235,5953,3406,6921,3406,6921,3235,6921,3065,6921,2895,6921,2724,6921,2556m7521,3406l6976,3406,6976,3576,7521,3576,7521,3406m7521,2556l6976,2556,6976,2724,6976,2895,6976,3065,6976,3235,6976,3406,7521,3406,7521,3235,7521,3065,7521,2895,7521,2724,7521,2556m7931,3406l7578,3406,7578,3576,7931,3576,7931,3406m7931,2556l7578,2556,7578,2724,7578,2895,7578,3065,7578,3235,7578,3406,7931,3406,7931,3235,7931,3065,7931,2895,7931,2724,7931,2556m8425,3406l7986,3406,7986,3576,8425,3576,8425,3406m8425,2556l7986,2556,7986,2724,7986,2895,7986,3065,7986,3235,7986,3406,8425,3406,8425,3235,8425,3065,8425,2895,8425,2724,8425,2556m8817,3406l8481,3406,8481,3576,8817,3576,8817,3406m8817,2556l8481,2556,8481,2724,8481,2895,8481,3065,8481,3235,8481,3406,8817,3406,8817,3235,8817,3065,8817,2895,8817,2724,8817,2556m9799,3406l8875,3406,8875,3576,9799,3576,9799,3406m9799,2556l8875,2556,8875,2724,8875,2895,8875,3065,8875,3235,8875,3406,9799,3406,9799,3235,9799,3065,9799,2895,9799,2724,9799,2556m10401,3406l9856,3406,9856,3576,10401,3576,10401,3406m10401,2386l9856,2386,9856,2556,9856,2724,9856,2895,9856,3065,9856,3235,9856,3406,10401,3406,10401,3235,10401,3065,10401,2895,10401,2724,10401,2556,10401,2386e" filled="true" fillcolor="#efefef" stroked="false">
              <v:path arrowok="t"/>
              <v:fill type="solid"/>
            </v:shape>
            <v:shape style="position:absolute;left:6935;top:3576;width:2;height:339" coordorigin="6935,3576" coordsize="0,339" path="m6935,3915l6935,3576,6935,3915xe" filled="true" fillcolor="#efefef" stroked="false">
              <v:path arrowok="t"/>
              <v:fill type="solid"/>
            </v:shape>
            <v:shape style="position:absolute;left:2318;top:3576;width:8171;height:5502" coordorigin="2319,3576" coordsize="8171,5502" path="m4599,3747l2801,3747,2801,3915,4599,3915,4599,3747m5010,3747l4657,3747,4657,3915,5010,3915,5010,3747m5504,3747l5065,3747,5065,3915,5504,3915,5504,3747m5898,3747l5559,3747,5559,3915,5898,3915,5898,3747m6921,3747l5953,3747,5953,3915,6921,3915,6921,3747m6921,3576l5953,3576,5953,3747,6921,3747,6921,3576m7521,3747l6976,3747,6976,3915,7521,3915,7521,3747m7521,3576l6976,3576,6976,3747,7521,3747,7521,3576m7931,3747l7578,3747,7578,3915,7931,3915,7931,3747m7931,3576l7578,3576,7578,3747,7931,3747,7931,3576m8425,3747l7986,3747,7986,3915,8425,3915,8425,3747m8425,3576l7986,3576,7986,3747,8425,3747,8425,3576m8817,3747l8481,3747,8481,3915,8817,3915,8817,3747m8817,3576l8481,3576,8481,3747,8817,3747,8817,3576m9638,8588l8733,8588,7825,8588,6921,8588,2772,8588,2772,8584,2319,8584,2319,8814,2319,9078,2772,9078,2772,8814,6921,8814,7825,8814,8733,8814,9638,8814,9638,8588m9638,8130l8733,8130,7825,8130,6921,8130,2772,8130,2319,8130,2319,8356,2319,8584,2772,8584,6921,8584,7825,8584,8733,8584,9638,8584,9638,8356,9638,8130m9799,3747l8875,3747,8875,3915,9799,3915,9799,3747m9799,3576l8875,3576,8875,3747,9799,3747,9799,3576m10401,3747l9856,3747,9856,3915,10401,3915,10401,3747m10401,3576l9856,3576,9856,3747,10401,3747,10401,3576m10490,8588l9638,8588,9638,8814,10490,8814,10490,8588m10490,8130l9638,8130,9638,8356,9638,8584,10490,8584,10490,8356,10490,8130m10490,7674l9638,7674,9638,7902,9638,8130,10490,8130,10490,7902,10490,7674m10490,7489l10473,7489,9708,7489,9638,7489,9638,7669,9708,7669,10473,7669,10490,7669,10490,7489m10490,3927l2768,3927,2768,3747,2319,3747,2319,3927,2319,4227,2319,4527,2319,4767,2319,5007,2319,5247,2319,5547,2319,5787,2319,6027,2319,6267,2319,6507,2319,6747,2319,7047,2319,7489,2319,7489,2319,7669,2319,7902,2319,8130,2772,8130,6921,8130,7825,8130,8733,8130,9638,8130,9638,7902,9638,7674,8733,7674,7825,7674,6921,7674,2772,7674,2772,7669,6921,7669,6990,7669,7756,7669,7825,7669,7897,7669,8661,7669,8733,7669,8802,7669,9566,7669,9638,7669,9638,7489,9566,7489,8802,7489,8733,7489,8661,7489,7897,7489,7825,7489,7756,7489,6990,7489,6921,7489,2772,7489,2772,7047,10490,7047,10490,6747,10490,6507,10490,6267,10490,6027,10490,5787,10490,5547,10490,5247,10490,5007,10490,4767,10490,4527,10490,4227,10490,3927e" filled="true" fillcolor="#efefef" stroked="false">
              <v:path arrowok="t"/>
              <v:fill type="solid"/>
            </v:shape>
            <v:rect style="position:absolute;left:2268;top:91;width:29;height:8987" filled="true" fillcolor="#086d44" stroked="false">
              <v:fill type="solid"/>
            </v:rect>
            <w10:wrap type="none"/>
          </v:group>
        </w:pict>
      </w:r>
      <w:r>
        <w:rPr>
          <w:rFonts w:ascii="Franklin Gothic Book"/>
          <w:sz w:val="20"/>
        </w:rPr>
        <w:t>confronti</w:t>
      </w:r>
      <w:r>
        <w:rPr>
          <w:rFonts w:ascii="Franklin Gothic Book"/>
          <w:spacing w:val="-10"/>
          <w:sz w:val="20"/>
        </w:rPr>
        <w:t> </w:t>
      </w:r>
      <w:r>
        <w:rPr>
          <w:rFonts w:ascii="Franklin Gothic Book"/>
          <w:sz w:val="20"/>
        </w:rPr>
        <w:t>del</w:t>
      </w:r>
      <w:r>
        <w:rPr>
          <w:rFonts w:ascii="Franklin Gothic Book"/>
          <w:spacing w:val="-8"/>
          <w:sz w:val="20"/>
        </w:rPr>
        <w:t> </w:t>
      </w:r>
      <w:r>
        <w:rPr>
          <w:rFonts w:ascii="Franklin Gothic Book"/>
          <w:sz w:val="20"/>
        </w:rPr>
        <w:t>Bund,</w:t>
      </w:r>
      <w:r>
        <w:rPr>
          <w:rFonts w:ascii="Franklin Gothic Book"/>
          <w:spacing w:val="-10"/>
          <w:sz w:val="20"/>
        </w:rPr>
        <w:t> </w:t>
      </w:r>
      <w:r>
        <w:rPr>
          <w:rFonts w:ascii="Franklin Gothic Book"/>
          <w:sz w:val="20"/>
        </w:rPr>
        <w:t>che</w:t>
      </w:r>
      <w:r>
        <w:rPr>
          <w:rFonts w:ascii="Franklin Gothic Book"/>
          <w:spacing w:val="-9"/>
          <w:sz w:val="20"/>
        </w:rPr>
        <w:t> </w:t>
      </w:r>
      <w:r>
        <w:rPr>
          <w:rFonts w:ascii="Franklin Gothic Book"/>
          <w:sz w:val="20"/>
        </w:rPr>
        <w:t>incide</w:t>
      </w:r>
      <w:r>
        <w:rPr>
          <w:rFonts w:ascii="Franklin Gothic Book"/>
          <w:spacing w:val="-10"/>
          <w:sz w:val="20"/>
        </w:rPr>
        <w:t> </w:t>
      </w:r>
      <w:r>
        <w:rPr>
          <w:rFonts w:ascii="Franklin Gothic Book"/>
          <w:sz w:val="20"/>
        </w:rPr>
        <w:t>favorevolmente</w:t>
      </w:r>
      <w:r>
        <w:rPr>
          <w:rFonts w:ascii="Franklin Gothic Book"/>
          <w:spacing w:val="-10"/>
          <w:sz w:val="20"/>
        </w:rPr>
        <w:t> </w:t>
      </w:r>
      <w:r>
        <w:rPr>
          <w:rFonts w:ascii="Franklin Gothic Book"/>
          <w:sz w:val="20"/>
        </w:rPr>
        <w:t>sulla</w:t>
      </w:r>
      <w:r>
        <w:rPr>
          <w:rFonts w:ascii="Franklin Gothic Book"/>
          <w:spacing w:val="-10"/>
          <w:sz w:val="20"/>
        </w:rPr>
        <w:t> </w:t>
      </w:r>
      <w:r>
        <w:rPr>
          <w:rFonts w:ascii="Franklin Gothic Book"/>
          <w:sz w:val="20"/>
        </w:rPr>
        <w:t>domanda</w:t>
      </w:r>
      <w:r>
        <w:rPr>
          <w:rFonts w:ascii="Franklin Gothic Book"/>
          <w:spacing w:val="-9"/>
          <w:sz w:val="20"/>
        </w:rPr>
        <w:t> </w:t>
      </w:r>
      <w:r>
        <w:rPr>
          <w:rFonts w:ascii="Franklin Gothic Book"/>
          <w:sz w:val="20"/>
        </w:rPr>
        <w:t>interna</w:t>
      </w:r>
      <w:r>
        <w:rPr>
          <w:rFonts w:ascii="Franklin Gothic Book"/>
          <w:spacing w:val="-9"/>
          <w:sz w:val="20"/>
        </w:rPr>
        <w:t> </w:t>
      </w:r>
      <w:r>
        <w:rPr>
          <w:rFonts w:ascii="Franklin Gothic Book"/>
          <w:sz w:val="20"/>
        </w:rPr>
        <w:t>attraverso</w:t>
      </w:r>
      <w:r>
        <w:rPr>
          <w:rFonts w:ascii="Franklin Gothic Book"/>
          <w:spacing w:val="-8"/>
          <w:sz w:val="20"/>
        </w:rPr>
        <w:t> </w:t>
      </w:r>
      <w:r>
        <w:rPr>
          <w:rFonts w:ascii="Franklin Gothic Book"/>
          <w:sz w:val="20"/>
        </w:rPr>
        <w:t>il</w:t>
      </w:r>
      <w:r>
        <w:rPr>
          <w:rFonts w:ascii="Franklin Gothic Book"/>
          <w:spacing w:val="-10"/>
          <w:sz w:val="20"/>
        </w:rPr>
        <w:t> </w:t>
      </w:r>
      <w:r>
        <w:rPr>
          <w:rFonts w:ascii="Franklin Gothic Book"/>
          <w:sz w:val="20"/>
        </w:rPr>
        <w:t>canale</w:t>
      </w:r>
      <w:r>
        <w:rPr>
          <w:rFonts w:ascii="Franklin Gothic Book"/>
          <w:spacing w:val="-10"/>
          <w:sz w:val="20"/>
        </w:rPr>
        <w:t> </w:t>
      </w:r>
      <w:r>
        <w:rPr>
          <w:rFonts w:ascii="Franklin Gothic Book"/>
          <w:sz w:val="20"/>
        </w:rPr>
        <w:t>del credito e della ricchezza.</w:t>
      </w:r>
    </w:p>
    <w:p>
      <w:pPr>
        <w:pStyle w:val="BodyText"/>
        <w:spacing w:before="4"/>
        <w:rPr>
          <w:rFonts w:ascii="Franklin Gothic Book"/>
          <w:sz w:val="20"/>
        </w:rPr>
      </w:pPr>
    </w:p>
    <w:p>
      <w:pPr>
        <w:spacing w:before="100"/>
        <w:ind w:left="1632" w:right="0" w:firstLine="0"/>
        <w:jc w:val="both"/>
        <w:rPr>
          <w:rFonts w:ascii="Franklin Gothic Heavy"/>
          <w:b/>
          <w:sz w:val="16"/>
        </w:rPr>
      </w:pPr>
      <w:r>
        <w:rPr>
          <w:rFonts w:ascii="Franklin Gothic Heavy"/>
          <w:b/>
          <w:color w:val="EFEFEF"/>
          <w:w w:val="100"/>
          <w:sz w:val="17"/>
          <w:shd w:fill="006247" w:color="auto" w:val="clear"/>
        </w:rPr>
        <w:t> </w:t>
      </w:r>
      <w:r>
        <w:rPr>
          <w:rFonts w:ascii="Franklin Gothic Heavy"/>
          <w:b/>
          <w:color w:val="EFEFEF"/>
          <w:sz w:val="17"/>
          <w:shd w:fill="006247" w:color="auto" w:val="clear"/>
        </w:rPr>
        <w:t>TAVOLA R1: PRINCIPALI VARIABILI DEL QUADRO MACROECONOMICO (</w:t>
      </w:r>
      <w:r>
        <w:rPr>
          <w:rFonts w:ascii="Franklin Gothic Heavy"/>
          <w:b/>
          <w:color w:val="EFEFEF"/>
          <w:sz w:val="16"/>
          <w:shd w:fill="006247" w:color="auto" w:val="clear"/>
        </w:rPr>
        <w:t>dati destagionalizzati)          </w:t>
      </w:r>
    </w:p>
    <w:tbl>
      <w:tblPr>
        <w:tblW w:w="0" w:type="auto"/>
        <w:jc w:val="left"/>
        <w:tblInd w:w="1637" w:type="dxa"/>
        <w:tblBorders>
          <w:top w:val="single" w:sz="34" w:space="0" w:color="006247"/>
          <w:left w:val="single" w:sz="34" w:space="0" w:color="006247"/>
          <w:bottom w:val="single" w:sz="34" w:space="0" w:color="006247"/>
          <w:right w:val="single" w:sz="34" w:space="0" w:color="006247"/>
          <w:insideH w:val="single" w:sz="34" w:space="0" w:color="006247"/>
          <w:insideV w:val="single" w:sz="34" w:space="0" w:color="006247"/>
        </w:tblBorders>
        <w:tblLayout w:type="fixed"/>
        <w:tblCellMar>
          <w:top w:w="0" w:type="dxa"/>
          <w:left w:w="0" w:type="dxa"/>
          <w:bottom w:w="0" w:type="dxa"/>
          <w:right w:w="0" w:type="dxa"/>
        </w:tblCellMar>
        <w:tblLook w:val="01E0"/>
      </w:tblPr>
      <w:tblGrid>
        <w:gridCol w:w="1856"/>
        <w:gridCol w:w="411"/>
        <w:gridCol w:w="495"/>
        <w:gridCol w:w="394"/>
        <w:gridCol w:w="1023"/>
        <w:gridCol w:w="600"/>
        <w:gridCol w:w="410"/>
        <w:gridCol w:w="494"/>
        <w:gridCol w:w="391"/>
        <w:gridCol w:w="982"/>
        <w:gridCol w:w="602"/>
      </w:tblGrid>
      <w:tr>
        <w:trPr>
          <w:trHeight w:val="844" w:hRule="atLeast"/>
        </w:trPr>
        <w:tc>
          <w:tcPr>
            <w:tcW w:w="1856" w:type="dxa"/>
            <w:tcBorders>
              <w:left w:val="single" w:sz="4" w:space="0" w:color="000000"/>
              <w:bottom w:val="single" w:sz="4" w:space="0" w:color="000000"/>
              <w:right w:val="dotted" w:sz="4" w:space="0" w:color="000000"/>
            </w:tcBorders>
            <w:shd w:val="clear" w:color="auto" w:fill="EFEFEF"/>
          </w:tcPr>
          <w:p>
            <w:pPr>
              <w:pStyle w:val="TableParagraph"/>
              <w:jc w:val="left"/>
              <w:rPr>
                <w:rFonts w:ascii="Franklin Gothic Heavy"/>
                <w:b/>
                <w:sz w:val="16"/>
              </w:rPr>
            </w:pPr>
          </w:p>
          <w:p>
            <w:pPr>
              <w:pStyle w:val="TableParagraph"/>
              <w:spacing w:before="139"/>
              <w:ind w:left="28"/>
              <w:jc w:val="left"/>
              <w:rPr>
                <w:sz w:val="15"/>
              </w:rPr>
            </w:pPr>
            <w:r>
              <w:rPr>
                <w:w w:val="100"/>
                <w:sz w:val="15"/>
              </w:rPr>
              <w:t>.</w:t>
            </w:r>
          </w:p>
        </w:tc>
        <w:tc>
          <w:tcPr>
            <w:tcW w:w="1300" w:type="dxa"/>
            <w:gridSpan w:val="3"/>
            <w:tcBorders>
              <w:left w:val="dotted" w:sz="4" w:space="0" w:color="000000"/>
              <w:bottom w:val="single" w:sz="4" w:space="0" w:color="000000"/>
              <w:right w:val="single" w:sz="4" w:space="0" w:color="000000"/>
            </w:tcBorders>
            <w:shd w:val="clear" w:color="auto" w:fill="EFEFEF"/>
          </w:tcPr>
          <w:p>
            <w:pPr>
              <w:pStyle w:val="TableParagraph"/>
              <w:jc w:val="left"/>
              <w:rPr>
                <w:rFonts w:ascii="Franklin Gothic Heavy"/>
                <w:b/>
                <w:sz w:val="16"/>
              </w:rPr>
            </w:pPr>
          </w:p>
          <w:p>
            <w:pPr>
              <w:pStyle w:val="TableParagraph"/>
              <w:spacing w:before="139"/>
              <w:ind w:left="126"/>
              <w:jc w:val="left"/>
              <w:rPr>
                <w:sz w:val="15"/>
              </w:rPr>
            </w:pPr>
            <w:r>
              <w:rPr>
                <w:sz w:val="15"/>
              </w:rPr>
              <w:t>Previsione 2019</w:t>
            </w:r>
          </w:p>
        </w:tc>
        <w:tc>
          <w:tcPr>
            <w:tcW w:w="1023" w:type="dxa"/>
            <w:tcBorders>
              <w:left w:val="single" w:sz="4" w:space="0" w:color="000000"/>
              <w:bottom w:val="single" w:sz="4" w:space="0" w:color="000000"/>
              <w:right w:val="single" w:sz="4" w:space="0" w:color="000000"/>
            </w:tcBorders>
            <w:shd w:val="clear" w:color="auto" w:fill="EFEFEF"/>
          </w:tcPr>
          <w:p>
            <w:pPr>
              <w:pStyle w:val="TableParagraph"/>
              <w:spacing w:line="150" w:lineRule="exact"/>
              <w:ind w:left="319"/>
              <w:jc w:val="left"/>
              <w:rPr>
                <w:sz w:val="15"/>
              </w:rPr>
            </w:pPr>
            <w:r>
              <w:rPr>
                <w:sz w:val="15"/>
              </w:rPr>
              <w:t>di cui:</w:t>
            </w:r>
          </w:p>
          <w:p>
            <w:pPr>
              <w:pStyle w:val="TableParagraph"/>
              <w:ind w:left="113" w:right="111" w:firstLine="108"/>
              <w:jc w:val="left"/>
              <w:rPr>
                <w:sz w:val="15"/>
              </w:rPr>
            </w:pPr>
            <w:r>
              <w:rPr>
                <w:sz w:val="15"/>
              </w:rPr>
              <w:t>acquisito 1 sem</w:t>
            </w:r>
            <w:r>
              <w:rPr>
                <w:spacing w:val="6"/>
                <w:sz w:val="15"/>
              </w:rPr>
              <w:t> </w:t>
            </w:r>
            <w:r>
              <w:rPr>
                <w:spacing w:val="-6"/>
                <w:sz w:val="15"/>
              </w:rPr>
              <w:t>2019</w:t>
            </w:r>
          </w:p>
          <w:p>
            <w:pPr>
              <w:pStyle w:val="TableParagraph"/>
              <w:spacing w:line="170" w:lineRule="atLeast" w:before="1"/>
              <w:ind w:left="26" w:right="8" w:firstLine="292"/>
              <w:jc w:val="left"/>
              <w:rPr>
                <w:sz w:val="15"/>
              </w:rPr>
            </w:pPr>
            <w:r>
              <w:rPr>
                <w:sz w:val="15"/>
              </w:rPr>
              <w:t>(netto trascinamento)</w:t>
            </w:r>
          </w:p>
        </w:tc>
        <w:tc>
          <w:tcPr>
            <w:tcW w:w="600" w:type="dxa"/>
            <w:tcBorders>
              <w:left w:val="single" w:sz="4" w:space="0" w:color="000000"/>
              <w:bottom w:val="single" w:sz="4" w:space="0" w:color="000000"/>
              <w:right w:val="single" w:sz="4" w:space="0" w:color="000000"/>
            </w:tcBorders>
            <w:shd w:val="clear" w:color="auto" w:fill="EFEFEF"/>
          </w:tcPr>
          <w:p>
            <w:pPr>
              <w:pStyle w:val="TableParagraph"/>
              <w:spacing w:before="2"/>
              <w:jc w:val="left"/>
              <w:rPr>
                <w:rFonts w:ascii="Franklin Gothic Heavy"/>
                <w:b/>
                <w:sz w:val="13"/>
              </w:rPr>
            </w:pPr>
          </w:p>
          <w:p>
            <w:pPr>
              <w:pStyle w:val="TableParagraph"/>
              <w:ind w:left="26" w:right="19" w:hanging="3"/>
              <w:jc w:val="center"/>
              <w:rPr>
                <w:sz w:val="15"/>
              </w:rPr>
            </w:pPr>
            <w:r>
              <w:rPr>
                <w:sz w:val="15"/>
              </w:rPr>
              <w:t>di cui: Impatto Esogene</w:t>
            </w:r>
          </w:p>
        </w:tc>
        <w:tc>
          <w:tcPr>
            <w:tcW w:w="1295" w:type="dxa"/>
            <w:gridSpan w:val="3"/>
            <w:tcBorders>
              <w:left w:val="single" w:sz="4" w:space="0" w:color="000000"/>
              <w:bottom w:val="single" w:sz="4" w:space="0" w:color="000000"/>
              <w:right w:val="single" w:sz="4" w:space="0" w:color="000000"/>
            </w:tcBorders>
            <w:shd w:val="clear" w:color="auto" w:fill="EFEFEF"/>
          </w:tcPr>
          <w:p>
            <w:pPr>
              <w:pStyle w:val="TableParagraph"/>
              <w:jc w:val="left"/>
              <w:rPr>
                <w:rFonts w:ascii="Franklin Gothic Heavy"/>
                <w:b/>
                <w:sz w:val="16"/>
              </w:rPr>
            </w:pPr>
          </w:p>
          <w:p>
            <w:pPr>
              <w:pStyle w:val="TableParagraph"/>
              <w:spacing w:before="139"/>
              <w:ind w:left="125"/>
              <w:jc w:val="left"/>
              <w:rPr>
                <w:sz w:val="15"/>
              </w:rPr>
            </w:pPr>
            <w:r>
              <w:rPr>
                <w:sz w:val="15"/>
              </w:rPr>
              <w:t>Previsione 2020</w:t>
            </w:r>
          </w:p>
        </w:tc>
        <w:tc>
          <w:tcPr>
            <w:tcW w:w="982" w:type="dxa"/>
            <w:tcBorders>
              <w:left w:val="single" w:sz="4" w:space="0" w:color="000000"/>
              <w:bottom w:val="single" w:sz="4" w:space="0" w:color="000000"/>
              <w:right w:val="single" w:sz="4" w:space="0" w:color="000000"/>
            </w:tcBorders>
            <w:shd w:val="clear" w:color="auto" w:fill="EFEFEF"/>
          </w:tcPr>
          <w:p>
            <w:pPr>
              <w:pStyle w:val="TableParagraph"/>
              <w:spacing w:before="66"/>
              <w:ind w:left="33" w:right="21" w:hanging="3"/>
              <w:jc w:val="center"/>
              <w:rPr>
                <w:sz w:val="15"/>
              </w:rPr>
            </w:pPr>
            <w:r>
              <w:rPr>
                <w:sz w:val="15"/>
              </w:rPr>
              <w:t>di cui: Revisione trascinamento sul 2020</w:t>
            </w:r>
          </w:p>
        </w:tc>
        <w:tc>
          <w:tcPr>
            <w:tcW w:w="602" w:type="dxa"/>
            <w:tcBorders>
              <w:left w:val="single" w:sz="4" w:space="0" w:color="000000"/>
              <w:bottom w:val="single" w:sz="4" w:space="0" w:color="000000"/>
              <w:right w:val="single" w:sz="4" w:space="0" w:color="000000"/>
            </w:tcBorders>
            <w:shd w:val="clear" w:color="auto" w:fill="EFEFEF"/>
          </w:tcPr>
          <w:p>
            <w:pPr>
              <w:pStyle w:val="TableParagraph"/>
              <w:spacing w:before="2"/>
              <w:jc w:val="left"/>
              <w:rPr>
                <w:rFonts w:ascii="Franklin Gothic Heavy"/>
                <w:b/>
                <w:sz w:val="13"/>
              </w:rPr>
            </w:pPr>
          </w:p>
          <w:p>
            <w:pPr>
              <w:pStyle w:val="TableParagraph"/>
              <w:ind w:left="30" w:right="18" w:hanging="3"/>
              <w:jc w:val="center"/>
              <w:rPr>
                <w:sz w:val="15"/>
              </w:rPr>
            </w:pPr>
            <w:r>
              <w:rPr>
                <w:sz w:val="15"/>
              </w:rPr>
              <w:t>di cui: Impatto Esogene</w:t>
            </w:r>
          </w:p>
        </w:tc>
      </w:tr>
      <w:tr>
        <w:trPr>
          <w:trHeight w:val="340" w:hRule="atLeast"/>
        </w:trPr>
        <w:tc>
          <w:tcPr>
            <w:tcW w:w="1856" w:type="dxa"/>
            <w:tcBorders>
              <w:top w:val="single" w:sz="4" w:space="0" w:color="000000"/>
              <w:left w:val="single" w:sz="4" w:space="0" w:color="000000"/>
              <w:bottom w:val="single" w:sz="4" w:space="0" w:color="000000"/>
              <w:right w:val="dotted" w:sz="4" w:space="0" w:color="000000"/>
            </w:tcBorders>
            <w:shd w:val="clear" w:color="auto" w:fill="EFEFEF"/>
          </w:tcPr>
          <w:p>
            <w:pPr>
              <w:pStyle w:val="TableParagraph"/>
              <w:jc w:val="left"/>
              <w:rPr>
                <w:rFonts w:ascii="Times New Roman"/>
                <w:sz w:val="18"/>
              </w:rPr>
            </w:pPr>
          </w:p>
        </w:tc>
        <w:tc>
          <w:tcPr>
            <w:tcW w:w="411" w:type="dxa"/>
            <w:tcBorders>
              <w:top w:val="single" w:sz="4" w:space="0" w:color="000000"/>
              <w:left w:val="dotted" w:sz="4" w:space="0" w:color="000000"/>
              <w:bottom w:val="single" w:sz="4" w:space="0" w:color="000000"/>
              <w:right w:val="dotted" w:sz="4" w:space="0" w:color="000000"/>
            </w:tcBorders>
            <w:shd w:val="clear" w:color="auto" w:fill="EFEFEF"/>
          </w:tcPr>
          <w:p>
            <w:pPr>
              <w:pStyle w:val="TableParagraph"/>
              <w:spacing w:line="157" w:lineRule="exact"/>
              <w:ind w:left="76"/>
              <w:jc w:val="left"/>
              <w:rPr>
                <w:sz w:val="15"/>
              </w:rPr>
            </w:pPr>
            <w:r>
              <w:rPr>
                <w:sz w:val="15"/>
              </w:rPr>
              <w:t>DEF</w:t>
            </w:r>
          </w:p>
          <w:p>
            <w:pPr>
              <w:pStyle w:val="TableParagraph"/>
              <w:spacing w:line="163" w:lineRule="exact"/>
              <w:ind w:left="28"/>
              <w:jc w:val="left"/>
              <w:rPr>
                <w:sz w:val="15"/>
              </w:rPr>
            </w:pPr>
            <w:r>
              <w:rPr>
                <w:sz w:val="15"/>
              </w:rPr>
              <w:t>2019</w:t>
            </w:r>
          </w:p>
        </w:tc>
        <w:tc>
          <w:tcPr>
            <w:tcW w:w="495" w:type="dxa"/>
            <w:tcBorders>
              <w:top w:val="single" w:sz="4" w:space="0" w:color="000000"/>
              <w:left w:val="dotted" w:sz="4" w:space="0" w:color="000000"/>
              <w:bottom w:val="single" w:sz="4" w:space="0" w:color="000000"/>
              <w:right w:val="dotted" w:sz="4" w:space="0" w:color="000000"/>
            </w:tcBorders>
            <w:shd w:val="clear" w:color="auto" w:fill="EFEFEF"/>
          </w:tcPr>
          <w:p>
            <w:pPr>
              <w:pStyle w:val="TableParagraph"/>
              <w:spacing w:line="157" w:lineRule="exact"/>
              <w:ind w:left="25"/>
              <w:jc w:val="left"/>
              <w:rPr>
                <w:sz w:val="15"/>
              </w:rPr>
            </w:pPr>
            <w:r>
              <w:rPr>
                <w:sz w:val="15"/>
              </w:rPr>
              <w:t>NADEF</w:t>
            </w:r>
          </w:p>
          <w:p>
            <w:pPr>
              <w:pStyle w:val="TableParagraph"/>
              <w:spacing w:line="163" w:lineRule="exact"/>
              <w:ind w:left="66"/>
              <w:jc w:val="left"/>
              <w:rPr>
                <w:sz w:val="15"/>
              </w:rPr>
            </w:pPr>
            <w:r>
              <w:rPr>
                <w:sz w:val="15"/>
              </w:rPr>
              <w:t>2019</w:t>
            </w:r>
          </w:p>
        </w:tc>
        <w:tc>
          <w:tcPr>
            <w:tcW w:w="394" w:type="dxa"/>
            <w:tcBorders>
              <w:top w:val="single" w:sz="4" w:space="0" w:color="000000"/>
              <w:left w:val="dotted" w:sz="4" w:space="0" w:color="000000"/>
              <w:bottom w:val="single" w:sz="4" w:space="0" w:color="000000"/>
              <w:right w:val="single" w:sz="4" w:space="0" w:color="000000"/>
            </w:tcBorders>
            <w:shd w:val="clear" w:color="auto" w:fill="EFEFEF"/>
          </w:tcPr>
          <w:p>
            <w:pPr>
              <w:pStyle w:val="TableParagraph"/>
              <w:spacing w:line="157" w:lineRule="exact"/>
              <w:ind w:left="24"/>
              <w:jc w:val="left"/>
              <w:rPr>
                <w:sz w:val="15"/>
              </w:rPr>
            </w:pPr>
            <w:r>
              <w:rPr>
                <w:sz w:val="15"/>
              </w:rPr>
              <w:t>Delta</w:t>
            </w:r>
          </w:p>
          <w:p>
            <w:pPr>
              <w:pStyle w:val="TableParagraph"/>
              <w:spacing w:line="163" w:lineRule="exact"/>
              <w:ind w:left="108"/>
              <w:jc w:val="left"/>
              <w:rPr>
                <w:sz w:val="15"/>
              </w:rPr>
            </w:pPr>
            <w:r>
              <w:rPr>
                <w:sz w:val="15"/>
              </w:rPr>
              <w:t>(a)</w:t>
            </w:r>
          </w:p>
        </w:tc>
        <w:tc>
          <w:tcPr>
            <w:tcW w:w="1023" w:type="dxa"/>
            <w:tcBorders>
              <w:top w:val="single" w:sz="4" w:space="0" w:color="000000"/>
              <w:left w:val="single" w:sz="4" w:space="0" w:color="000000"/>
              <w:bottom w:val="single" w:sz="4" w:space="0" w:color="000000"/>
              <w:right w:val="single" w:sz="4" w:space="0" w:color="000000"/>
            </w:tcBorders>
            <w:shd w:val="clear" w:color="auto" w:fill="EFEFEF"/>
          </w:tcPr>
          <w:p>
            <w:pPr>
              <w:pStyle w:val="TableParagraph"/>
              <w:spacing w:line="157" w:lineRule="exact"/>
              <w:ind w:left="319" w:right="318"/>
              <w:jc w:val="center"/>
              <w:rPr>
                <w:sz w:val="15"/>
              </w:rPr>
            </w:pPr>
            <w:r>
              <w:rPr>
                <w:sz w:val="15"/>
              </w:rPr>
              <w:t>Delta</w:t>
            </w:r>
          </w:p>
          <w:p>
            <w:pPr>
              <w:pStyle w:val="TableParagraph"/>
              <w:spacing w:line="163" w:lineRule="exact"/>
              <w:ind w:left="319" w:right="317"/>
              <w:jc w:val="center"/>
              <w:rPr>
                <w:sz w:val="15"/>
              </w:rPr>
            </w:pPr>
            <w:r>
              <w:rPr>
                <w:sz w:val="15"/>
              </w:rPr>
              <w:t>(b)</w:t>
            </w:r>
          </w:p>
        </w:tc>
        <w:tc>
          <w:tcPr>
            <w:tcW w:w="600" w:type="dxa"/>
            <w:tcBorders>
              <w:top w:val="single" w:sz="4" w:space="0" w:color="000000"/>
              <w:left w:val="single" w:sz="4" w:space="0" w:color="000000"/>
              <w:bottom w:val="single" w:sz="4" w:space="0" w:color="000000"/>
              <w:right w:val="single" w:sz="4" w:space="0" w:color="000000"/>
            </w:tcBorders>
            <w:shd w:val="clear" w:color="auto" w:fill="EFEFEF"/>
          </w:tcPr>
          <w:p>
            <w:pPr>
              <w:pStyle w:val="TableParagraph"/>
              <w:spacing w:line="157" w:lineRule="exact"/>
              <w:ind w:left="107" w:right="106"/>
              <w:jc w:val="center"/>
              <w:rPr>
                <w:sz w:val="15"/>
              </w:rPr>
            </w:pPr>
            <w:r>
              <w:rPr>
                <w:sz w:val="15"/>
              </w:rPr>
              <w:t>Delta</w:t>
            </w:r>
          </w:p>
          <w:p>
            <w:pPr>
              <w:pStyle w:val="TableParagraph"/>
              <w:spacing w:line="163" w:lineRule="exact"/>
              <w:ind w:left="107" w:right="103"/>
              <w:jc w:val="center"/>
              <w:rPr>
                <w:sz w:val="15"/>
              </w:rPr>
            </w:pPr>
            <w:r>
              <w:rPr>
                <w:sz w:val="15"/>
              </w:rPr>
              <w:t>(c)</w:t>
            </w:r>
          </w:p>
        </w:tc>
        <w:tc>
          <w:tcPr>
            <w:tcW w:w="410" w:type="dxa"/>
            <w:tcBorders>
              <w:top w:val="single" w:sz="4" w:space="0" w:color="000000"/>
              <w:left w:val="single" w:sz="4" w:space="0" w:color="000000"/>
              <w:bottom w:val="single" w:sz="4" w:space="0" w:color="000000"/>
              <w:right w:val="dotted" w:sz="4" w:space="0" w:color="000000"/>
            </w:tcBorders>
            <w:shd w:val="clear" w:color="auto" w:fill="EFEFEF"/>
          </w:tcPr>
          <w:p>
            <w:pPr>
              <w:pStyle w:val="TableParagraph"/>
              <w:spacing w:line="157" w:lineRule="exact"/>
              <w:ind w:left="74"/>
              <w:jc w:val="left"/>
              <w:rPr>
                <w:sz w:val="15"/>
              </w:rPr>
            </w:pPr>
            <w:r>
              <w:rPr>
                <w:sz w:val="15"/>
              </w:rPr>
              <w:t>DEF</w:t>
            </w:r>
          </w:p>
          <w:p>
            <w:pPr>
              <w:pStyle w:val="TableParagraph"/>
              <w:spacing w:line="163" w:lineRule="exact"/>
              <w:ind w:left="26"/>
              <w:jc w:val="left"/>
              <w:rPr>
                <w:sz w:val="15"/>
              </w:rPr>
            </w:pPr>
            <w:r>
              <w:rPr>
                <w:sz w:val="15"/>
              </w:rPr>
              <w:t>2019</w:t>
            </w:r>
          </w:p>
        </w:tc>
        <w:tc>
          <w:tcPr>
            <w:tcW w:w="494" w:type="dxa"/>
            <w:tcBorders>
              <w:top w:val="single" w:sz="4" w:space="0" w:color="000000"/>
              <w:left w:val="dotted" w:sz="4" w:space="0" w:color="000000"/>
              <w:bottom w:val="single" w:sz="4" w:space="0" w:color="000000"/>
              <w:right w:val="dotted" w:sz="4" w:space="0" w:color="000000"/>
            </w:tcBorders>
            <w:shd w:val="clear" w:color="auto" w:fill="EFEFEF"/>
          </w:tcPr>
          <w:p>
            <w:pPr>
              <w:pStyle w:val="TableParagraph"/>
              <w:spacing w:line="157" w:lineRule="exact"/>
              <w:ind w:left="24"/>
              <w:jc w:val="left"/>
              <w:rPr>
                <w:sz w:val="15"/>
              </w:rPr>
            </w:pPr>
            <w:r>
              <w:rPr>
                <w:sz w:val="15"/>
              </w:rPr>
              <w:t>NADEF</w:t>
            </w:r>
          </w:p>
          <w:p>
            <w:pPr>
              <w:pStyle w:val="TableParagraph"/>
              <w:spacing w:line="163" w:lineRule="exact"/>
              <w:ind w:left="65"/>
              <w:jc w:val="left"/>
              <w:rPr>
                <w:sz w:val="15"/>
              </w:rPr>
            </w:pPr>
            <w:r>
              <w:rPr>
                <w:sz w:val="15"/>
              </w:rPr>
              <w:t>2019</w:t>
            </w:r>
          </w:p>
        </w:tc>
        <w:tc>
          <w:tcPr>
            <w:tcW w:w="391" w:type="dxa"/>
            <w:tcBorders>
              <w:top w:val="single" w:sz="4" w:space="0" w:color="000000"/>
              <w:left w:val="dotted" w:sz="4" w:space="0" w:color="000000"/>
              <w:bottom w:val="single" w:sz="4" w:space="0" w:color="000000"/>
              <w:right w:val="single" w:sz="4" w:space="0" w:color="000000"/>
            </w:tcBorders>
            <w:shd w:val="clear" w:color="auto" w:fill="EFEFEF"/>
          </w:tcPr>
          <w:p>
            <w:pPr>
              <w:pStyle w:val="TableParagraph"/>
              <w:spacing w:line="157" w:lineRule="exact"/>
              <w:ind w:left="25"/>
              <w:jc w:val="left"/>
              <w:rPr>
                <w:sz w:val="15"/>
              </w:rPr>
            </w:pPr>
            <w:r>
              <w:rPr>
                <w:sz w:val="15"/>
              </w:rPr>
              <w:t>Delta</w:t>
            </w:r>
          </w:p>
          <w:p>
            <w:pPr>
              <w:pStyle w:val="TableParagraph"/>
              <w:spacing w:line="163" w:lineRule="exact"/>
              <w:ind w:left="109"/>
              <w:jc w:val="left"/>
              <w:rPr>
                <w:sz w:val="15"/>
              </w:rPr>
            </w:pPr>
            <w:r>
              <w:rPr>
                <w:sz w:val="15"/>
              </w:rPr>
              <w:t>(d)</w:t>
            </w:r>
          </w:p>
        </w:tc>
        <w:tc>
          <w:tcPr>
            <w:tcW w:w="982" w:type="dxa"/>
            <w:tcBorders>
              <w:top w:val="single" w:sz="4" w:space="0" w:color="000000"/>
              <w:left w:val="single" w:sz="4" w:space="0" w:color="000000"/>
              <w:bottom w:val="single" w:sz="4" w:space="0" w:color="000000"/>
              <w:right w:val="single" w:sz="4" w:space="0" w:color="000000"/>
            </w:tcBorders>
            <w:shd w:val="clear" w:color="auto" w:fill="EFEFEF"/>
          </w:tcPr>
          <w:p>
            <w:pPr>
              <w:pStyle w:val="TableParagraph"/>
              <w:spacing w:line="157" w:lineRule="exact"/>
              <w:ind w:left="303" w:right="292"/>
              <w:jc w:val="center"/>
              <w:rPr>
                <w:sz w:val="15"/>
              </w:rPr>
            </w:pPr>
            <w:r>
              <w:rPr>
                <w:sz w:val="15"/>
              </w:rPr>
              <w:t>Delta</w:t>
            </w:r>
          </w:p>
          <w:p>
            <w:pPr>
              <w:pStyle w:val="TableParagraph"/>
              <w:spacing w:line="163" w:lineRule="exact"/>
              <w:ind w:left="301" w:right="292"/>
              <w:jc w:val="center"/>
              <w:rPr>
                <w:sz w:val="15"/>
              </w:rPr>
            </w:pPr>
            <w:r>
              <w:rPr>
                <w:sz w:val="15"/>
              </w:rPr>
              <w:t>(e)</w:t>
            </w:r>
          </w:p>
        </w:tc>
        <w:tc>
          <w:tcPr>
            <w:tcW w:w="602" w:type="dxa"/>
            <w:tcBorders>
              <w:top w:val="single" w:sz="4" w:space="0" w:color="000000"/>
              <w:left w:val="single" w:sz="4" w:space="0" w:color="000000"/>
              <w:bottom w:val="single" w:sz="4" w:space="0" w:color="000000"/>
              <w:right w:val="single" w:sz="4" w:space="0" w:color="000000"/>
            </w:tcBorders>
            <w:shd w:val="clear" w:color="auto" w:fill="EFEFEF"/>
          </w:tcPr>
          <w:p>
            <w:pPr>
              <w:pStyle w:val="TableParagraph"/>
              <w:spacing w:line="157" w:lineRule="exact"/>
              <w:ind w:left="111" w:right="105"/>
              <w:jc w:val="center"/>
              <w:rPr>
                <w:sz w:val="15"/>
              </w:rPr>
            </w:pPr>
            <w:r>
              <w:rPr>
                <w:sz w:val="15"/>
              </w:rPr>
              <w:t>Delta</w:t>
            </w:r>
          </w:p>
          <w:p>
            <w:pPr>
              <w:pStyle w:val="TableParagraph"/>
              <w:spacing w:line="163" w:lineRule="exact"/>
              <w:ind w:left="111" w:right="102"/>
              <w:jc w:val="center"/>
              <w:rPr>
                <w:sz w:val="15"/>
              </w:rPr>
            </w:pPr>
            <w:r>
              <w:rPr>
                <w:sz w:val="15"/>
              </w:rPr>
              <w:t>(f)</w:t>
            </w:r>
          </w:p>
        </w:tc>
      </w:tr>
      <w:tr>
        <w:trPr>
          <w:trHeight w:val="154" w:hRule="atLeast"/>
        </w:trPr>
        <w:tc>
          <w:tcPr>
            <w:tcW w:w="1856" w:type="dxa"/>
            <w:tcBorders>
              <w:top w:val="single" w:sz="4" w:space="0" w:color="000000"/>
              <w:left w:val="single" w:sz="4" w:space="0" w:color="000000"/>
              <w:bottom w:val="nil"/>
              <w:right w:val="dotted" w:sz="4" w:space="0" w:color="000000"/>
            </w:tcBorders>
            <w:shd w:val="clear" w:color="auto" w:fill="EFEFEF"/>
          </w:tcPr>
          <w:p>
            <w:pPr>
              <w:pStyle w:val="TableParagraph"/>
              <w:spacing w:line="135" w:lineRule="exact"/>
              <w:ind w:left="28"/>
              <w:jc w:val="left"/>
              <w:rPr>
                <w:sz w:val="15"/>
              </w:rPr>
            </w:pPr>
            <w:r>
              <w:rPr>
                <w:sz w:val="15"/>
              </w:rPr>
              <w:t>MACRO ITALIA</w:t>
            </w:r>
          </w:p>
        </w:tc>
        <w:tc>
          <w:tcPr>
            <w:tcW w:w="411" w:type="dxa"/>
            <w:tcBorders>
              <w:top w:val="single" w:sz="4" w:space="0" w:color="000000"/>
              <w:left w:val="dotted" w:sz="4" w:space="0" w:color="000000"/>
              <w:bottom w:val="nil"/>
              <w:right w:val="dotted" w:sz="4" w:space="0" w:color="000000"/>
            </w:tcBorders>
            <w:shd w:val="clear" w:color="auto" w:fill="EFEFEF"/>
          </w:tcPr>
          <w:p>
            <w:pPr>
              <w:pStyle w:val="TableParagraph"/>
              <w:jc w:val="left"/>
              <w:rPr>
                <w:rFonts w:ascii="Times New Roman"/>
                <w:sz w:val="8"/>
              </w:rPr>
            </w:pPr>
          </w:p>
        </w:tc>
        <w:tc>
          <w:tcPr>
            <w:tcW w:w="495" w:type="dxa"/>
            <w:tcBorders>
              <w:top w:val="single" w:sz="4" w:space="0" w:color="000000"/>
              <w:left w:val="dotted" w:sz="4" w:space="0" w:color="000000"/>
              <w:bottom w:val="nil"/>
              <w:right w:val="dotted" w:sz="4" w:space="0" w:color="000000"/>
            </w:tcBorders>
            <w:shd w:val="clear" w:color="auto" w:fill="EFEFEF"/>
          </w:tcPr>
          <w:p>
            <w:pPr>
              <w:pStyle w:val="TableParagraph"/>
              <w:jc w:val="left"/>
              <w:rPr>
                <w:rFonts w:ascii="Times New Roman"/>
                <w:sz w:val="8"/>
              </w:rPr>
            </w:pPr>
          </w:p>
        </w:tc>
        <w:tc>
          <w:tcPr>
            <w:tcW w:w="394" w:type="dxa"/>
            <w:tcBorders>
              <w:top w:val="single" w:sz="4" w:space="0" w:color="000000"/>
              <w:left w:val="dotted" w:sz="4" w:space="0" w:color="000000"/>
              <w:bottom w:val="nil"/>
              <w:right w:val="single" w:sz="4" w:space="0" w:color="000000"/>
            </w:tcBorders>
            <w:shd w:val="clear" w:color="auto" w:fill="EFEFEF"/>
          </w:tcPr>
          <w:p>
            <w:pPr>
              <w:pStyle w:val="TableParagraph"/>
              <w:jc w:val="left"/>
              <w:rPr>
                <w:rFonts w:ascii="Times New Roman"/>
                <w:sz w:val="8"/>
              </w:rPr>
            </w:pPr>
          </w:p>
        </w:tc>
        <w:tc>
          <w:tcPr>
            <w:tcW w:w="1023" w:type="dxa"/>
            <w:tcBorders>
              <w:top w:val="single" w:sz="4" w:space="0" w:color="000000"/>
              <w:left w:val="single" w:sz="4" w:space="0" w:color="000000"/>
              <w:bottom w:val="nil"/>
              <w:right w:val="single" w:sz="4" w:space="0" w:color="000000"/>
            </w:tcBorders>
            <w:shd w:val="clear" w:color="auto" w:fill="EFEFEF"/>
          </w:tcPr>
          <w:p>
            <w:pPr>
              <w:pStyle w:val="TableParagraph"/>
              <w:jc w:val="left"/>
              <w:rPr>
                <w:rFonts w:ascii="Times New Roman"/>
                <w:sz w:val="8"/>
              </w:rPr>
            </w:pPr>
          </w:p>
        </w:tc>
        <w:tc>
          <w:tcPr>
            <w:tcW w:w="600" w:type="dxa"/>
            <w:tcBorders>
              <w:top w:val="single" w:sz="4" w:space="0" w:color="000000"/>
              <w:left w:val="single" w:sz="4" w:space="0" w:color="000000"/>
              <w:bottom w:val="nil"/>
              <w:right w:val="single" w:sz="4" w:space="0" w:color="000000"/>
            </w:tcBorders>
            <w:shd w:val="clear" w:color="auto" w:fill="EFEFEF"/>
          </w:tcPr>
          <w:p>
            <w:pPr>
              <w:pStyle w:val="TableParagraph"/>
              <w:jc w:val="left"/>
              <w:rPr>
                <w:rFonts w:ascii="Times New Roman"/>
                <w:sz w:val="8"/>
              </w:rPr>
            </w:pPr>
          </w:p>
        </w:tc>
        <w:tc>
          <w:tcPr>
            <w:tcW w:w="410" w:type="dxa"/>
            <w:tcBorders>
              <w:top w:val="single" w:sz="4" w:space="0" w:color="000000"/>
              <w:left w:val="single" w:sz="4" w:space="0" w:color="000000"/>
              <w:bottom w:val="nil"/>
              <w:right w:val="dotted" w:sz="4" w:space="0" w:color="000000"/>
            </w:tcBorders>
            <w:shd w:val="clear" w:color="auto" w:fill="EFEFEF"/>
          </w:tcPr>
          <w:p>
            <w:pPr>
              <w:pStyle w:val="TableParagraph"/>
              <w:jc w:val="left"/>
              <w:rPr>
                <w:rFonts w:ascii="Times New Roman"/>
                <w:sz w:val="8"/>
              </w:rPr>
            </w:pPr>
          </w:p>
        </w:tc>
        <w:tc>
          <w:tcPr>
            <w:tcW w:w="494" w:type="dxa"/>
            <w:tcBorders>
              <w:top w:val="single" w:sz="4" w:space="0" w:color="000000"/>
              <w:left w:val="dotted" w:sz="4" w:space="0" w:color="000000"/>
              <w:bottom w:val="nil"/>
              <w:right w:val="dotted" w:sz="4" w:space="0" w:color="000000"/>
            </w:tcBorders>
            <w:shd w:val="clear" w:color="auto" w:fill="EFEFEF"/>
          </w:tcPr>
          <w:p>
            <w:pPr>
              <w:pStyle w:val="TableParagraph"/>
              <w:jc w:val="left"/>
              <w:rPr>
                <w:rFonts w:ascii="Times New Roman"/>
                <w:sz w:val="8"/>
              </w:rPr>
            </w:pPr>
          </w:p>
        </w:tc>
        <w:tc>
          <w:tcPr>
            <w:tcW w:w="391" w:type="dxa"/>
            <w:tcBorders>
              <w:top w:val="single" w:sz="4" w:space="0" w:color="000000"/>
              <w:left w:val="dotted" w:sz="4" w:space="0" w:color="000000"/>
              <w:bottom w:val="nil"/>
              <w:right w:val="single" w:sz="4" w:space="0" w:color="000000"/>
            </w:tcBorders>
            <w:shd w:val="clear" w:color="auto" w:fill="EFEFEF"/>
          </w:tcPr>
          <w:p>
            <w:pPr>
              <w:pStyle w:val="TableParagraph"/>
              <w:jc w:val="left"/>
              <w:rPr>
                <w:rFonts w:ascii="Times New Roman"/>
                <w:sz w:val="8"/>
              </w:rPr>
            </w:pPr>
          </w:p>
        </w:tc>
        <w:tc>
          <w:tcPr>
            <w:tcW w:w="982" w:type="dxa"/>
            <w:tcBorders>
              <w:top w:val="single" w:sz="4" w:space="0" w:color="000000"/>
              <w:left w:val="single" w:sz="4" w:space="0" w:color="000000"/>
              <w:bottom w:val="nil"/>
              <w:right w:val="single" w:sz="4" w:space="0" w:color="000000"/>
            </w:tcBorders>
            <w:shd w:val="clear" w:color="auto" w:fill="EFEFEF"/>
          </w:tcPr>
          <w:p>
            <w:pPr>
              <w:pStyle w:val="TableParagraph"/>
              <w:jc w:val="left"/>
              <w:rPr>
                <w:rFonts w:ascii="Times New Roman"/>
                <w:sz w:val="8"/>
              </w:rPr>
            </w:pPr>
          </w:p>
        </w:tc>
        <w:tc>
          <w:tcPr>
            <w:tcW w:w="602" w:type="dxa"/>
            <w:tcBorders>
              <w:top w:val="single" w:sz="4" w:space="0" w:color="000000"/>
              <w:left w:val="single" w:sz="4" w:space="0" w:color="000000"/>
              <w:bottom w:val="nil"/>
              <w:right w:val="single" w:sz="4" w:space="0" w:color="000000"/>
            </w:tcBorders>
            <w:shd w:val="clear" w:color="auto" w:fill="EFEFEF"/>
          </w:tcPr>
          <w:p>
            <w:pPr>
              <w:pStyle w:val="TableParagraph"/>
              <w:jc w:val="left"/>
              <w:rPr>
                <w:rFonts w:ascii="Times New Roman"/>
                <w:sz w:val="8"/>
              </w:rPr>
            </w:pPr>
          </w:p>
        </w:tc>
      </w:tr>
      <w:tr>
        <w:trPr>
          <w:trHeight w:val="170" w:hRule="atLeast"/>
        </w:trPr>
        <w:tc>
          <w:tcPr>
            <w:tcW w:w="1856" w:type="dxa"/>
            <w:tcBorders>
              <w:top w:val="nil"/>
              <w:left w:val="single" w:sz="4" w:space="0" w:color="000000"/>
              <w:bottom w:val="nil"/>
              <w:right w:val="dotted" w:sz="4" w:space="0" w:color="000000"/>
            </w:tcBorders>
            <w:shd w:val="clear" w:color="auto" w:fill="EFEFEF"/>
          </w:tcPr>
          <w:p>
            <w:pPr>
              <w:pStyle w:val="TableParagraph"/>
              <w:spacing w:line="150" w:lineRule="exact"/>
              <w:ind w:left="28"/>
              <w:jc w:val="left"/>
              <w:rPr>
                <w:sz w:val="15"/>
              </w:rPr>
            </w:pPr>
            <w:r>
              <w:rPr>
                <w:sz w:val="15"/>
              </w:rPr>
              <w:t>PIL (prodotto interno lordo)</w:t>
            </w:r>
          </w:p>
        </w:tc>
        <w:tc>
          <w:tcPr>
            <w:tcW w:w="411" w:type="dxa"/>
            <w:tcBorders>
              <w:top w:val="nil"/>
              <w:left w:val="dotted" w:sz="4" w:space="0" w:color="000000"/>
              <w:bottom w:val="nil"/>
              <w:right w:val="dotted" w:sz="4" w:space="0" w:color="000000"/>
            </w:tcBorders>
            <w:shd w:val="clear" w:color="auto" w:fill="EFEFEF"/>
          </w:tcPr>
          <w:p>
            <w:pPr>
              <w:pStyle w:val="TableParagraph"/>
              <w:spacing w:line="150" w:lineRule="exact"/>
              <w:ind w:left="60" w:right="50"/>
              <w:jc w:val="center"/>
              <w:rPr>
                <w:sz w:val="15"/>
              </w:rPr>
            </w:pPr>
            <w:r>
              <w:rPr>
                <w:sz w:val="15"/>
              </w:rPr>
              <w:t>0,2</w:t>
            </w:r>
          </w:p>
        </w:tc>
        <w:tc>
          <w:tcPr>
            <w:tcW w:w="495" w:type="dxa"/>
            <w:tcBorders>
              <w:top w:val="nil"/>
              <w:left w:val="dotted" w:sz="4" w:space="0" w:color="000000"/>
              <w:bottom w:val="nil"/>
              <w:right w:val="dotted" w:sz="4" w:space="0" w:color="000000"/>
            </w:tcBorders>
            <w:shd w:val="clear" w:color="auto" w:fill="EFEFEF"/>
          </w:tcPr>
          <w:p>
            <w:pPr>
              <w:pStyle w:val="TableParagraph"/>
              <w:spacing w:line="150" w:lineRule="exact"/>
              <w:ind w:left="135"/>
              <w:jc w:val="left"/>
              <w:rPr>
                <w:sz w:val="15"/>
              </w:rPr>
            </w:pPr>
            <w:r>
              <w:rPr>
                <w:sz w:val="15"/>
              </w:rPr>
              <w:t>0,1</w:t>
            </w:r>
          </w:p>
        </w:tc>
        <w:tc>
          <w:tcPr>
            <w:tcW w:w="394" w:type="dxa"/>
            <w:tcBorders>
              <w:top w:val="nil"/>
              <w:left w:val="dotted" w:sz="4" w:space="0" w:color="000000"/>
              <w:bottom w:val="nil"/>
              <w:right w:val="single" w:sz="4" w:space="0" w:color="000000"/>
            </w:tcBorders>
            <w:shd w:val="clear" w:color="auto" w:fill="EFEFEF"/>
          </w:tcPr>
          <w:p>
            <w:pPr>
              <w:pStyle w:val="TableParagraph"/>
              <w:spacing w:line="150" w:lineRule="exact"/>
              <w:ind w:left="47" w:right="46"/>
              <w:jc w:val="center"/>
              <w:rPr>
                <w:sz w:val="15"/>
              </w:rPr>
            </w:pPr>
            <w:r>
              <w:rPr>
                <w:sz w:val="15"/>
              </w:rPr>
              <w:t>-0,1</w:t>
            </w:r>
          </w:p>
        </w:tc>
        <w:tc>
          <w:tcPr>
            <w:tcW w:w="1023" w:type="dxa"/>
            <w:tcBorders>
              <w:top w:val="nil"/>
              <w:left w:val="single" w:sz="4" w:space="0" w:color="000000"/>
              <w:bottom w:val="nil"/>
              <w:right w:val="single" w:sz="4" w:space="0" w:color="000000"/>
            </w:tcBorders>
            <w:shd w:val="clear" w:color="auto" w:fill="EFEFEF"/>
          </w:tcPr>
          <w:p>
            <w:pPr>
              <w:pStyle w:val="TableParagraph"/>
              <w:spacing w:line="150" w:lineRule="exact"/>
              <w:ind w:left="319" w:right="314"/>
              <w:jc w:val="center"/>
              <w:rPr>
                <w:sz w:val="15"/>
              </w:rPr>
            </w:pPr>
            <w:r>
              <w:rPr>
                <w:sz w:val="15"/>
              </w:rPr>
              <w:t>0,0</w:t>
            </w:r>
          </w:p>
        </w:tc>
        <w:tc>
          <w:tcPr>
            <w:tcW w:w="600" w:type="dxa"/>
            <w:tcBorders>
              <w:top w:val="nil"/>
              <w:left w:val="single" w:sz="4" w:space="0" w:color="000000"/>
              <w:bottom w:val="nil"/>
              <w:right w:val="single" w:sz="4" w:space="0" w:color="000000"/>
            </w:tcBorders>
            <w:shd w:val="clear" w:color="auto" w:fill="EFEFEF"/>
          </w:tcPr>
          <w:p>
            <w:pPr>
              <w:pStyle w:val="TableParagraph"/>
              <w:spacing w:line="150" w:lineRule="exact"/>
              <w:ind w:left="107" w:right="102"/>
              <w:jc w:val="center"/>
              <w:rPr>
                <w:sz w:val="15"/>
              </w:rPr>
            </w:pPr>
            <w:r>
              <w:rPr>
                <w:sz w:val="15"/>
              </w:rPr>
              <w:t>-0,1</w:t>
            </w:r>
          </w:p>
        </w:tc>
        <w:tc>
          <w:tcPr>
            <w:tcW w:w="410" w:type="dxa"/>
            <w:tcBorders>
              <w:top w:val="nil"/>
              <w:left w:val="single" w:sz="4" w:space="0" w:color="000000"/>
              <w:bottom w:val="nil"/>
              <w:right w:val="dotted" w:sz="4" w:space="0" w:color="000000"/>
            </w:tcBorders>
            <w:shd w:val="clear" w:color="auto" w:fill="EFEFEF"/>
          </w:tcPr>
          <w:p>
            <w:pPr>
              <w:pStyle w:val="TableParagraph"/>
              <w:spacing w:line="150" w:lineRule="exact"/>
              <w:ind w:right="86"/>
              <w:rPr>
                <w:sz w:val="15"/>
              </w:rPr>
            </w:pPr>
            <w:r>
              <w:rPr>
                <w:sz w:val="15"/>
              </w:rPr>
              <w:t>0,8</w:t>
            </w:r>
          </w:p>
        </w:tc>
        <w:tc>
          <w:tcPr>
            <w:tcW w:w="494" w:type="dxa"/>
            <w:tcBorders>
              <w:top w:val="nil"/>
              <w:left w:val="dotted" w:sz="4" w:space="0" w:color="000000"/>
              <w:bottom w:val="nil"/>
              <w:right w:val="dotted" w:sz="4" w:space="0" w:color="000000"/>
            </w:tcBorders>
            <w:shd w:val="clear" w:color="auto" w:fill="EFEFEF"/>
          </w:tcPr>
          <w:p>
            <w:pPr>
              <w:pStyle w:val="TableParagraph"/>
              <w:spacing w:line="150" w:lineRule="exact"/>
              <w:ind w:left="115" w:right="114"/>
              <w:jc w:val="center"/>
              <w:rPr>
                <w:sz w:val="15"/>
              </w:rPr>
            </w:pPr>
            <w:r>
              <w:rPr>
                <w:sz w:val="15"/>
              </w:rPr>
              <w:t>0,4</w:t>
            </w:r>
          </w:p>
        </w:tc>
        <w:tc>
          <w:tcPr>
            <w:tcW w:w="391" w:type="dxa"/>
            <w:tcBorders>
              <w:top w:val="nil"/>
              <w:left w:val="dotted" w:sz="4" w:space="0" w:color="000000"/>
              <w:bottom w:val="nil"/>
              <w:right w:val="single" w:sz="4" w:space="0" w:color="000000"/>
            </w:tcBorders>
            <w:shd w:val="clear" w:color="auto" w:fill="EFEFEF"/>
          </w:tcPr>
          <w:p>
            <w:pPr>
              <w:pStyle w:val="TableParagraph"/>
              <w:spacing w:line="150" w:lineRule="exact"/>
              <w:ind w:left="65"/>
              <w:jc w:val="left"/>
              <w:rPr>
                <w:sz w:val="15"/>
              </w:rPr>
            </w:pPr>
            <w:r>
              <w:rPr>
                <w:sz w:val="15"/>
              </w:rPr>
              <w:t>-0,3</w:t>
            </w:r>
          </w:p>
        </w:tc>
        <w:tc>
          <w:tcPr>
            <w:tcW w:w="982" w:type="dxa"/>
            <w:tcBorders>
              <w:top w:val="nil"/>
              <w:left w:val="single" w:sz="4" w:space="0" w:color="000000"/>
              <w:bottom w:val="nil"/>
              <w:right w:val="single" w:sz="4" w:space="0" w:color="000000"/>
            </w:tcBorders>
            <w:shd w:val="clear" w:color="auto" w:fill="EFEFEF"/>
          </w:tcPr>
          <w:p>
            <w:pPr>
              <w:pStyle w:val="TableParagraph"/>
              <w:spacing w:line="150" w:lineRule="exact"/>
              <w:ind w:left="364"/>
              <w:jc w:val="left"/>
              <w:rPr>
                <w:sz w:val="15"/>
              </w:rPr>
            </w:pPr>
            <w:r>
              <w:rPr>
                <w:sz w:val="15"/>
              </w:rPr>
              <w:t>-0,3</w:t>
            </w:r>
          </w:p>
        </w:tc>
        <w:tc>
          <w:tcPr>
            <w:tcW w:w="602" w:type="dxa"/>
            <w:tcBorders>
              <w:top w:val="nil"/>
              <w:left w:val="single" w:sz="4" w:space="0" w:color="000000"/>
              <w:bottom w:val="nil"/>
              <w:right w:val="single" w:sz="4" w:space="0" w:color="000000"/>
            </w:tcBorders>
            <w:shd w:val="clear" w:color="auto" w:fill="EFEFEF"/>
          </w:tcPr>
          <w:p>
            <w:pPr>
              <w:pStyle w:val="TableParagraph"/>
              <w:spacing w:line="150" w:lineRule="exact"/>
              <w:ind w:left="111" w:right="101"/>
              <w:jc w:val="center"/>
              <w:rPr>
                <w:sz w:val="15"/>
              </w:rPr>
            </w:pPr>
            <w:r>
              <w:rPr>
                <w:sz w:val="15"/>
              </w:rPr>
              <w:t>0,0</w:t>
            </w:r>
          </w:p>
        </w:tc>
      </w:tr>
      <w:tr>
        <w:trPr>
          <w:trHeight w:val="170" w:hRule="atLeast"/>
        </w:trPr>
        <w:tc>
          <w:tcPr>
            <w:tcW w:w="1856" w:type="dxa"/>
            <w:tcBorders>
              <w:top w:val="nil"/>
              <w:left w:val="single" w:sz="4" w:space="0" w:color="000000"/>
              <w:bottom w:val="nil"/>
              <w:right w:val="dotted" w:sz="4" w:space="0" w:color="000000"/>
            </w:tcBorders>
            <w:shd w:val="clear" w:color="auto" w:fill="EFEFEF"/>
          </w:tcPr>
          <w:p>
            <w:pPr>
              <w:pStyle w:val="TableParagraph"/>
              <w:spacing w:line="150" w:lineRule="exact"/>
              <w:ind w:left="28"/>
              <w:jc w:val="left"/>
              <w:rPr>
                <w:sz w:val="15"/>
              </w:rPr>
            </w:pPr>
            <w:r>
              <w:rPr>
                <w:sz w:val="15"/>
              </w:rPr>
              <w:t>Spesa delle famiglie</w:t>
            </w:r>
          </w:p>
        </w:tc>
        <w:tc>
          <w:tcPr>
            <w:tcW w:w="411" w:type="dxa"/>
            <w:tcBorders>
              <w:top w:val="nil"/>
              <w:left w:val="dotted" w:sz="4" w:space="0" w:color="000000"/>
              <w:bottom w:val="nil"/>
              <w:right w:val="dotted" w:sz="4" w:space="0" w:color="000000"/>
            </w:tcBorders>
            <w:shd w:val="clear" w:color="auto" w:fill="EFEFEF"/>
          </w:tcPr>
          <w:p>
            <w:pPr>
              <w:pStyle w:val="TableParagraph"/>
              <w:spacing w:line="150" w:lineRule="exact"/>
              <w:ind w:left="60" w:right="50"/>
              <w:jc w:val="center"/>
              <w:rPr>
                <w:sz w:val="15"/>
              </w:rPr>
            </w:pPr>
            <w:r>
              <w:rPr>
                <w:sz w:val="15"/>
              </w:rPr>
              <w:t>0,6</w:t>
            </w:r>
          </w:p>
        </w:tc>
        <w:tc>
          <w:tcPr>
            <w:tcW w:w="495" w:type="dxa"/>
            <w:tcBorders>
              <w:top w:val="nil"/>
              <w:left w:val="dotted" w:sz="4" w:space="0" w:color="000000"/>
              <w:bottom w:val="nil"/>
              <w:right w:val="dotted" w:sz="4" w:space="0" w:color="000000"/>
            </w:tcBorders>
            <w:shd w:val="clear" w:color="auto" w:fill="EFEFEF"/>
          </w:tcPr>
          <w:p>
            <w:pPr>
              <w:pStyle w:val="TableParagraph"/>
              <w:spacing w:line="150" w:lineRule="exact"/>
              <w:ind w:left="135"/>
              <w:jc w:val="left"/>
              <w:rPr>
                <w:sz w:val="15"/>
              </w:rPr>
            </w:pPr>
            <w:r>
              <w:rPr>
                <w:sz w:val="15"/>
              </w:rPr>
              <w:t>0,4</w:t>
            </w:r>
          </w:p>
        </w:tc>
        <w:tc>
          <w:tcPr>
            <w:tcW w:w="394" w:type="dxa"/>
            <w:tcBorders>
              <w:top w:val="nil"/>
              <w:left w:val="dotted" w:sz="4" w:space="0" w:color="000000"/>
              <w:bottom w:val="nil"/>
              <w:right w:val="single" w:sz="4" w:space="0" w:color="000000"/>
            </w:tcBorders>
            <w:shd w:val="clear" w:color="auto" w:fill="EFEFEF"/>
          </w:tcPr>
          <w:p>
            <w:pPr>
              <w:pStyle w:val="TableParagraph"/>
              <w:spacing w:line="150" w:lineRule="exact"/>
              <w:ind w:left="47" w:right="46"/>
              <w:jc w:val="center"/>
              <w:rPr>
                <w:sz w:val="15"/>
              </w:rPr>
            </w:pPr>
            <w:r>
              <w:rPr>
                <w:sz w:val="15"/>
              </w:rPr>
              <w:t>-0,2</w:t>
            </w:r>
          </w:p>
        </w:tc>
        <w:tc>
          <w:tcPr>
            <w:tcW w:w="1023" w:type="dxa"/>
            <w:tcBorders>
              <w:top w:val="nil"/>
              <w:left w:val="single" w:sz="4" w:space="0" w:color="000000"/>
              <w:bottom w:val="nil"/>
              <w:right w:val="single" w:sz="4" w:space="0" w:color="000000"/>
            </w:tcBorders>
            <w:shd w:val="clear" w:color="auto" w:fill="EFEFEF"/>
          </w:tcPr>
          <w:p>
            <w:pPr>
              <w:pStyle w:val="TableParagraph"/>
              <w:spacing w:line="150" w:lineRule="exact"/>
              <w:ind w:left="319" w:right="314"/>
              <w:jc w:val="center"/>
              <w:rPr>
                <w:sz w:val="15"/>
              </w:rPr>
            </w:pPr>
            <w:r>
              <w:rPr>
                <w:sz w:val="15"/>
              </w:rPr>
              <w:t>-0,1</w:t>
            </w:r>
          </w:p>
        </w:tc>
        <w:tc>
          <w:tcPr>
            <w:tcW w:w="600" w:type="dxa"/>
            <w:tcBorders>
              <w:top w:val="nil"/>
              <w:left w:val="single" w:sz="4" w:space="0" w:color="000000"/>
              <w:bottom w:val="nil"/>
              <w:right w:val="single" w:sz="4" w:space="0" w:color="000000"/>
            </w:tcBorders>
            <w:shd w:val="clear" w:color="auto" w:fill="EFEFEF"/>
          </w:tcPr>
          <w:p>
            <w:pPr>
              <w:pStyle w:val="TableParagraph"/>
              <w:spacing w:line="150" w:lineRule="exact"/>
              <w:ind w:left="107" w:right="102"/>
              <w:jc w:val="center"/>
              <w:rPr>
                <w:sz w:val="15"/>
              </w:rPr>
            </w:pPr>
            <w:r>
              <w:rPr>
                <w:sz w:val="15"/>
              </w:rPr>
              <w:t>0,1</w:t>
            </w:r>
          </w:p>
        </w:tc>
        <w:tc>
          <w:tcPr>
            <w:tcW w:w="410" w:type="dxa"/>
            <w:tcBorders>
              <w:top w:val="nil"/>
              <w:left w:val="single" w:sz="4" w:space="0" w:color="000000"/>
              <w:bottom w:val="nil"/>
              <w:right w:val="dotted" w:sz="4" w:space="0" w:color="000000"/>
            </w:tcBorders>
            <w:shd w:val="clear" w:color="auto" w:fill="EFEFEF"/>
          </w:tcPr>
          <w:p>
            <w:pPr>
              <w:pStyle w:val="TableParagraph"/>
              <w:spacing w:line="150" w:lineRule="exact"/>
              <w:ind w:right="86"/>
              <w:rPr>
                <w:sz w:val="15"/>
              </w:rPr>
            </w:pPr>
            <w:r>
              <w:rPr>
                <w:sz w:val="15"/>
              </w:rPr>
              <w:t>0,6</w:t>
            </w:r>
          </w:p>
        </w:tc>
        <w:tc>
          <w:tcPr>
            <w:tcW w:w="494" w:type="dxa"/>
            <w:tcBorders>
              <w:top w:val="nil"/>
              <w:left w:val="dotted" w:sz="4" w:space="0" w:color="000000"/>
              <w:bottom w:val="nil"/>
              <w:right w:val="dotted" w:sz="4" w:space="0" w:color="000000"/>
            </w:tcBorders>
            <w:shd w:val="clear" w:color="auto" w:fill="EFEFEF"/>
          </w:tcPr>
          <w:p>
            <w:pPr>
              <w:pStyle w:val="TableParagraph"/>
              <w:spacing w:line="150" w:lineRule="exact"/>
              <w:ind w:left="115" w:right="114"/>
              <w:jc w:val="center"/>
              <w:rPr>
                <w:sz w:val="15"/>
              </w:rPr>
            </w:pPr>
            <w:r>
              <w:rPr>
                <w:sz w:val="15"/>
              </w:rPr>
              <w:t>0,3</w:t>
            </w:r>
          </w:p>
        </w:tc>
        <w:tc>
          <w:tcPr>
            <w:tcW w:w="391" w:type="dxa"/>
            <w:tcBorders>
              <w:top w:val="nil"/>
              <w:left w:val="dotted" w:sz="4" w:space="0" w:color="000000"/>
              <w:bottom w:val="nil"/>
              <w:right w:val="single" w:sz="4" w:space="0" w:color="000000"/>
            </w:tcBorders>
            <w:shd w:val="clear" w:color="auto" w:fill="EFEFEF"/>
          </w:tcPr>
          <w:p>
            <w:pPr>
              <w:pStyle w:val="TableParagraph"/>
              <w:spacing w:line="150" w:lineRule="exact"/>
              <w:ind w:left="65"/>
              <w:jc w:val="left"/>
              <w:rPr>
                <w:sz w:val="15"/>
              </w:rPr>
            </w:pPr>
            <w:r>
              <w:rPr>
                <w:sz w:val="15"/>
              </w:rPr>
              <w:t>-0,4</w:t>
            </w:r>
          </w:p>
        </w:tc>
        <w:tc>
          <w:tcPr>
            <w:tcW w:w="982" w:type="dxa"/>
            <w:tcBorders>
              <w:top w:val="nil"/>
              <w:left w:val="single" w:sz="4" w:space="0" w:color="000000"/>
              <w:bottom w:val="nil"/>
              <w:right w:val="single" w:sz="4" w:space="0" w:color="000000"/>
            </w:tcBorders>
            <w:shd w:val="clear" w:color="auto" w:fill="EFEFEF"/>
          </w:tcPr>
          <w:p>
            <w:pPr>
              <w:pStyle w:val="TableParagraph"/>
              <w:spacing w:line="150" w:lineRule="exact"/>
              <w:ind w:left="364"/>
              <w:jc w:val="left"/>
              <w:rPr>
                <w:sz w:val="15"/>
              </w:rPr>
            </w:pPr>
            <w:r>
              <w:rPr>
                <w:sz w:val="15"/>
              </w:rPr>
              <w:t>-0,3</w:t>
            </w:r>
          </w:p>
        </w:tc>
        <w:tc>
          <w:tcPr>
            <w:tcW w:w="602" w:type="dxa"/>
            <w:tcBorders>
              <w:top w:val="nil"/>
              <w:left w:val="single" w:sz="4" w:space="0" w:color="000000"/>
              <w:bottom w:val="nil"/>
              <w:right w:val="single" w:sz="4" w:space="0" w:color="000000"/>
            </w:tcBorders>
            <w:shd w:val="clear" w:color="auto" w:fill="EFEFEF"/>
          </w:tcPr>
          <w:p>
            <w:pPr>
              <w:pStyle w:val="TableParagraph"/>
              <w:spacing w:line="150" w:lineRule="exact"/>
              <w:ind w:left="111" w:right="101"/>
              <w:jc w:val="center"/>
              <w:rPr>
                <w:sz w:val="15"/>
              </w:rPr>
            </w:pPr>
            <w:r>
              <w:rPr>
                <w:sz w:val="15"/>
              </w:rPr>
              <w:t>0,6</w:t>
            </w:r>
          </w:p>
        </w:tc>
      </w:tr>
      <w:tr>
        <w:trPr>
          <w:trHeight w:val="170" w:hRule="atLeast"/>
        </w:trPr>
        <w:tc>
          <w:tcPr>
            <w:tcW w:w="1856" w:type="dxa"/>
            <w:tcBorders>
              <w:top w:val="nil"/>
              <w:left w:val="single" w:sz="4" w:space="0" w:color="000000"/>
              <w:bottom w:val="nil"/>
              <w:right w:val="dotted" w:sz="4" w:space="0" w:color="000000"/>
            </w:tcBorders>
            <w:shd w:val="clear" w:color="auto" w:fill="EFEFEF"/>
          </w:tcPr>
          <w:p>
            <w:pPr>
              <w:pStyle w:val="TableParagraph"/>
              <w:spacing w:line="150" w:lineRule="exact"/>
              <w:ind w:left="28"/>
              <w:jc w:val="left"/>
              <w:rPr>
                <w:sz w:val="15"/>
              </w:rPr>
            </w:pPr>
            <w:r>
              <w:rPr>
                <w:sz w:val="15"/>
              </w:rPr>
              <w:t>Spesa della PA</w:t>
            </w:r>
          </w:p>
        </w:tc>
        <w:tc>
          <w:tcPr>
            <w:tcW w:w="411" w:type="dxa"/>
            <w:tcBorders>
              <w:top w:val="nil"/>
              <w:left w:val="dotted" w:sz="4" w:space="0" w:color="000000"/>
              <w:bottom w:val="nil"/>
              <w:right w:val="dotted" w:sz="4" w:space="0" w:color="000000"/>
            </w:tcBorders>
            <w:shd w:val="clear" w:color="auto" w:fill="EFEFEF"/>
          </w:tcPr>
          <w:p>
            <w:pPr>
              <w:pStyle w:val="TableParagraph"/>
              <w:spacing w:line="150" w:lineRule="exact"/>
              <w:ind w:left="60" w:right="50"/>
              <w:jc w:val="center"/>
              <w:rPr>
                <w:sz w:val="15"/>
              </w:rPr>
            </w:pPr>
            <w:r>
              <w:rPr>
                <w:sz w:val="15"/>
              </w:rPr>
              <w:t>-0,4</w:t>
            </w:r>
          </w:p>
        </w:tc>
        <w:tc>
          <w:tcPr>
            <w:tcW w:w="495" w:type="dxa"/>
            <w:tcBorders>
              <w:top w:val="nil"/>
              <w:left w:val="dotted" w:sz="4" w:space="0" w:color="000000"/>
              <w:bottom w:val="nil"/>
              <w:right w:val="dotted" w:sz="4" w:space="0" w:color="000000"/>
            </w:tcBorders>
            <w:shd w:val="clear" w:color="auto" w:fill="EFEFEF"/>
          </w:tcPr>
          <w:p>
            <w:pPr>
              <w:pStyle w:val="TableParagraph"/>
              <w:spacing w:line="150" w:lineRule="exact"/>
              <w:ind w:left="116"/>
              <w:jc w:val="left"/>
              <w:rPr>
                <w:sz w:val="15"/>
              </w:rPr>
            </w:pPr>
            <w:r>
              <w:rPr>
                <w:sz w:val="15"/>
              </w:rPr>
              <w:t>-0,2</w:t>
            </w:r>
          </w:p>
        </w:tc>
        <w:tc>
          <w:tcPr>
            <w:tcW w:w="394" w:type="dxa"/>
            <w:tcBorders>
              <w:top w:val="nil"/>
              <w:left w:val="dotted" w:sz="4" w:space="0" w:color="000000"/>
              <w:bottom w:val="nil"/>
              <w:right w:val="single" w:sz="4" w:space="0" w:color="000000"/>
            </w:tcBorders>
            <w:shd w:val="clear" w:color="auto" w:fill="EFEFEF"/>
          </w:tcPr>
          <w:p>
            <w:pPr>
              <w:pStyle w:val="TableParagraph"/>
              <w:spacing w:line="150" w:lineRule="exact"/>
              <w:ind w:left="47" w:right="46"/>
              <w:jc w:val="center"/>
              <w:rPr>
                <w:sz w:val="15"/>
              </w:rPr>
            </w:pPr>
            <w:r>
              <w:rPr>
                <w:sz w:val="15"/>
              </w:rPr>
              <w:t>0,3</w:t>
            </w:r>
          </w:p>
        </w:tc>
        <w:tc>
          <w:tcPr>
            <w:tcW w:w="1023" w:type="dxa"/>
            <w:tcBorders>
              <w:top w:val="nil"/>
              <w:left w:val="single" w:sz="4" w:space="0" w:color="000000"/>
              <w:bottom w:val="nil"/>
              <w:right w:val="single" w:sz="4" w:space="0" w:color="000000"/>
            </w:tcBorders>
            <w:shd w:val="clear" w:color="auto" w:fill="EFEFEF"/>
          </w:tcPr>
          <w:p>
            <w:pPr>
              <w:pStyle w:val="TableParagraph"/>
              <w:spacing w:line="150" w:lineRule="exact"/>
              <w:ind w:left="319" w:right="314"/>
              <w:jc w:val="center"/>
              <w:rPr>
                <w:sz w:val="15"/>
              </w:rPr>
            </w:pPr>
            <w:r>
              <w:rPr>
                <w:sz w:val="15"/>
              </w:rPr>
              <w:t>0,4</w:t>
            </w:r>
          </w:p>
        </w:tc>
        <w:tc>
          <w:tcPr>
            <w:tcW w:w="600" w:type="dxa"/>
            <w:tcBorders>
              <w:top w:val="nil"/>
              <w:left w:val="single" w:sz="4" w:space="0" w:color="000000"/>
              <w:bottom w:val="nil"/>
              <w:right w:val="single" w:sz="4" w:space="0" w:color="000000"/>
            </w:tcBorders>
            <w:shd w:val="clear" w:color="auto" w:fill="EFEFEF"/>
          </w:tcPr>
          <w:p>
            <w:pPr>
              <w:pStyle w:val="TableParagraph"/>
              <w:spacing w:line="150" w:lineRule="exact"/>
              <w:ind w:left="107" w:right="102"/>
              <w:jc w:val="center"/>
              <w:rPr>
                <w:sz w:val="15"/>
              </w:rPr>
            </w:pPr>
            <w:r>
              <w:rPr>
                <w:sz w:val="15"/>
              </w:rPr>
              <w:t>0,0</w:t>
            </w:r>
          </w:p>
        </w:tc>
        <w:tc>
          <w:tcPr>
            <w:tcW w:w="410" w:type="dxa"/>
            <w:tcBorders>
              <w:top w:val="nil"/>
              <w:left w:val="single" w:sz="4" w:space="0" w:color="000000"/>
              <w:bottom w:val="nil"/>
              <w:right w:val="dotted" w:sz="4" w:space="0" w:color="000000"/>
            </w:tcBorders>
            <w:shd w:val="clear" w:color="auto" w:fill="EFEFEF"/>
          </w:tcPr>
          <w:p>
            <w:pPr>
              <w:pStyle w:val="TableParagraph"/>
              <w:spacing w:line="150" w:lineRule="exact"/>
              <w:ind w:right="86"/>
              <w:rPr>
                <w:sz w:val="15"/>
              </w:rPr>
            </w:pPr>
            <w:r>
              <w:rPr>
                <w:sz w:val="15"/>
              </w:rPr>
              <w:t>0,8</w:t>
            </w:r>
          </w:p>
        </w:tc>
        <w:tc>
          <w:tcPr>
            <w:tcW w:w="494" w:type="dxa"/>
            <w:tcBorders>
              <w:top w:val="nil"/>
              <w:left w:val="dotted" w:sz="4" w:space="0" w:color="000000"/>
              <w:bottom w:val="nil"/>
              <w:right w:val="dotted" w:sz="4" w:space="0" w:color="000000"/>
            </w:tcBorders>
            <w:shd w:val="clear" w:color="auto" w:fill="EFEFEF"/>
          </w:tcPr>
          <w:p>
            <w:pPr>
              <w:pStyle w:val="TableParagraph"/>
              <w:spacing w:line="150" w:lineRule="exact"/>
              <w:ind w:left="115" w:right="114"/>
              <w:jc w:val="center"/>
              <w:rPr>
                <w:sz w:val="15"/>
              </w:rPr>
            </w:pPr>
            <w:r>
              <w:rPr>
                <w:sz w:val="15"/>
              </w:rPr>
              <w:t>0,1</w:t>
            </w:r>
          </w:p>
        </w:tc>
        <w:tc>
          <w:tcPr>
            <w:tcW w:w="391" w:type="dxa"/>
            <w:tcBorders>
              <w:top w:val="nil"/>
              <w:left w:val="dotted" w:sz="4" w:space="0" w:color="000000"/>
              <w:bottom w:val="nil"/>
              <w:right w:val="single" w:sz="4" w:space="0" w:color="000000"/>
            </w:tcBorders>
            <w:shd w:val="clear" w:color="auto" w:fill="EFEFEF"/>
          </w:tcPr>
          <w:p>
            <w:pPr>
              <w:pStyle w:val="TableParagraph"/>
              <w:spacing w:line="150" w:lineRule="exact"/>
              <w:ind w:left="65"/>
              <w:jc w:val="left"/>
              <w:rPr>
                <w:sz w:val="15"/>
              </w:rPr>
            </w:pPr>
            <w:r>
              <w:rPr>
                <w:sz w:val="15"/>
              </w:rPr>
              <w:t>-0,7</w:t>
            </w:r>
          </w:p>
        </w:tc>
        <w:tc>
          <w:tcPr>
            <w:tcW w:w="982" w:type="dxa"/>
            <w:tcBorders>
              <w:top w:val="nil"/>
              <w:left w:val="single" w:sz="4" w:space="0" w:color="000000"/>
              <w:bottom w:val="nil"/>
              <w:right w:val="single" w:sz="4" w:space="0" w:color="000000"/>
            </w:tcBorders>
            <w:shd w:val="clear" w:color="auto" w:fill="EFEFEF"/>
          </w:tcPr>
          <w:p>
            <w:pPr>
              <w:pStyle w:val="TableParagraph"/>
              <w:spacing w:line="150" w:lineRule="exact"/>
              <w:ind w:left="364"/>
              <w:jc w:val="left"/>
              <w:rPr>
                <w:sz w:val="15"/>
              </w:rPr>
            </w:pPr>
            <w:r>
              <w:rPr>
                <w:sz w:val="15"/>
              </w:rPr>
              <w:t>-0,2</w:t>
            </w:r>
          </w:p>
        </w:tc>
        <w:tc>
          <w:tcPr>
            <w:tcW w:w="602" w:type="dxa"/>
            <w:tcBorders>
              <w:top w:val="nil"/>
              <w:left w:val="single" w:sz="4" w:space="0" w:color="000000"/>
              <w:bottom w:val="nil"/>
              <w:right w:val="single" w:sz="4" w:space="0" w:color="000000"/>
            </w:tcBorders>
            <w:shd w:val="clear" w:color="auto" w:fill="EFEFEF"/>
          </w:tcPr>
          <w:p>
            <w:pPr>
              <w:pStyle w:val="TableParagraph"/>
              <w:spacing w:line="150" w:lineRule="exact"/>
              <w:ind w:left="111" w:right="101"/>
              <w:jc w:val="center"/>
              <w:rPr>
                <w:sz w:val="15"/>
              </w:rPr>
            </w:pPr>
            <w:r>
              <w:rPr>
                <w:sz w:val="15"/>
              </w:rPr>
              <w:t>0,0</w:t>
            </w:r>
          </w:p>
        </w:tc>
      </w:tr>
      <w:tr>
        <w:trPr>
          <w:trHeight w:val="170" w:hRule="atLeast"/>
        </w:trPr>
        <w:tc>
          <w:tcPr>
            <w:tcW w:w="1856" w:type="dxa"/>
            <w:tcBorders>
              <w:top w:val="nil"/>
              <w:left w:val="single" w:sz="4" w:space="0" w:color="000000"/>
              <w:bottom w:val="nil"/>
              <w:right w:val="dotted" w:sz="4" w:space="0" w:color="000000"/>
            </w:tcBorders>
            <w:shd w:val="clear" w:color="auto" w:fill="EFEFEF"/>
          </w:tcPr>
          <w:p>
            <w:pPr>
              <w:pStyle w:val="TableParagraph"/>
              <w:spacing w:line="150" w:lineRule="exact"/>
              <w:ind w:left="28"/>
              <w:jc w:val="left"/>
              <w:rPr>
                <w:sz w:val="15"/>
              </w:rPr>
            </w:pPr>
            <w:r>
              <w:rPr>
                <w:sz w:val="15"/>
              </w:rPr>
              <w:t>Investimenti fissi lordi</w:t>
            </w:r>
          </w:p>
        </w:tc>
        <w:tc>
          <w:tcPr>
            <w:tcW w:w="411" w:type="dxa"/>
            <w:tcBorders>
              <w:top w:val="nil"/>
              <w:left w:val="dotted" w:sz="4" w:space="0" w:color="000000"/>
              <w:bottom w:val="nil"/>
              <w:right w:val="dotted" w:sz="4" w:space="0" w:color="000000"/>
            </w:tcBorders>
            <w:shd w:val="clear" w:color="auto" w:fill="EFEFEF"/>
          </w:tcPr>
          <w:p>
            <w:pPr>
              <w:pStyle w:val="TableParagraph"/>
              <w:spacing w:line="150" w:lineRule="exact"/>
              <w:ind w:left="60" w:right="50"/>
              <w:jc w:val="center"/>
              <w:rPr>
                <w:sz w:val="15"/>
              </w:rPr>
            </w:pPr>
            <w:r>
              <w:rPr>
                <w:sz w:val="15"/>
              </w:rPr>
              <w:t>1,4</w:t>
            </w:r>
          </w:p>
        </w:tc>
        <w:tc>
          <w:tcPr>
            <w:tcW w:w="495" w:type="dxa"/>
            <w:tcBorders>
              <w:top w:val="nil"/>
              <w:left w:val="dotted" w:sz="4" w:space="0" w:color="000000"/>
              <w:bottom w:val="nil"/>
              <w:right w:val="dotted" w:sz="4" w:space="0" w:color="000000"/>
            </w:tcBorders>
            <w:shd w:val="clear" w:color="auto" w:fill="EFEFEF"/>
          </w:tcPr>
          <w:p>
            <w:pPr>
              <w:pStyle w:val="TableParagraph"/>
              <w:spacing w:line="150" w:lineRule="exact"/>
              <w:ind w:left="135"/>
              <w:jc w:val="left"/>
              <w:rPr>
                <w:sz w:val="15"/>
              </w:rPr>
            </w:pPr>
            <w:r>
              <w:rPr>
                <w:sz w:val="15"/>
              </w:rPr>
              <w:t>2,6</w:t>
            </w:r>
          </w:p>
        </w:tc>
        <w:tc>
          <w:tcPr>
            <w:tcW w:w="394" w:type="dxa"/>
            <w:tcBorders>
              <w:top w:val="nil"/>
              <w:left w:val="dotted" w:sz="4" w:space="0" w:color="000000"/>
              <w:bottom w:val="nil"/>
              <w:right w:val="single" w:sz="4" w:space="0" w:color="000000"/>
            </w:tcBorders>
            <w:shd w:val="clear" w:color="auto" w:fill="EFEFEF"/>
          </w:tcPr>
          <w:p>
            <w:pPr>
              <w:pStyle w:val="TableParagraph"/>
              <w:spacing w:line="150" w:lineRule="exact"/>
              <w:ind w:left="47" w:right="46"/>
              <w:jc w:val="center"/>
              <w:rPr>
                <w:sz w:val="15"/>
              </w:rPr>
            </w:pPr>
            <w:r>
              <w:rPr>
                <w:sz w:val="15"/>
              </w:rPr>
              <w:t>1,2</w:t>
            </w:r>
          </w:p>
        </w:tc>
        <w:tc>
          <w:tcPr>
            <w:tcW w:w="1023" w:type="dxa"/>
            <w:tcBorders>
              <w:top w:val="nil"/>
              <w:left w:val="single" w:sz="4" w:space="0" w:color="000000"/>
              <w:bottom w:val="nil"/>
              <w:right w:val="single" w:sz="4" w:space="0" w:color="000000"/>
            </w:tcBorders>
            <w:shd w:val="clear" w:color="auto" w:fill="EFEFEF"/>
          </w:tcPr>
          <w:p>
            <w:pPr>
              <w:pStyle w:val="TableParagraph"/>
              <w:spacing w:line="150" w:lineRule="exact"/>
              <w:ind w:left="319" w:right="314"/>
              <w:jc w:val="center"/>
              <w:rPr>
                <w:sz w:val="15"/>
              </w:rPr>
            </w:pPr>
            <w:r>
              <w:rPr>
                <w:sz w:val="15"/>
              </w:rPr>
              <w:t>1,4</w:t>
            </w:r>
          </w:p>
        </w:tc>
        <w:tc>
          <w:tcPr>
            <w:tcW w:w="600" w:type="dxa"/>
            <w:tcBorders>
              <w:top w:val="nil"/>
              <w:left w:val="single" w:sz="4" w:space="0" w:color="000000"/>
              <w:bottom w:val="nil"/>
              <w:right w:val="single" w:sz="4" w:space="0" w:color="000000"/>
            </w:tcBorders>
            <w:shd w:val="clear" w:color="auto" w:fill="EFEFEF"/>
          </w:tcPr>
          <w:p>
            <w:pPr>
              <w:pStyle w:val="TableParagraph"/>
              <w:spacing w:line="150" w:lineRule="exact"/>
              <w:ind w:left="107" w:right="102"/>
              <w:jc w:val="center"/>
              <w:rPr>
                <w:sz w:val="15"/>
              </w:rPr>
            </w:pPr>
            <w:r>
              <w:rPr>
                <w:sz w:val="15"/>
              </w:rPr>
              <w:t>0,1</w:t>
            </w:r>
          </w:p>
        </w:tc>
        <w:tc>
          <w:tcPr>
            <w:tcW w:w="410" w:type="dxa"/>
            <w:tcBorders>
              <w:top w:val="nil"/>
              <w:left w:val="single" w:sz="4" w:space="0" w:color="000000"/>
              <w:bottom w:val="nil"/>
              <w:right w:val="dotted" w:sz="4" w:space="0" w:color="000000"/>
            </w:tcBorders>
            <w:shd w:val="clear" w:color="auto" w:fill="EFEFEF"/>
          </w:tcPr>
          <w:p>
            <w:pPr>
              <w:pStyle w:val="TableParagraph"/>
              <w:spacing w:line="150" w:lineRule="exact"/>
              <w:ind w:right="86"/>
              <w:rPr>
                <w:sz w:val="15"/>
              </w:rPr>
            </w:pPr>
            <w:r>
              <w:rPr>
                <w:sz w:val="15"/>
              </w:rPr>
              <w:t>2,0</w:t>
            </w:r>
          </w:p>
        </w:tc>
        <w:tc>
          <w:tcPr>
            <w:tcW w:w="494" w:type="dxa"/>
            <w:tcBorders>
              <w:top w:val="nil"/>
              <w:left w:val="dotted" w:sz="4" w:space="0" w:color="000000"/>
              <w:bottom w:val="nil"/>
              <w:right w:val="dotted" w:sz="4" w:space="0" w:color="000000"/>
            </w:tcBorders>
            <w:shd w:val="clear" w:color="auto" w:fill="EFEFEF"/>
          </w:tcPr>
          <w:p>
            <w:pPr>
              <w:pStyle w:val="TableParagraph"/>
              <w:spacing w:line="150" w:lineRule="exact"/>
              <w:ind w:left="115" w:right="114"/>
              <w:jc w:val="center"/>
              <w:rPr>
                <w:sz w:val="15"/>
              </w:rPr>
            </w:pPr>
            <w:r>
              <w:rPr>
                <w:sz w:val="15"/>
              </w:rPr>
              <w:t>2,0</w:t>
            </w:r>
          </w:p>
        </w:tc>
        <w:tc>
          <w:tcPr>
            <w:tcW w:w="391" w:type="dxa"/>
            <w:tcBorders>
              <w:top w:val="nil"/>
              <w:left w:val="dotted" w:sz="4" w:space="0" w:color="000000"/>
              <w:bottom w:val="nil"/>
              <w:right w:val="single" w:sz="4" w:space="0" w:color="000000"/>
            </w:tcBorders>
            <w:shd w:val="clear" w:color="auto" w:fill="EFEFEF"/>
          </w:tcPr>
          <w:p>
            <w:pPr>
              <w:pStyle w:val="TableParagraph"/>
              <w:spacing w:line="150" w:lineRule="exact"/>
              <w:ind w:left="85"/>
              <w:jc w:val="left"/>
              <w:rPr>
                <w:sz w:val="15"/>
              </w:rPr>
            </w:pPr>
            <w:r>
              <w:rPr>
                <w:sz w:val="15"/>
              </w:rPr>
              <w:t>0,0</w:t>
            </w:r>
          </w:p>
        </w:tc>
        <w:tc>
          <w:tcPr>
            <w:tcW w:w="982" w:type="dxa"/>
            <w:tcBorders>
              <w:top w:val="nil"/>
              <w:left w:val="single" w:sz="4" w:space="0" w:color="000000"/>
              <w:bottom w:val="nil"/>
              <w:right w:val="single" w:sz="4" w:space="0" w:color="000000"/>
            </w:tcBorders>
            <w:shd w:val="clear" w:color="auto" w:fill="EFEFEF"/>
          </w:tcPr>
          <w:p>
            <w:pPr>
              <w:pStyle w:val="TableParagraph"/>
              <w:spacing w:line="150" w:lineRule="exact"/>
              <w:ind w:left="383"/>
              <w:jc w:val="left"/>
              <w:rPr>
                <w:sz w:val="15"/>
              </w:rPr>
            </w:pPr>
            <w:r>
              <w:rPr>
                <w:sz w:val="15"/>
              </w:rPr>
              <w:t>0,0</w:t>
            </w:r>
          </w:p>
        </w:tc>
        <w:tc>
          <w:tcPr>
            <w:tcW w:w="602" w:type="dxa"/>
            <w:tcBorders>
              <w:top w:val="nil"/>
              <w:left w:val="single" w:sz="4" w:space="0" w:color="000000"/>
              <w:bottom w:val="nil"/>
              <w:right w:val="single" w:sz="4" w:space="0" w:color="000000"/>
            </w:tcBorders>
            <w:shd w:val="clear" w:color="auto" w:fill="EFEFEF"/>
          </w:tcPr>
          <w:p>
            <w:pPr>
              <w:pStyle w:val="TableParagraph"/>
              <w:spacing w:line="150" w:lineRule="exact"/>
              <w:ind w:left="111" w:right="101"/>
              <w:jc w:val="center"/>
              <w:rPr>
                <w:sz w:val="15"/>
              </w:rPr>
            </w:pPr>
            <w:r>
              <w:rPr>
                <w:sz w:val="15"/>
              </w:rPr>
              <w:t>0,4</w:t>
            </w:r>
          </w:p>
        </w:tc>
      </w:tr>
      <w:tr>
        <w:trPr>
          <w:trHeight w:val="170" w:hRule="atLeast"/>
        </w:trPr>
        <w:tc>
          <w:tcPr>
            <w:tcW w:w="1856" w:type="dxa"/>
            <w:tcBorders>
              <w:top w:val="nil"/>
              <w:left w:val="single" w:sz="4" w:space="0" w:color="000000"/>
              <w:bottom w:val="nil"/>
              <w:right w:val="dotted" w:sz="4" w:space="0" w:color="000000"/>
            </w:tcBorders>
            <w:shd w:val="clear" w:color="auto" w:fill="EFEFEF"/>
          </w:tcPr>
          <w:p>
            <w:pPr>
              <w:pStyle w:val="TableParagraph"/>
              <w:spacing w:line="150" w:lineRule="exact"/>
              <w:ind w:left="28"/>
              <w:jc w:val="left"/>
              <w:rPr>
                <w:sz w:val="15"/>
              </w:rPr>
            </w:pPr>
            <w:r>
              <w:rPr>
                <w:sz w:val="15"/>
              </w:rPr>
              <w:t>Esportazioni di beni e servizi</w:t>
            </w:r>
          </w:p>
        </w:tc>
        <w:tc>
          <w:tcPr>
            <w:tcW w:w="411" w:type="dxa"/>
            <w:tcBorders>
              <w:top w:val="nil"/>
              <w:left w:val="dotted" w:sz="4" w:space="0" w:color="000000"/>
              <w:bottom w:val="nil"/>
              <w:right w:val="dotted" w:sz="4" w:space="0" w:color="000000"/>
            </w:tcBorders>
            <w:shd w:val="clear" w:color="auto" w:fill="EFEFEF"/>
          </w:tcPr>
          <w:p>
            <w:pPr>
              <w:pStyle w:val="TableParagraph"/>
              <w:spacing w:line="150" w:lineRule="exact"/>
              <w:ind w:left="60" w:right="50"/>
              <w:jc w:val="center"/>
              <w:rPr>
                <w:sz w:val="15"/>
              </w:rPr>
            </w:pPr>
            <w:r>
              <w:rPr>
                <w:sz w:val="15"/>
              </w:rPr>
              <w:t>2,1</w:t>
            </w:r>
          </w:p>
        </w:tc>
        <w:tc>
          <w:tcPr>
            <w:tcW w:w="495" w:type="dxa"/>
            <w:tcBorders>
              <w:top w:val="nil"/>
              <w:left w:val="dotted" w:sz="4" w:space="0" w:color="000000"/>
              <w:bottom w:val="nil"/>
              <w:right w:val="dotted" w:sz="4" w:space="0" w:color="000000"/>
            </w:tcBorders>
            <w:shd w:val="clear" w:color="auto" w:fill="EFEFEF"/>
          </w:tcPr>
          <w:p>
            <w:pPr>
              <w:pStyle w:val="TableParagraph"/>
              <w:spacing w:line="150" w:lineRule="exact"/>
              <w:ind w:left="135"/>
              <w:jc w:val="left"/>
              <w:rPr>
                <w:sz w:val="15"/>
              </w:rPr>
            </w:pPr>
            <w:r>
              <w:rPr>
                <w:sz w:val="15"/>
              </w:rPr>
              <w:t>2,8</w:t>
            </w:r>
          </w:p>
        </w:tc>
        <w:tc>
          <w:tcPr>
            <w:tcW w:w="394" w:type="dxa"/>
            <w:tcBorders>
              <w:top w:val="nil"/>
              <w:left w:val="dotted" w:sz="4" w:space="0" w:color="000000"/>
              <w:bottom w:val="nil"/>
              <w:right w:val="single" w:sz="4" w:space="0" w:color="000000"/>
            </w:tcBorders>
            <w:shd w:val="clear" w:color="auto" w:fill="EFEFEF"/>
          </w:tcPr>
          <w:p>
            <w:pPr>
              <w:pStyle w:val="TableParagraph"/>
              <w:spacing w:line="150" w:lineRule="exact"/>
              <w:ind w:left="47" w:right="46"/>
              <w:jc w:val="center"/>
              <w:rPr>
                <w:sz w:val="15"/>
              </w:rPr>
            </w:pPr>
            <w:r>
              <w:rPr>
                <w:sz w:val="15"/>
              </w:rPr>
              <w:t>0,7</w:t>
            </w:r>
          </w:p>
        </w:tc>
        <w:tc>
          <w:tcPr>
            <w:tcW w:w="1023" w:type="dxa"/>
            <w:tcBorders>
              <w:top w:val="nil"/>
              <w:left w:val="single" w:sz="4" w:space="0" w:color="000000"/>
              <w:bottom w:val="nil"/>
              <w:right w:val="single" w:sz="4" w:space="0" w:color="000000"/>
            </w:tcBorders>
            <w:shd w:val="clear" w:color="auto" w:fill="EFEFEF"/>
          </w:tcPr>
          <w:p>
            <w:pPr>
              <w:pStyle w:val="TableParagraph"/>
              <w:spacing w:line="150" w:lineRule="exact"/>
              <w:ind w:left="319" w:right="314"/>
              <w:jc w:val="center"/>
              <w:rPr>
                <w:sz w:val="15"/>
              </w:rPr>
            </w:pPr>
            <w:r>
              <w:rPr>
                <w:sz w:val="15"/>
              </w:rPr>
              <w:t>1,0</w:t>
            </w:r>
          </w:p>
        </w:tc>
        <w:tc>
          <w:tcPr>
            <w:tcW w:w="600" w:type="dxa"/>
            <w:tcBorders>
              <w:top w:val="nil"/>
              <w:left w:val="single" w:sz="4" w:space="0" w:color="000000"/>
              <w:bottom w:val="nil"/>
              <w:right w:val="single" w:sz="4" w:space="0" w:color="000000"/>
            </w:tcBorders>
            <w:shd w:val="clear" w:color="auto" w:fill="EFEFEF"/>
          </w:tcPr>
          <w:p>
            <w:pPr>
              <w:pStyle w:val="TableParagraph"/>
              <w:spacing w:line="150" w:lineRule="exact"/>
              <w:ind w:left="107" w:right="102"/>
              <w:jc w:val="center"/>
              <w:rPr>
                <w:sz w:val="15"/>
              </w:rPr>
            </w:pPr>
            <w:r>
              <w:rPr>
                <w:sz w:val="15"/>
              </w:rPr>
              <w:t>-0,6</w:t>
            </w:r>
          </w:p>
        </w:tc>
        <w:tc>
          <w:tcPr>
            <w:tcW w:w="410" w:type="dxa"/>
            <w:tcBorders>
              <w:top w:val="nil"/>
              <w:left w:val="single" w:sz="4" w:space="0" w:color="000000"/>
              <w:bottom w:val="nil"/>
              <w:right w:val="dotted" w:sz="4" w:space="0" w:color="000000"/>
            </w:tcBorders>
            <w:shd w:val="clear" w:color="auto" w:fill="EFEFEF"/>
          </w:tcPr>
          <w:p>
            <w:pPr>
              <w:pStyle w:val="TableParagraph"/>
              <w:spacing w:line="150" w:lineRule="exact"/>
              <w:ind w:right="86"/>
              <w:rPr>
                <w:sz w:val="15"/>
              </w:rPr>
            </w:pPr>
            <w:r>
              <w:rPr>
                <w:sz w:val="15"/>
              </w:rPr>
              <w:t>2,3</w:t>
            </w:r>
          </w:p>
        </w:tc>
        <w:tc>
          <w:tcPr>
            <w:tcW w:w="494" w:type="dxa"/>
            <w:tcBorders>
              <w:top w:val="nil"/>
              <w:left w:val="dotted" w:sz="4" w:space="0" w:color="000000"/>
              <w:bottom w:val="nil"/>
              <w:right w:val="dotted" w:sz="4" w:space="0" w:color="000000"/>
            </w:tcBorders>
            <w:shd w:val="clear" w:color="auto" w:fill="EFEFEF"/>
          </w:tcPr>
          <w:p>
            <w:pPr>
              <w:pStyle w:val="TableParagraph"/>
              <w:spacing w:line="150" w:lineRule="exact"/>
              <w:ind w:left="115" w:right="114"/>
              <w:jc w:val="center"/>
              <w:rPr>
                <w:sz w:val="15"/>
              </w:rPr>
            </w:pPr>
            <w:r>
              <w:rPr>
                <w:sz w:val="15"/>
              </w:rPr>
              <w:t>2,3</w:t>
            </w:r>
          </w:p>
        </w:tc>
        <w:tc>
          <w:tcPr>
            <w:tcW w:w="391" w:type="dxa"/>
            <w:tcBorders>
              <w:top w:val="nil"/>
              <w:left w:val="dotted" w:sz="4" w:space="0" w:color="000000"/>
              <w:bottom w:val="nil"/>
              <w:right w:val="single" w:sz="4" w:space="0" w:color="000000"/>
            </w:tcBorders>
            <w:shd w:val="clear" w:color="auto" w:fill="EFEFEF"/>
          </w:tcPr>
          <w:p>
            <w:pPr>
              <w:pStyle w:val="TableParagraph"/>
              <w:spacing w:line="150" w:lineRule="exact"/>
              <w:ind w:left="65"/>
              <w:jc w:val="left"/>
              <w:rPr>
                <w:sz w:val="15"/>
              </w:rPr>
            </w:pPr>
            <w:r>
              <w:rPr>
                <w:sz w:val="15"/>
              </w:rPr>
              <w:t>-0,1</w:t>
            </w:r>
          </w:p>
        </w:tc>
        <w:tc>
          <w:tcPr>
            <w:tcW w:w="982" w:type="dxa"/>
            <w:tcBorders>
              <w:top w:val="nil"/>
              <w:left w:val="single" w:sz="4" w:space="0" w:color="000000"/>
              <w:bottom w:val="nil"/>
              <w:right w:val="single" w:sz="4" w:space="0" w:color="000000"/>
            </w:tcBorders>
            <w:shd w:val="clear" w:color="auto" w:fill="EFEFEF"/>
          </w:tcPr>
          <w:p>
            <w:pPr>
              <w:pStyle w:val="TableParagraph"/>
              <w:spacing w:line="150" w:lineRule="exact"/>
              <w:ind w:left="364"/>
              <w:jc w:val="left"/>
              <w:rPr>
                <w:sz w:val="15"/>
              </w:rPr>
            </w:pPr>
            <w:r>
              <w:rPr>
                <w:sz w:val="15"/>
              </w:rPr>
              <w:t>-0,3</w:t>
            </w:r>
          </w:p>
        </w:tc>
        <w:tc>
          <w:tcPr>
            <w:tcW w:w="602" w:type="dxa"/>
            <w:tcBorders>
              <w:top w:val="nil"/>
              <w:left w:val="single" w:sz="4" w:space="0" w:color="000000"/>
              <w:bottom w:val="nil"/>
              <w:right w:val="single" w:sz="4" w:space="0" w:color="000000"/>
            </w:tcBorders>
            <w:shd w:val="clear" w:color="auto" w:fill="EFEFEF"/>
          </w:tcPr>
          <w:p>
            <w:pPr>
              <w:pStyle w:val="TableParagraph"/>
              <w:spacing w:line="150" w:lineRule="exact"/>
              <w:ind w:left="111" w:right="101"/>
              <w:jc w:val="center"/>
              <w:rPr>
                <w:sz w:val="15"/>
              </w:rPr>
            </w:pPr>
            <w:r>
              <w:rPr>
                <w:sz w:val="15"/>
              </w:rPr>
              <w:t>-1,8</w:t>
            </w:r>
          </w:p>
        </w:tc>
      </w:tr>
      <w:tr>
        <w:trPr>
          <w:trHeight w:val="170" w:hRule="atLeast"/>
        </w:trPr>
        <w:tc>
          <w:tcPr>
            <w:tcW w:w="1856" w:type="dxa"/>
            <w:tcBorders>
              <w:top w:val="nil"/>
              <w:left w:val="single" w:sz="4" w:space="0" w:color="000000"/>
              <w:bottom w:val="nil"/>
              <w:right w:val="dotted" w:sz="4" w:space="0" w:color="000000"/>
            </w:tcBorders>
            <w:shd w:val="clear" w:color="auto" w:fill="EFEFEF"/>
          </w:tcPr>
          <w:p>
            <w:pPr>
              <w:pStyle w:val="TableParagraph"/>
              <w:spacing w:line="150" w:lineRule="exact"/>
              <w:ind w:left="28"/>
              <w:jc w:val="left"/>
              <w:rPr>
                <w:sz w:val="15"/>
              </w:rPr>
            </w:pPr>
            <w:r>
              <w:rPr>
                <w:sz w:val="15"/>
              </w:rPr>
              <w:t>Importazioni di beni e servizi</w:t>
            </w:r>
          </w:p>
        </w:tc>
        <w:tc>
          <w:tcPr>
            <w:tcW w:w="411" w:type="dxa"/>
            <w:tcBorders>
              <w:top w:val="nil"/>
              <w:left w:val="dotted" w:sz="4" w:space="0" w:color="000000"/>
              <w:bottom w:val="nil"/>
              <w:right w:val="dotted" w:sz="4" w:space="0" w:color="000000"/>
            </w:tcBorders>
            <w:shd w:val="clear" w:color="auto" w:fill="EFEFEF"/>
          </w:tcPr>
          <w:p>
            <w:pPr>
              <w:pStyle w:val="TableParagraph"/>
              <w:spacing w:line="150" w:lineRule="exact"/>
              <w:ind w:left="60" w:right="50"/>
              <w:jc w:val="center"/>
              <w:rPr>
                <w:sz w:val="15"/>
              </w:rPr>
            </w:pPr>
            <w:r>
              <w:rPr>
                <w:sz w:val="15"/>
              </w:rPr>
              <w:t>2,3</w:t>
            </w:r>
          </w:p>
        </w:tc>
        <w:tc>
          <w:tcPr>
            <w:tcW w:w="495" w:type="dxa"/>
            <w:tcBorders>
              <w:top w:val="nil"/>
              <w:left w:val="dotted" w:sz="4" w:space="0" w:color="000000"/>
              <w:bottom w:val="nil"/>
              <w:right w:val="dotted" w:sz="4" w:space="0" w:color="000000"/>
            </w:tcBorders>
            <w:shd w:val="clear" w:color="auto" w:fill="EFEFEF"/>
          </w:tcPr>
          <w:p>
            <w:pPr>
              <w:pStyle w:val="TableParagraph"/>
              <w:spacing w:line="150" w:lineRule="exact"/>
              <w:ind w:left="135"/>
              <w:jc w:val="left"/>
              <w:rPr>
                <w:sz w:val="15"/>
              </w:rPr>
            </w:pPr>
            <w:r>
              <w:rPr>
                <w:sz w:val="15"/>
              </w:rPr>
              <w:t>0,7</w:t>
            </w:r>
          </w:p>
        </w:tc>
        <w:tc>
          <w:tcPr>
            <w:tcW w:w="394" w:type="dxa"/>
            <w:tcBorders>
              <w:top w:val="nil"/>
              <w:left w:val="dotted" w:sz="4" w:space="0" w:color="000000"/>
              <w:bottom w:val="nil"/>
              <w:right w:val="single" w:sz="4" w:space="0" w:color="000000"/>
            </w:tcBorders>
            <w:shd w:val="clear" w:color="auto" w:fill="EFEFEF"/>
          </w:tcPr>
          <w:p>
            <w:pPr>
              <w:pStyle w:val="TableParagraph"/>
              <w:spacing w:line="150" w:lineRule="exact"/>
              <w:ind w:left="47" w:right="46"/>
              <w:jc w:val="center"/>
              <w:rPr>
                <w:sz w:val="15"/>
              </w:rPr>
            </w:pPr>
            <w:r>
              <w:rPr>
                <w:sz w:val="15"/>
              </w:rPr>
              <w:t>-1,6</w:t>
            </w:r>
          </w:p>
        </w:tc>
        <w:tc>
          <w:tcPr>
            <w:tcW w:w="1023" w:type="dxa"/>
            <w:tcBorders>
              <w:top w:val="nil"/>
              <w:left w:val="single" w:sz="4" w:space="0" w:color="000000"/>
              <w:bottom w:val="nil"/>
              <w:right w:val="single" w:sz="4" w:space="0" w:color="000000"/>
            </w:tcBorders>
            <w:shd w:val="clear" w:color="auto" w:fill="EFEFEF"/>
          </w:tcPr>
          <w:p>
            <w:pPr>
              <w:pStyle w:val="TableParagraph"/>
              <w:spacing w:line="150" w:lineRule="exact"/>
              <w:ind w:left="319" w:right="314"/>
              <w:jc w:val="center"/>
              <w:rPr>
                <w:sz w:val="15"/>
              </w:rPr>
            </w:pPr>
            <w:r>
              <w:rPr>
                <w:sz w:val="15"/>
              </w:rPr>
              <w:t>-1,3</w:t>
            </w:r>
          </w:p>
        </w:tc>
        <w:tc>
          <w:tcPr>
            <w:tcW w:w="600" w:type="dxa"/>
            <w:tcBorders>
              <w:top w:val="nil"/>
              <w:left w:val="single" w:sz="4" w:space="0" w:color="000000"/>
              <w:bottom w:val="nil"/>
              <w:right w:val="single" w:sz="4" w:space="0" w:color="000000"/>
            </w:tcBorders>
            <w:shd w:val="clear" w:color="auto" w:fill="EFEFEF"/>
          </w:tcPr>
          <w:p>
            <w:pPr>
              <w:pStyle w:val="TableParagraph"/>
              <w:spacing w:line="150" w:lineRule="exact"/>
              <w:ind w:left="107" w:right="102"/>
              <w:jc w:val="center"/>
              <w:rPr>
                <w:sz w:val="15"/>
              </w:rPr>
            </w:pPr>
            <w:r>
              <w:rPr>
                <w:sz w:val="15"/>
              </w:rPr>
              <w:t>0,2</w:t>
            </w:r>
          </w:p>
        </w:tc>
        <w:tc>
          <w:tcPr>
            <w:tcW w:w="410" w:type="dxa"/>
            <w:tcBorders>
              <w:top w:val="nil"/>
              <w:left w:val="single" w:sz="4" w:space="0" w:color="000000"/>
              <w:bottom w:val="nil"/>
              <w:right w:val="dotted" w:sz="4" w:space="0" w:color="000000"/>
            </w:tcBorders>
            <w:shd w:val="clear" w:color="auto" w:fill="EFEFEF"/>
          </w:tcPr>
          <w:p>
            <w:pPr>
              <w:pStyle w:val="TableParagraph"/>
              <w:spacing w:line="150" w:lineRule="exact"/>
              <w:ind w:right="86"/>
              <w:rPr>
                <w:sz w:val="15"/>
              </w:rPr>
            </w:pPr>
            <w:r>
              <w:rPr>
                <w:sz w:val="15"/>
              </w:rPr>
              <w:t>2,7</w:t>
            </w:r>
          </w:p>
        </w:tc>
        <w:tc>
          <w:tcPr>
            <w:tcW w:w="494" w:type="dxa"/>
            <w:tcBorders>
              <w:top w:val="nil"/>
              <w:left w:val="dotted" w:sz="4" w:space="0" w:color="000000"/>
              <w:bottom w:val="nil"/>
              <w:right w:val="dotted" w:sz="4" w:space="0" w:color="000000"/>
            </w:tcBorders>
            <w:shd w:val="clear" w:color="auto" w:fill="EFEFEF"/>
          </w:tcPr>
          <w:p>
            <w:pPr>
              <w:pStyle w:val="TableParagraph"/>
              <w:spacing w:line="150" w:lineRule="exact"/>
              <w:ind w:left="115" w:right="114"/>
              <w:jc w:val="center"/>
              <w:rPr>
                <w:sz w:val="15"/>
              </w:rPr>
            </w:pPr>
            <w:r>
              <w:rPr>
                <w:sz w:val="15"/>
              </w:rPr>
              <w:t>2,0</w:t>
            </w:r>
          </w:p>
        </w:tc>
        <w:tc>
          <w:tcPr>
            <w:tcW w:w="391" w:type="dxa"/>
            <w:tcBorders>
              <w:top w:val="nil"/>
              <w:left w:val="dotted" w:sz="4" w:space="0" w:color="000000"/>
              <w:bottom w:val="nil"/>
              <w:right w:val="single" w:sz="4" w:space="0" w:color="000000"/>
            </w:tcBorders>
            <w:shd w:val="clear" w:color="auto" w:fill="EFEFEF"/>
          </w:tcPr>
          <w:p>
            <w:pPr>
              <w:pStyle w:val="TableParagraph"/>
              <w:spacing w:line="150" w:lineRule="exact"/>
              <w:ind w:left="65"/>
              <w:jc w:val="left"/>
              <w:rPr>
                <w:sz w:val="15"/>
              </w:rPr>
            </w:pPr>
            <w:r>
              <w:rPr>
                <w:sz w:val="15"/>
              </w:rPr>
              <w:t>-0,7</w:t>
            </w:r>
          </w:p>
        </w:tc>
        <w:tc>
          <w:tcPr>
            <w:tcW w:w="982" w:type="dxa"/>
            <w:tcBorders>
              <w:top w:val="nil"/>
              <w:left w:val="single" w:sz="4" w:space="0" w:color="000000"/>
              <w:bottom w:val="nil"/>
              <w:right w:val="single" w:sz="4" w:space="0" w:color="000000"/>
            </w:tcBorders>
            <w:shd w:val="clear" w:color="auto" w:fill="EFEFEF"/>
          </w:tcPr>
          <w:p>
            <w:pPr>
              <w:pStyle w:val="TableParagraph"/>
              <w:spacing w:line="150" w:lineRule="exact"/>
              <w:ind w:left="364"/>
              <w:jc w:val="left"/>
              <w:rPr>
                <w:sz w:val="15"/>
              </w:rPr>
            </w:pPr>
            <w:r>
              <w:rPr>
                <w:sz w:val="15"/>
              </w:rPr>
              <w:t>-0,5</w:t>
            </w:r>
          </w:p>
        </w:tc>
        <w:tc>
          <w:tcPr>
            <w:tcW w:w="602" w:type="dxa"/>
            <w:tcBorders>
              <w:top w:val="nil"/>
              <w:left w:val="single" w:sz="4" w:space="0" w:color="000000"/>
              <w:bottom w:val="nil"/>
              <w:right w:val="single" w:sz="4" w:space="0" w:color="000000"/>
            </w:tcBorders>
            <w:shd w:val="clear" w:color="auto" w:fill="EFEFEF"/>
          </w:tcPr>
          <w:p>
            <w:pPr>
              <w:pStyle w:val="TableParagraph"/>
              <w:spacing w:line="150" w:lineRule="exact"/>
              <w:ind w:left="111" w:right="101"/>
              <w:jc w:val="center"/>
              <w:rPr>
                <w:sz w:val="15"/>
              </w:rPr>
            </w:pPr>
            <w:r>
              <w:rPr>
                <w:sz w:val="15"/>
              </w:rPr>
              <w:t>-0,9</w:t>
            </w:r>
          </w:p>
        </w:tc>
      </w:tr>
      <w:tr>
        <w:trPr>
          <w:trHeight w:val="169" w:hRule="atLeast"/>
        </w:trPr>
        <w:tc>
          <w:tcPr>
            <w:tcW w:w="1856" w:type="dxa"/>
            <w:tcBorders>
              <w:top w:val="nil"/>
              <w:left w:val="single" w:sz="4" w:space="0" w:color="000000"/>
              <w:bottom w:val="nil"/>
              <w:right w:val="dotted" w:sz="4" w:space="0" w:color="000000"/>
            </w:tcBorders>
            <w:shd w:val="clear" w:color="auto" w:fill="EFEFEF"/>
          </w:tcPr>
          <w:p>
            <w:pPr>
              <w:pStyle w:val="TableParagraph"/>
              <w:spacing w:line="149" w:lineRule="exact"/>
              <w:ind w:left="28"/>
              <w:jc w:val="left"/>
              <w:rPr>
                <w:sz w:val="15"/>
              </w:rPr>
            </w:pPr>
            <w:r>
              <w:rPr>
                <w:sz w:val="15"/>
              </w:rPr>
              <w:t>Deflatore PIL</w:t>
            </w:r>
          </w:p>
        </w:tc>
        <w:tc>
          <w:tcPr>
            <w:tcW w:w="411" w:type="dxa"/>
            <w:tcBorders>
              <w:top w:val="nil"/>
              <w:left w:val="dotted" w:sz="4" w:space="0" w:color="000000"/>
              <w:bottom w:val="nil"/>
              <w:right w:val="dotted" w:sz="4" w:space="0" w:color="000000"/>
            </w:tcBorders>
            <w:shd w:val="clear" w:color="auto" w:fill="EFEFEF"/>
          </w:tcPr>
          <w:p>
            <w:pPr>
              <w:pStyle w:val="TableParagraph"/>
              <w:spacing w:line="149" w:lineRule="exact"/>
              <w:ind w:left="60" w:right="50"/>
              <w:jc w:val="center"/>
              <w:rPr>
                <w:sz w:val="15"/>
              </w:rPr>
            </w:pPr>
            <w:r>
              <w:rPr>
                <w:sz w:val="15"/>
              </w:rPr>
              <w:t>1,0</w:t>
            </w:r>
          </w:p>
        </w:tc>
        <w:tc>
          <w:tcPr>
            <w:tcW w:w="495" w:type="dxa"/>
            <w:tcBorders>
              <w:top w:val="nil"/>
              <w:left w:val="dotted" w:sz="4" w:space="0" w:color="000000"/>
              <w:bottom w:val="nil"/>
              <w:right w:val="dotted" w:sz="4" w:space="0" w:color="000000"/>
            </w:tcBorders>
            <w:shd w:val="clear" w:color="auto" w:fill="EFEFEF"/>
          </w:tcPr>
          <w:p>
            <w:pPr>
              <w:pStyle w:val="TableParagraph"/>
              <w:spacing w:line="149" w:lineRule="exact"/>
              <w:ind w:left="135"/>
              <w:jc w:val="left"/>
              <w:rPr>
                <w:sz w:val="15"/>
              </w:rPr>
            </w:pPr>
            <w:r>
              <w:rPr>
                <w:sz w:val="15"/>
              </w:rPr>
              <w:t>0,9</w:t>
            </w:r>
          </w:p>
        </w:tc>
        <w:tc>
          <w:tcPr>
            <w:tcW w:w="394" w:type="dxa"/>
            <w:tcBorders>
              <w:top w:val="nil"/>
              <w:left w:val="dotted" w:sz="4" w:space="0" w:color="000000"/>
              <w:bottom w:val="nil"/>
              <w:right w:val="single" w:sz="4" w:space="0" w:color="000000"/>
            </w:tcBorders>
            <w:shd w:val="clear" w:color="auto" w:fill="EFEFEF"/>
          </w:tcPr>
          <w:p>
            <w:pPr>
              <w:pStyle w:val="TableParagraph"/>
              <w:spacing w:line="149" w:lineRule="exact"/>
              <w:ind w:left="47" w:right="46"/>
              <w:jc w:val="center"/>
              <w:rPr>
                <w:sz w:val="15"/>
              </w:rPr>
            </w:pPr>
            <w:r>
              <w:rPr>
                <w:sz w:val="15"/>
              </w:rPr>
              <w:t>0,0</w:t>
            </w:r>
          </w:p>
        </w:tc>
        <w:tc>
          <w:tcPr>
            <w:tcW w:w="1023" w:type="dxa"/>
            <w:tcBorders>
              <w:top w:val="nil"/>
              <w:left w:val="single" w:sz="4" w:space="0" w:color="000000"/>
              <w:bottom w:val="nil"/>
              <w:right w:val="single" w:sz="4" w:space="0" w:color="000000"/>
            </w:tcBorders>
            <w:shd w:val="clear" w:color="auto" w:fill="EFEFEF"/>
          </w:tcPr>
          <w:p>
            <w:pPr>
              <w:pStyle w:val="TableParagraph"/>
              <w:spacing w:line="149" w:lineRule="exact"/>
              <w:ind w:left="319" w:right="314"/>
              <w:jc w:val="center"/>
              <w:rPr>
                <w:sz w:val="15"/>
              </w:rPr>
            </w:pPr>
            <w:r>
              <w:rPr>
                <w:sz w:val="15"/>
              </w:rPr>
              <w:t>0,1</w:t>
            </w:r>
          </w:p>
        </w:tc>
        <w:tc>
          <w:tcPr>
            <w:tcW w:w="600" w:type="dxa"/>
            <w:tcBorders>
              <w:top w:val="nil"/>
              <w:left w:val="single" w:sz="4" w:space="0" w:color="000000"/>
              <w:bottom w:val="nil"/>
              <w:right w:val="single" w:sz="4" w:space="0" w:color="000000"/>
            </w:tcBorders>
            <w:shd w:val="clear" w:color="auto" w:fill="EFEFEF"/>
          </w:tcPr>
          <w:p>
            <w:pPr>
              <w:pStyle w:val="TableParagraph"/>
              <w:spacing w:line="149" w:lineRule="exact"/>
              <w:ind w:left="107" w:right="102"/>
              <w:jc w:val="center"/>
              <w:rPr>
                <w:sz w:val="15"/>
              </w:rPr>
            </w:pPr>
            <w:r>
              <w:rPr>
                <w:sz w:val="15"/>
              </w:rPr>
              <w:t>0,0</w:t>
            </w:r>
          </w:p>
        </w:tc>
        <w:tc>
          <w:tcPr>
            <w:tcW w:w="410" w:type="dxa"/>
            <w:tcBorders>
              <w:top w:val="nil"/>
              <w:left w:val="single" w:sz="4" w:space="0" w:color="000000"/>
              <w:bottom w:val="nil"/>
              <w:right w:val="dotted" w:sz="4" w:space="0" w:color="000000"/>
            </w:tcBorders>
            <w:shd w:val="clear" w:color="auto" w:fill="EFEFEF"/>
          </w:tcPr>
          <w:p>
            <w:pPr>
              <w:pStyle w:val="TableParagraph"/>
              <w:spacing w:line="149" w:lineRule="exact"/>
              <w:ind w:right="86"/>
              <w:rPr>
                <w:sz w:val="15"/>
              </w:rPr>
            </w:pPr>
            <w:r>
              <w:rPr>
                <w:sz w:val="15"/>
              </w:rPr>
              <w:t>2,0</w:t>
            </w:r>
          </w:p>
        </w:tc>
        <w:tc>
          <w:tcPr>
            <w:tcW w:w="494" w:type="dxa"/>
            <w:tcBorders>
              <w:top w:val="nil"/>
              <w:left w:val="dotted" w:sz="4" w:space="0" w:color="000000"/>
              <w:bottom w:val="nil"/>
              <w:right w:val="dotted" w:sz="4" w:space="0" w:color="000000"/>
            </w:tcBorders>
            <w:shd w:val="clear" w:color="auto" w:fill="EFEFEF"/>
          </w:tcPr>
          <w:p>
            <w:pPr>
              <w:pStyle w:val="TableParagraph"/>
              <w:spacing w:line="149" w:lineRule="exact"/>
              <w:ind w:left="115" w:right="114"/>
              <w:jc w:val="center"/>
              <w:rPr>
                <w:sz w:val="15"/>
              </w:rPr>
            </w:pPr>
            <w:r>
              <w:rPr>
                <w:sz w:val="15"/>
              </w:rPr>
              <w:t>1,9</w:t>
            </w:r>
          </w:p>
        </w:tc>
        <w:tc>
          <w:tcPr>
            <w:tcW w:w="391" w:type="dxa"/>
            <w:tcBorders>
              <w:top w:val="nil"/>
              <w:left w:val="dotted" w:sz="4" w:space="0" w:color="000000"/>
              <w:bottom w:val="nil"/>
              <w:right w:val="single" w:sz="4" w:space="0" w:color="000000"/>
            </w:tcBorders>
            <w:shd w:val="clear" w:color="auto" w:fill="EFEFEF"/>
          </w:tcPr>
          <w:p>
            <w:pPr>
              <w:pStyle w:val="TableParagraph"/>
              <w:spacing w:line="149" w:lineRule="exact"/>
              <w:ind w:left="65"/>
              <w:jc w:val="left"/>
              <w:rPr>
                <w:sz w:val="15"/>
              </w:rPr>
            </w:pPr>
            <w:r>
              <w:rPr>
                <w:sz w:val="15"/>
              </w:rPr>
              <w:t>-0,1</w:t>
            </w:r>
          </w:p>
        </w:tc>
        <w:tc>
          <w:tcPr>
            <w:tcW w:w="982" w:type="dxa"/>
            <w:tcBorders>
              <w:top w:val="nil"/>
              <w:left w:val="single" w:sz="4" w:space="0" w:color="000000"/>
              <w:bottom w:val="nil"/>
              <w:right w:val="single" w:sz="4" w:space="0" w:color="000000"/>
            </w:tcBorders>
            <w:shd w:val="clear" w:color="auto" w:fill="EFEFEF"/>
          </w:tcPr>
          <w:p>
            <w:pPr>
              <w:pStyle w:val="TableParagraph"/>
              <w:spacing w:line="149" w:lineRule="exact"/>
              <w:ind w:left="364"/>
              <w:jc w:val="left"/>
              <w:rPr>
                <w:sz w:val="15"/>
              </w:rPr>
            </w:pPr>
            <w:r>
              <w:rPr>
                <w:sz w:val="15"/>
              </w:rPr>
              <w:t>-0,1</w:t>
            </w:r>
          </w:p>
        </w:tc>
        <w:tc>
          <w:tcPr>
            <w:tcW w:w="602" w:type="dxa"/>
            <w:tcBorders>
              <w:top w:val="nil"/>
              <w:left w:val="single" w:sz="4" w:space="0" w:color="000000"/>
              <w:bottom w:val="nil"/>
              <w:right w:val="single" w:sz="4" w:space="0" w:color="000000"/>
            </w:tcBorders>
            <w:shd w:val="clear" w:color="auto" w:fill="EFEFEF"/>
          </w:tcPr>
          <w:p>
            <w:pPr>
              <w:pStyle w:val="TableParagraph"/>
              <w:spacing w:line="149" w:lineRule="exact"/>
              <w:ind w:left="111" w:right="101"/>
              <w:jc w:val="center"/>
              <w:rPr>
                <w:sz w:val="15"/>
              </w:rPr>
            </w:pPr>
            <w:r>
              <w:rPr>
                <w:sz w:val="15"/>
              </w:rPr>
              <w:t>-0,1</w:t>
            </w:r>
          </w:p>
        </w:tc>
      </w:tr>
      <w:tr>
        <w:trPr>
          <w:trHeight w:val="184" w:hRule="atLeast"/>
        </w:trPr>
        <w:tc>
          <w:tcPr>
            <w:tcW w:w="1856" w:type="dxa"/>
            <w:tcBorders>
              <w:top w:val="nil"/>
              <w:left w:val="single" w:sz="4" w:space="0" w:color="000000"/>
              <w:bottom w:val="single" w:sz="4" w:space="0" w:color="000000"/>
              <w:right w:val="dotted" w:sz="4" w:space="0" w:color="000000"/>
            </w:tcBorders>
            <w:shd w:val="clear" w:color="auto" w:fill="EFEFEF"/>
          </w:tcPr>
          <w:p>
            <w:pPr>
              <w:pStyle w:val="TableParagraph"/>
              <w:spacing w:line="165" w:lineRule="exact"/>
              <w:ind w:left="28"/>
              <w:jc w:val="left"/>
              <w:rPr>
                <w:sz w:val="15"/>
              </w:rPr>
            </w:pPr>
            <w:r>
              <w:rPr>
                <w:sz w:val="15"/>
              </w:rPr>
              <w:t>Deflatore consumi</w:t>
            </w:r>
          </w:p>
        </w:tc>
        <w:tc>
          <w:tcPr>
            <w:tcW w:w="411" w:type="dxa"/>
            <w:tcBorders>
              <w:top w:val="nil"/>
              <w:left w:val="dotted" w:sz="4" w:space="0" w:color="000000"/>
              <w:bottom w:val="single" w:sz="4" w:space="0" w:color="000000"/>
              <w:right w:val="dotted" w:sz="4" w:space="0" w:color="000000"/>
            </w:tcBorders>
            <w:shd w:val="clear" w:color="auto" w:fill="EFEFEF"/>
          </w:tcPr>
          <w:p>
            <w:pPr>
              <w:pStyle w:val="TableParagraph"/>
              <w:spacing w:line="165" w:lineRule="exact"/>
              <w:ind w:left="60" w:right="50"/>
              <w:jc w:val="center"/>
              <w:rPr>
                <w:sz w:val="15"/>
              </w:rPr>
            </w:pPr>
            <w:r>
              <w:rPr>
                <w:sz w:val="15"/>
              </w:rPr>
              <w:t>1,0</w:t>
            </w:r>
          </w:p>
        </w:tc>
        <w:tc>
          <w:tcPr>
            <w:tcW w:w="495" w:type="dxa"/>
            <w:tcBorders>
              <w:top w:val="nil"/>
              <w:left w:val="dotted" w:sz="4" w:space="0" w:color="000000"/>
              <w:bottom w:val="single" w:sz="4" w:space="0" w:color="000000"/>
              <w:right w:val="dotted" w:sz="4" w:space="0" w:color="000000"/>
            </w:tcBorders>
            <w:shd w:val="clear" w:color="auto" w:fill="EFEFEF"/>
          </w:tcPr>
          <w:p>
            <w:pPr>
              <w:pStyle w:val="TableParagraph"/>
              <w:spacing w:line="165" w:lineRule="exact"/>
              <w:ind w:left="135"/>
              <w:jc w:val="left"/>
              <w:rPr>
                <w:sz w:val="15"/>
              </w:rPr>
            </w:pPr>
            <w:r>
              <w:rPr>
                <w:sz w:val="15"/>
              </w:rPr>
              <w:t>0,8</w:t>
            </w:r>
          </w:p>
        </w:tc>
        <w:tc>
          <w:tcPr>
            <w:tcW w:w="394" w:type="dxa"/>
            <w:tcBorders>
              <w:top w:val="nil"/>
              <w:left w:val="dotted" w:sz="4" w:space="0" w:color="000000"/>
              <w:bottom w:val="single" w:sz="4" w:space="0" w:color="000000"/>
              <w:right w:val="single" w:sz="4" w:space="0" w:color="000000"/>
            </w:tcBorders>
            <w:shd w:val="clear" w:color="auto" w:fill="EFEFEF"/>
          </w:tcPr>
          <w:p>
            <w:pPr>
              <w:pStyle w:val="TableParagraph"/>
              <w:spacing w:line="165" w:lineRule="exact"/>
              <w:ind w:left="47" w:right="46"/>
              <w:jc w:val="center"/>
              <w:rPr>
                <w:sz w:val="15"/>
              </w:rPr>
            </w:pPr>
            <w:r>
              <w:rPr>
                <w:sz w:val="15"/>
              </w:rPr>
              <w:t>-0,2</w:t>
            </w:r>
          </w:p>
        </w:tc>
        <w:tc>
          <w:tcPr>
            <w:tcW w:w="1023" w:type="dxa"/>
            <w:tcBorders>
              <w:top w:val="nil"/>
              <w:left w:val="single" w:sz="4" w:space="0" w:color="000000"/>
              <w:bottom w:val="single" w:sz="4" w:space="0" w:color="000000"/>
              <w:right w:val="single" w:sz="4" w:space="0" w:color="000000"/>
            </w:tcBorders>
            <w:shd w:val="clear" w:color="auto" w:fill="EFEFEF"/>
          </w:tcPr>
          <w:p>
            <w:pPr>
              <w:pStyle w:val="TableParagraph"/>
              <w:spacing w:line="165" w:lineRule="exact"/>
              <w:ind w:left="319" w:right="314"/>
              <w:jc w:val="center"/>
              <w:rPr>
                <w:sz w:val="15"/>
              </w:rPr>
            </w:pPr>
            <w:r>
              <w:rPr>
                <w:sz w:val="15"/>
              </w:rPr>
              <w:t>-0,2</w:t>
            </w:r>
          </w:p>
        </w:tc>
        <w:tc>
          <w:tcPr>
            <w:tcW w:w="600" w:type="dxa"/>
            <w:tcBorders>
              <w:top w:val="nil"/>
              <w:left w:val="single" w:sz="4" w:space="0" w:color="000000"/>
              <w:bottom w:val="single" w:sz="4" w:space="0" w:color="000000"/>
              <w:right w:val="single" w:sz="4" w:space="0" w:color="000000"/>
            </w:tcBorders>
            <w:shd w:val="clear" w:color="auto" w:fill="EFEFEF"/>
          </w:tcPr>
          <w:p>
            <w:pPr>
              <w:pStyle w:val="TableParagraph"/>
              <w:spacing w:line="165" w:lineRule="exact"/>
              <w:ind w:left="107" w:right="102"/>
              <w:jc w:val="center"/>
              <w:rPr>
                <w:sz w:val="15"/>
              </w:rPr>
            </w:pPr>
            <w:r>
              <w:rPr>
                <w:sz w:val="15"/>
              </w:rPr>
              <w:t>0,0</w:t>
            </w:r>
          </w:p>
        </w:tc>
        <w:tc>
          <w:tcPr>
            <w:tcW w:w="410" w:type="dxa"/>
            <w:tcBorders>
              <w:top w:val="nil"/>
              <w:left w:val="single" w:sz="4" w:space="0" w:color="000000"/>
              <w:bottom w:val="single" w:sz="4" w:space="0" w:color="000000"/>
              <w:right w:val="dotted" w:sz="4" w:space="0" w:color="000000"/>
            </w:tcBorders>
            <w:shd w:val="clear" w:color="auto" w:fill="EFEFEF"/>
          </w:tcPr>
          <w:p>
            <w:pPr>
              <w:pStyle w:val="TableParagraph"/>
              <w:spacing w:line="165" w:lineRule="exact"/>
              <w:ind w:right="86"/>
              <w:rPr>
                <w:sz w:val="15"/>
              </w:rPr>
            </w:pPr>
            <w:r>
              <w:rPr>
                <w:sz w:val="15"/>
              </w:rPr>
              <w:t>2,3</w:t>
            </w:r>
          </w:p>
        </w:tc>
        <w:tc>
          <w:tcPr>
            <w:tcW w:w="494" w:type="dxa"/>
            <w:tcBorders>
              <w:top w:val="nil"/>
              <w:left w:val="dotted" w:sz="4" w:space="0" w:color="000000"/>
              <w:bottom w:val="single" w:sz="4" w:space="0" w:color="000000"/>
              <w:right w:val="dotted" w:sz="4" w:space="0" w:color="000000"/>
            </w:tcBorders>
            <w:shd w:val="clear" w:color="auto" w:fill="EFEFEF"/>
          </w:tcPr>
          <w:p>
            <w:pPr>
              <w:pStyle w:val="TableParagraph"/>
              <w:spacing w:line="165" w:lineRule="exact"/>
              <w:ind w:left="115" w:right="114"/>
              <w:jc w:val="center"/>
              <w:rPr>
                <w:sz w:val="15"/>
              </w:rPr>
            </w:pPr>
            <w:r>
              <w:rPr>
                <w:sz w:val="15"/>
              </w:rPr>
              <w:t>2,0</w:t>
            </w:r>
          </w:p>
        </w:tc>
        <w:tc>
          <w:tcPr>
            <w:tcW w:w="391" w:type="dxa"/>
            <w:tcBorders>
              <w:top w:val="nil"/>
              <w:left w:val="dotted" w:sz="4" w:space="0" w:color="000000"/>
              <w:bottom w:val="single" w:sz="4" w:space="0" w:color="000000"/>
              <w:right w:val="single" w:sz="4" w:space="0" w:color="000000"/>
            </w:tcBorders>
            <w:shd w:val="clear" w:color="auto" w:fill="EFEFEF"/>
          </w:tcPr>
          <w:p>
            <w:pPr>
              <w:pStyle w:val="TableParagraph"/>
              <w:spacing w:line="165" w:lineRule="exact"/>
              <w:ind w:left="65"/>
              <w:jc w:val="left"/>
              <w:rPr>
                <w:sz w:val="15"/>
              </w:rPr>
            </w:pPr>
            <w:r>
              <w:rPr>
                <w:sz w:val="15"/>
              </w:rPr>
              <w:t>-0,3</w:t>
            </w:r>
          </w:p>
        </w:tc>
        <w:tc>
          <w:tcPr>
            <w:tcW w:w="982" w:type="dxa"/>
            <w:tcBorders>
              <w:top w:val="nil"/>
              <w:left w:val="single" w:sz="4" w:space="0" w:color="000000"/>
              <w:bottom w:val="single" w:sz="4" w:space="0" w:color="000000"/>
              <w:right w:val="single" w:sz="4" w:space="0" w:color="000000"/>
            </w:tcBorders>
            <w:shd w:val="clear" w:color="auto" w:fill="EFEFEF"/>
          </w:tcPr>
          <w:p>
            <w:pPr>
              <w:pStyle w:val="TableParagraph"/>
              <w:spacing w:line="165" w:lineRule="exact"/>
              <w:ind w:left="364"/>
              <w:jc w:val="left"/>
              <w:rPr>
                <w:sz w:val="15"/>
              </w:rPr>
            </w:pPr>
            <w:r>
              <w:rPr>
                <w:sz w:val="15"/>
              </w:rPr>
              <w:t>-0,1</w:t>
            </w:r>
          </w:p>
        </w:tc>
        <w:tc>
          <w:tcPr>
            <w:tcW w:w="602" w:type="dxa"/>
            <w:tcBorders>
              <w:top w:val="nil"/>
              <w:left w:val="single" w:sz="4" w:space="0" w:color="000000"/>
              <w:bottom w:val="single" w:sz="4" w:space="0" w:color="000000"/>
              <w:right w:val="single" w:sz="4" w:space="0" w:color="000000"/>
            </w:tcBorders>
            <w:shd w:val="clear" w:color="auto" w:fill="EFEFEF"/>
          </w:tcPr>
          <w:p>
            <w:pPr>
              <w:pStyle w:val="TableParagraph"/>
              <w:spacing w:line="165" w:lineRule="exact"/>
              <w:ind w:left="111" w:right="101"/>
              <w:jc w:val="center"/>
              <w:rPr>
                <w:sz w:val="15"/>
              </w:rPr>
            </w:pPr>
            <w:r>
              <w:rPr>
                <w:sz w:val="15"/>
              </w:rPr>
              <w:t>-0,4</w:t>
            </w:r>
          </w:p>
        </w:tc>
      </w:tr>
    </w:tbl>
    <w:p>
      <w:pPr>
        <w:pStyle w:val="BodyText"/>
        <w:rPr>
          <w:rFonts w:ascii="Franklin Gothic Heavy"/>
          <w:b/>
          <w:sz w:val="18"/>
        </w:rPr>
      </w:pPr>
    </w:p>
    <w:p>
      <w:pPr>
        <w:pStyle w:val="BodyText"/>
        <w:spacing w:before="5"/>
        <w:rPr>
          <w:rFonts w:ascii="Franklin Gothic Heavy"/>
          <w:b/>
          <w:sz w:val="14"/>
        </w:rPr>
      </w:pPr>
    </w:p>
    <w:p>
      <w:pPr>
        <w:spacing w:line="254" w:lineRule="auto" w:before="0"/>
        <w:ind w:left="1632" w:right="1420" w:firstLine="0"/>
        <w:jc w:val="both"/>
        <w:rPr>
          <w:rFonts w:ascii="Franklin Gothic Book" w:hAnsi="Franklin Gothic Book"/>
          <w:sz w:val="20"/>
        </w:rPr>
      </w:pPr>
      <w:r>
        <w:rPr>
          <w:rFonts w:ascii="Franklin Gothic Book" w:hAnsi="Franklin Gothic Book"/>
          <w:sz w:val="20"/>
        </w:rPr>
        <w:t>Nel</w:t>
      </w:r>
      <w:r>
        <w:rPr>
          <w:rFonts w:ascii="Franklin Gothic Book" w:hAnsi="Franklin Gothic Book"/>
          <w:spacing w:val="-10"/>
          <w:sz w:val="20"/>
        </w:rPr>
        <w:t> </w:t>
      </w:r>
      <w:r>
        <w:rPr>
          <w:rFonts w:ascii="Franklin Gothic Book" w:hAnsi="Franklin Gothic Book"/>
          <w:sz w:val="20"/>
        </w:rPr>
        <w:t>biennio</w:t>
      </w:r>
      <w:r>
        <w:rPr>
          <w:rFonts w:ascii="Franklin Gothic Book" w:hAnsi="Franklin Gothic Book"/>
          <w:spacing w:val="-9"/>
          <w:sz w:val="20"/>
        </w:rPr>
        <w:t> </w:t>
      </w:r>
      <w:r>
        <w:rPr>
          <w:rFonts w:ascii="Franklin Gothic Book" w:hAnsi="Franklin Gothic Book"/>
          <w:sz w:val="20"/>
        </w:rPr>
        <w:t>2019</w:t>
      </w:r>
      <w:r>
        <w:rPr>
          <w:rFonts w:ascii="Franklin Gothic Book" w:hAnsi="Franklin Gothic Book"/>
          <w:spacing w:val="-7"/>
          <w:sz w:val="20"/>
        </w:rPr>
        <w:t> </w:t>
      </w:r>
      <w:r>
        <w:rPr>
          <w:rFonts w:ascii="Franklin Gothic Book" w:hAnsi="Franklin Gothic Book"/>
          <w:sz w:val="20"/>
        </w:rPr>
        <w:t>–</w:t>
      </w:r>
      <w:r>
        <w:rPr>
          <w:rFonts w:ascii="Franklin Gothic Book" w:hAnsi="Franklin Gothic Book"/>
          <w:spacing w:val="-9"/>
          <w:sz w:val="20"/>
        </w:rPr>
        <w:t> </w:t>
      </w:r>
      <w:r>
        <w:rPr>
          <w:rFonts w:ascii="Franklin Gothic Book" w:hAnsi="Franklin Gothic Book"/>
          <w:sz w:val="20"/>
        </w:rPr>
        <w:t>2020,</w:t>
      </w:r>
      <w:r>
        <w:rPr>
          <w:rFonts w:ascii="Franklin Gothic Book" w:hAnsi="Franklin Gothic Book"/>
          <w:spacing w:val="-9"/>
          <w:sz w:val="20"/>
        </w:rPr>
        <w:t> </w:t>
      </w:r>
      <w:r>
        <w:rPr>
          <w:rFonts w:ascii="Franklin Gothic Book" w:hAnsi="Franklin Gothic Book"/>
          <w:sz w:val="20"/>
        </w:rPr>
        <w:t>l’impatto</w:t>
      </w:r>
      <w:r>
        <w:rPr>
          <w:rFonts w:ascii="Franklin Gothic Book" w:hAnsi="Franklin Gothic Book"/>
          <w:spacing w:val="-9"/>
          <w:sz w:val="20"/>
        </w:rPr>
        <w:t> </w:t>
      </w:r>
      <w:r>
        <w:rPr>
          <w:rFonts w:ascii="Franklin Gothic Book" w:hAnsi="Franklin Gothic Book"/>
          <w:sz w:val="20"/>
        </w:rPr>
        <w:t>delle</w:t>
      </w:r>
      <w:r>
        <w:rPr>
          <w:rFonts w:ascii="Franklin Gothic Book" w:hAnsi="Franklin Gothic Book"/>
          <w:spacing w:val="-8"/>
          <w:sz w:val="20"/>
        </w:rPr>
        <w:t> </w:t>
      </w:r>
      <w:r>
        <w:rPr>
          <w:rFonts w:ascii="Franklin Gothic Book" w:hAnsi="Franklin Gothic Book"/>
          <w:sz w:val="20"/>
        </w:rPr>
        <w:t>esogene</w:t>
      </w:r>
      <w:r>
        <w:rPr>
          <w:rFonts w:ascii="Franklin Gothic Book" w:hAnsi="Franklin Gothic Book"/>
          <w:spacing w:val="-10"/>
          <w:sz w:val="20"/>
        </w:rPr>
        <w:t> </w:t>
      </w:r>
      <w:r>
        <w:rPr>
          <w:rFonts w:ascii="Franklin Gothic Book" w:hAnsi="Franklin Gothic Book"/>
          <w:sz w:val="20"/>
        </w:rPr>
        <w:t>sul</w:t>
      </w:r>
      <w:r>
        <w:rPr>
          <w:rFonts w:ascii="Franklin Gothic Book" w:hAnsi="Franklin Gothic Book"/>
          <w:spacing w:val="-7"/>
          <w:sz w:val="20"/>
        </w:rPr>
        <w:t> </w:t>
      </w:r>
      <w:r>
        <w:rPr>
          <w:rFonts w:ascii="Franklin Gothic Book" w:hAnsi="Franklin Gothic Book"/>
          <w:sz w:val="20"/>
        </w:rPr>
        <w:t>PIL</w:t>
      </w:r>
      <w:r>
        <w:rPr>
          <w:rFonts w:ascii="Franklin Gothic Book" w:hAnsi="Franklin Gothic Book"/>
          <w:spacing w:val="-6"/>
          <w:sz w:val="20"/>
        </w:rPr>
        <w:t> </w:t>
      </w:r>
      <w:r>
        <w:rPr>
          <w:rFonts w:ascii="Franklin Gothic Book" w:hAnsi="Franklin Gothic Book"/>
          <w:sz w:val="20"/>
        </w:rPr>
        <w:t>è</w:t>
      </w:r>
      <w:r>
        <w:rPr>
          <w:rFonts w:ascii="Franklin Gothic Book" w:hAnsi="Franklin Gothic Book"/>
          <w:spacing w:val="-9"/>
          <w:sz w:val="20"/>
        </w:rPr>
        <w:t> </w:t>
      </w:r>
      <w:r>
        <w:rPr>
          <w:rFonts w:ascii="Franklin Gothic Book" w:hAnsi="Franklin Gothic Book"/>
          <w:sz w:val="20"/>
        </w:rPr>
        <w:t>sostanzialmente</w:t>
      </w:r>
      <w:r>
        <w:rPr>
          <w:rFonts w:ascii="Franklin Gothic Book" w:hAnsi="Franklin Gothic Book"/>
          <w:spacing w:val="-7"/>
          <w:sz w:val="20"/>
        </w:rPr>
        <w:t> </w:t>
      </w:r>
      <w:r>
        <w:rPr>
          <w:rFonts w:ascii="Franklin Gothic Book" w:hAnsi="Franklin Gothic Book"/>
          <w:sz w:val="20"/>
        </w:rPr>
        <w:t>nullo</w:t>
      </w:r>
      <w:r>
        <w:rPr>
          <w:rFonts w:ascii="Franklin Gothic Book" w:hAnsi="Franklin Gothic Book"/>
          <w:spacing w:val="-8"/>
          <w:sz w:val="20"/>
        </w:rPr>
        <w:t> </w:t>
      </w:r>
      <w:r>
        <w:rPr>
          <w:rFonts w:ascii="Franklin Gothic Book" w:hAnsi="Franklin Gothic Book"/>
          <w:sz w:val="20"/>
        </w:rPr>
        <w:t>ma</w:t>
      </w:r>
      <w:r>
        <w:rPr>
          <w:rFonts w:ascii="Franklin Gothic Book" w:hAnsi="Franklin Gothic Book"/>
          <w:spacing w:val="-9"/>
          <w:sz w:val="20"/>
        </w:rPr>
        <w:t> </w:t>
      </w:r>
      <w:r>
        <w:rPr>
          <w:rFonts w:ascii="Franklin Gothic Book" w:hAnsi="Franklin Gothic Book"/>
          <w:sz w:val="20"/>
        </w:rPr>
        <w:t>i</w:t>
      </w:r>
      <w:r>
        <w:rPr>
          <w:rFonts w:ascii="Franklin Gothic Book" w:hAnsi="Franklin Gothic Book"/>
          <w:spacing w:val="-7"/>
          <w:sz w:val="20"/>
        </w:rPr>
        <w:t> </w:t>
      </w:r>
      <w:r>
        <w:rPr>
          <w:rFonts w:ascii="Franklin Gothic Book" w:hAnsi="Franklin Gothic Book"/>
          <w:sz w:val="20"/>
        </w:rPr>
        <w:t>rischi sono orientati al ribasso per le possibili ripercussioni derivanti dall’inasprimento delle tensioni commerciali tra USA e Cina, dagli sviluppi sulla Brexit e da possibili cambiamenti di aspettative dei mercati</w:t>
      </w:r>
      <w:r>
        <w:rPr>
          <w:rFonts w:ascii="Franklin Gothic Book" w:hAnsi="Franklin Gothic Book"/>
          <w:spacing w:val="-3"/>
          <w:sz w:val="20"/>
        </w:rPr>
        <w:t> </w:t>
      </w:r>
      <w:r>
        <w:rPr>
          <w:rFonts w:ascii="Franklin Gothic Book" w:hAnsi="Franklin Gothic Book"/>
          <w:sz w:val="20"/>
        </w:rPr>
        <w:t>finanziari.</w:t>
      </w:r>
    </w:p>
    <w:p>
      <w:pPr>
        <w:spacing w:line="254" w:lineRule="auto" w:before="59"/>
        <w:ind w:left="1632" w:right="1417" w:firstLine="0"/>
        <w:jc w:val="both"/>
        <w:rPr>
          <w:rFonts w:ascii="Franklin Gothic Book" w:hAnsi="Franklin Gothic Book"/>
          <w:sz w:val="20"/>
        </w:rPr>
      </w:pPr>
      <w:r>
        <w:rPr>
          <w:rFonts w:ascii="Franklin Gothic Book" w:hAnsi="Franklin Gothic Book"/>
          <w:sz w:val="20"/>
        </w:rPr>
        <w:t>Per</w:t>
      </w:r>
      <w:r>
        <w:rPr>
          <w:rFonts w:ascii="Franklin Gothic Book" w:hAnsi="Franklin Gothic Book"/>
          <w:spacing w:val="-12"/>
          <w:sz w:val="20"/>
        </w:rPr>
        <w:t> </w:t>
      </w:r>
      <w:r>
        <w:rPr>
          <w:rFonts w:ascii="Franklin Gothic Book" w:hAnsi="Franklin Gothic Book"/>
          <w:sz w:val="20"/>
        </w:rPr>
        <w:t>il</w:t>
      </w:r>
      <w:r>
        <w:rPr>
          <w:rFonts w:ascii="Franklin Gothic Book" w:hAnsi="Franklin Gothic Book"/>
          <w:spacing w:val="-13"/>
          <w:sz w:val="20"/>
        </w:rPr>
        <w:t> </w:t>
      </w:r>
      <w:r>
        <w:rPr>
          <w:rFonts w:ascii="Franklin Gothic Book" w:hAnsi="Franklin Gothic Book"/>
          <w:sz w:val="20"/>
        </w:rPr>
        <w:t>2021</w:t>
      </w:r>
      <w:r>
        <w:rPr>
          <w:rFonts w:ascii="Franklin Gothic Book" w:hAnsi="Franklin Gothic Book"/>
          <w:spacing w:val="-12"/>
          <w:sz w:val="20"/>
        </w:rPr>
        <w:t> </w:t>
      </w:r>
      <w:r>
        <w:rPr>
          <w:rFonts w:ascii="Franklin Gothic Book" w:hAnsi="Franklin Gothic Book"/>
          <w:sz w:val="20"/>
        </w:rPr>
        <w:t>e</w:t>
      </w:r>
      <w:r>
        <w:rPr>
          <w:rFonts w:ascii="Franklin Gothic Book" w:hAnsi="Franklin Gothic Book"/>
          <w:spacing w:val="-12"/>
          <w:sz w:val="20"/>
        </w:rPr>
        <w:t> </w:t>
      </w:r>
      <w:r>
        <w:rPr>
          <w:rFonts w:ascii="Franklin Gothic Book" w:hAnsi="Franklin Gothic Book"/>
          <w:sz w:val="20"/>
        </w:rPr>
        <w:t>2022</w:t>
      </w:r>
      <w:r>
        <w:rPr>
          <w:rFonts w:ascii="Franklin Gothic Book" w:hAnsi="Franklin Gothic Book"/>
          <w:spacing w:val="-12"/>
          <w:sz w:val="20"/>
        </w:rPr>
        <w:t> </w:t>
      </w:r>
      <w:r>
        <w:rPr>
          <w:rFonts w:ascii="Franklin Gothic Book" w:hAnsi="Franklin Gothic Book"/>
          <w:sz w:val="20"/>
        </w:rPr>
        <w:t>l’impatto</w:t>
      </w:r>
      <w:r>
        <w:rPr>
          <w:rFonts w:ascii="Franklin Gothic Book" w:hAnsi="Franklin Gothic Book"/>
          <w:spacing w:val="-13"/>
          <w:sz w:val="20"/>
        </w:rPr>
        <w:t> </w:t>
      </w:r>
      <w:r>
        <w:rPr>
          <w:rFonts w:ascii="Franklin Gothic Book" w:hAnsi="Franklin Gothic Book"/>
          <w:sz w:val="20"/>
        </w:rPr>
        <w:t>sull’attività</w:t>
      </w:r>
      <w:r>
        <w:rPr>
          <w:rFonts w:ascii="Franklin Gothic Book" w:hAnsi="Franklin Gothic Book"/>
          <w:spacing w:val="-12"/>
          <w:sz w:val="20"/>
        </w:rPr>
        <w:t> </w:t>
      </w:r>
      <w:r>
        <w:rPr>
          <w:rFonts w:ascii="Franklin Gothic Book" w:hAnsi="Franklin Gothic Book"/>
          <w:sz w:val="20"/>
        </w:rPr>
        <w:t>economica</w:t>
      </w:r>
      <w:r>
        <w:rPr>
          <w:rFonts w:ascii="Franklin Gothic Book" w:hAnsi="Franklin Gothic Book"/>
          <w:spacing w:val="-12"/>
          <w:sz w:val="20"/>
        </w:rPr>
        <w:t> </w:t>
      </w:r>
      <w:r>
        <w:rPr>
          <w:rFonts w:ascii="Franklin Gothic Book" w:hAnsi="Franklin Gothic Book"/>
          <w:sz w:val="20"/>
        </w:rPr>
        <w:t>è</w:t>
      </w:r>
      <w:r>
        <w:rPr>
          <w:rFonts w:ascii="Franklin Gothic Book" w:hAnsi="Franklin Gothic Book"/>
          <w:spacing w:val="-12"/>
          <w:sz w:val="20"/>
        </w:rPr>
        <w:t> </w:t>
      </w:r>
      <w:r>
        <w:rPr>
          <w:rFonts w:ascii="Franklin Gothic Book" w:hAnsi="Franklin Gothic Book"/>
          <w:sz w:val="20"/>
        </w:rPr>
        <w:t>sensibilmente</w:t>
      </w:r>
      <w:r>
        <w:rPr>
          <w:rFonts w:ascii="Franklin Gothic Book" w:hAnsi="Franklin Gothic Book"/>
          <w:spacing w:val="-13"/>
          <w:sz w:val="20"/>
        </w:rPr>
        <w:t> </w:t>
      </w:r>
      <w:r>
        <w:rPr>
          <w:rFonts w:ascii="Franklin Gothic Book" w:hAnsi="Franklin Gothic Book"/>
          <w:sz w:val="20"/>
        </w:rPr>
        <w:t>migliore</w:t>
      </w:r>
      <w:r>
        <w:rPr>
          <w:rFonts w:ascii="Franklin Gothic Book" w:hAnsi="Franklin Gothic Book"/>
          <w:spacing w:val="-13"/>
          <w:sz w:val="20"/>
        </w:rPr>
        <w:t> </w:t>
      </w:r>
      <w:r>
        <w:rPr>
          <w:rFonts w:ascii="Franklin Gothic Book" w:hAnsi="Franklin Gothic Book"/>
          <w:sz w:val="20"/>
        </w:rPr>
        <w:t>(poco</w:t>
      </w:r>
      <w:r>
        <w:rPr>
          <w:rFonts w:ascii="Franklin Gothic Book" w:hAnsi="Franklin Gothic Book"/>
          <w:spacing w:val="-11"/>
          <w:sz w:val="20"/>
        </w:rPr>
        <w:t> </w:t>
      </w:r>
      <w:r>
        <w:rPr>
          <w:rFonts w:ascii="Franklin Gothic Book" w:hAnsi="Franklin Gothic Book"/>
          <w:sz w:val="20"/>
        </w:rPr>
        <w:t>superiore al</w:t>
      </w:r>
      <w:r>
        <w:rPr>
          <w:rFonts w:ascii="Franklin Gothic Book" w:hAnsi="Franklin Gothic Book"/>
          <w:spacing w:val="-9"/>
          <w:sz w:val="20"/>
        </w:rPr>
        <w:t> </w:t>
      </w:r>
      <w:r>
        <w:rPr>
          <w:rFonts w:ascii="Franklin Gothic Book" w:hAnsi="Franklin Gothic Book"/>
          <w:sz w:val="20"/>
        </w:rPr>
        <w:t>mezzo</w:t>
      </w:r>
      <w:r>
        <w:rPr>
          <w:rFonts w:ascii="Franklin Gothic Book" w:hAnsi="Franklin Gothic Book"/>
          <w:spacing w:val="-10"/>
          <w:sz w:val="20"/>
        </w:rPr>
        <w:t> </w:t>
      </w:r>
      <w:r>
        <w:rPr>
          <w:rFonts w:ascii="Franklin Gothic Book" w:hAnsi="Franklin Gothic Book"/>
          <w:sz w:val="20"/>
        </w:rPr>
        <w:t>punto</w:t>
      </w:r>
      <w:r>
        <w:rPr>
          <w:rFonts w:ascii="Franklin Gothic Book" w:hAnsi="Franklin Gothic Book"/>
          <w:spacing w:val="-9"/>
          <w:sz w:val="20"/>
        </w:rPr>
        <w:t> </w:t>
      </w:r>
      <w:r>
        <w:rPr>
          <w:rFonts w:ascii="Franklin Gothic Book" w:hAnsi="Franklin Gothic Book"/>
          <w:sz w:val="20"/>
        </w:rPr>
        <w:t>percentuale)</w:t>
      </w:r>
      <w:r>
        <w:rPr>
          <w:rFonts w:ascii="Franklin Gothic Book" w:hAnsi="Franklin Gothic Book"/>
          <w:spacing w:val="-10"/>
          <w:sz w:val="20"/>
        </w:rPr>
        <w:t> </w:t>
      </w:r>
      <w:r>
        <w:rPr>
          <w:rFonts w:ascii="Franklin Gothic Book" w:hAnsi="Franklin Gothic Book"/>
          <w:sz w:val="20"/>
        </w:rPr>
        <w:t>ma</w:t>
      </w:r>
      <w:r>
        <w:rPr>
          <w:rFonts w:ascii="Franklin Gothic Book" w:hAnsi="Franklin Gothic Book"/>
          <w:spacing w:val="-9"/>
          <w:sz w:val="20"/>
        </w:rPr>
        <w:t> </w:t>
      </w:r>
      <w:r>
        <w:rPr>
          <w:rFonts w:ascii="Franklin Gothic Book" w:hAnsi="Franklin Gothic Book"/>
          <w:sz w:val="20"/>
        </w:rPr>
        <w:t>per</w:t>
      </w:r>
      <w:r>
        <w:rPr>
          <w:rFonts w:ascii="Franklin Gothic Book" w:hAnsi="Franklin Gothic Book"/>
          <w:spacing w:val="-11"/>
          <w:sz w:val="20"/>
        </w:rPr>
        <w:t> </w:t>
      </w:r>
      <w:r>
        <w:rPr>
          <w:rFonts w:ascii="Franklin Gothic Book" w:hAnsi="Franklin Gothic Book"/>
          <w:sz w:val="20"/>
        </w:rPr>
        <w:t>ragioni</w:t>
      </w:r>
      <w:r>
        <w:rPr>
          <w:rFonts w:ascii="Franklin Gothic Book" w:hAnsi="Franklin Gothic Book"/>
          <w:spacing w:val="-9"/>
          <w:sz w:val="20"/>
        </w:rPr>
        <w:t> </w:t>
      </w:r>
      <w:r>
        <w:rPr>
          <w:rFonts w:ascii="Franklin Gothic Book" w:hAnsi="Franklin Gothic Book"/>
          <w:sz w:val="20"/>
        </w:rPr>
        <w:t>di</w:t>
      </w:r>
      <w:r>
        <w:rPr>
          <w:rFonts w:ascii="Franklin Gothic Book" w:hAnsi="Franklin Gothic Book"/>
          <w:spacing w:val="-9"/>
          <w:sz w:val="20"/>
        </w:rPr>
        <w:t> </w:t>
      </w:r>
      <w:r>
        <w:rPr>
          <w:rFonts w:ascii="Franklin Gothic Book" w:hAnsi="Franklin Gothic Book"/>
          <w:sz w:val="20"/>
        </w:rPr>
        <w:t>cautela</w:t>
      </w:r>
      <w:r>
        <w:rPr>
          <w:rFonts w:ascii="Franklin Gothic Book" w:hAnsi="Franklin Gothic Book"/>
          <w:spacing w:val="-9"/>
          <w:sz w:val="20"/>
        </w:rPr>
        <w:t> </w:t>
      </w:r>
      <w:r>
        <w:rPr>
          <w:rFonts w:ascii="Franklin Gothic Book" w:hAnsi="Franklin Gothic Book"/>
          <w:sz w:val="20"/>
        </w:rPr>
        <w:t>è</w:t>
      </w:r>
      <w:r>
        <w:rPr>
          <w:rFonts w:ascii="Franklin Gothic Book" w:hAnsi="Franklin Gothic Book"/>
          <w:spacing w:val="-10"/>
          <w:sz w:val="20"/>
        </w:rPr>
        <w:t> </w:t>
      </w:r>
      <w:r>
        <w:rPr>
          <w:rFonts w:ascii="Franklin Gothic Book" w:hAnsi="Franklin Gothic Book"/>
          <w:sz w:val="20"/>
        </w:rPr>
        <w:t>stato</w:t>
      </w:r>
      <w:r>
        <w:rPr>
          <w:rFonts w:ascii="Franklin Gothic Book" w:hAnsi="Franklin Gothic Book"/>
          <w:spacing w:val="-9"/>
          <w:sz w:val="20"/>
        </w:rPr>
        <w:t> </w:t>
      </w:r>
      <w:r>
        <w:rPr>
          <w:rFonts w:ascii="Franklin Gothic Book" w:hAnsi="Franklin Gothic Book"/>
          <w:sz w:val="20"/>
        </w:rPr>
        <w:t>attenuato</w:t>
      </w:r>
      <w:r>
        <w:rPr>
          <w:rFonts w:ascii="Franklin Gothic Book" w:hAnsi="Franklin Gothic Book"/>
          <w:spacing w:val="-9"/>
          <w:sz w:val="20"/>
        </w:rPr>
        <w:t> </w:t>
      </w:r>
      <w:r>
        <w:rPr>
          <w:rFonts w:ascii="Franklin Gothic Book" w:hAnsi="Franklin Gothic Book"/>
          <w:sz w:val="20"/>
        </w:rPr>
        <w:t>nelle</w:t>
      </w:r>
      <w:r>
        <w:rPr>
          <w:rFonts w:ascii="Franklin Gothic Book" w:hAnsi="Franklin Gothic Book"/>
          <w:spacing w:val="-10"/>
          <w:sz w:val="20"/>
        </w:rPr>
        <w:t> </w:t>
      </w:r>
      <w:r>
        <w:rPr>
          <w:rFonts w:ascii="Franklin Gothic Book" w:hAnsi="Franklin Gothic Book"/>
          <w:sz w:val="20"/>
        </w:rPr>
        <w:t>previsioni</w:t>
      </w:r>
      <w:r>
        <w:rPr>
          <w:rFonts w:ascii="Franklin Gothic Book" w:hAnsi="Franklin Gothic Book"/>
          <w:spacing w:val="-7"/>
          <w:sz w:val="20"/>
        </w:rPr>
        <w:t> </w:t>
      </w:r>
      <w:r>
        <w:rPr>
          <w:rFonts w:ascii="Franklin Gothic Book" w:hAnsi="Franklin Gothic Book"/>
          <w:sz w:val="20"/>
        </w:rPr>
        <w:t>dello scenario tendenziale della NADEF sulla base della considerazione che il maggior impulso delle esogene proviene dalla variabile potenzialmente più volatile, ovvero l’andamento dei mercati finanziari, mentre permangono rischi al ribasso relativamente all’andamento previsto della crescita a livello</w:t>
      </w:r>
      <w:r>
        <w:rPr>
          <w:rFonts w:ascii="Franklin Gothic Book" w:hAnsi="Franklin Gothic Book"/>
          <w:spacing w:val="-4"/>
          <w:sz w:val="20"/>
        </w:rPr>
        <w:t> </w:t>
      </w:r>
      <w:r>
        <w:rPr>
          <w:rFonts w:ascii="Franklin Gothic Book" w:hAnsi="Franklin Gothic Book"/>
          <w:sz w:val="20"/>
        </w:rPr>
        <w:t>internazionale.</w:t>
      </w:r>
    </w:p>
    <w:p>
      <w:pPr>
        <w:pStyle w:val="BodyText"/>
        <w:spacing w:before="5" w:after="1"/>
        <w:rPr>
          <w:rFonts w:ascii="Franklin Gothic Book"/>
          <w:sz w:val="25"/>
        </w:rPr>
      </w:pPr>
    </w:p>
    <w:tbl>
      <w:tblPr>
        <w:tblW w:w="0" w:type="auto"/>
        <w:jc w:val="left"/>
        <w:tblInd w:w="1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27"/>
        <w:gridCol w:w="727"/>
        <w:gridCol w:w="906"/>
        <w:gridCol w:w="905"/>
        <w:gridCol w:w="851"/>
      </w:tblGrid>
      <w:tr>
        <w:trPr>
          <w:trHeight w:val="424" w:hRule="atLeast"/>
        </w:trPr>
        <w:tc>
          <w:tcPr>
            <w:tcW w:w="7716" w:type="dxa"/>
            <w:gridSpan w:val="5"/>
            <w:shd w:val="clear" w:color="auto" w:fill="086D44"/>
          </w:tcPr>
          <w:p>
            <w:pPr>
              <w:pStyle w:val="TableParagraph"/>
              <w:spacing w:line="186" w:lineRule="exact" w:before="31"/>
              <w:ind w:left="98"/>
              <w:jc w:val="left"/>
              <w:rPr>
                <w:rFonts w:ascii="Franklin Gothic Heavy"/>
                <w:b/>
                <w:sz w:val="17"/>
              </w:rPr>
            </w:pPr>
            <w:r>
              <w:rPr>
                <w:rFonts w:ascii="Franklin Gothic Heavy"/>
                <w:b/>
                <w:color w:val="EFEFEF"/>
                <w:sz w:val="17"/>
              </w:rPr>
              <w:t>TAVOLA R2: EFFETTI SUL PIL DELLO SCENARIO INTERNAZIONALE RISPETTO ALLO SCENARIO DEL</w:t>
            </w:r>
          </w:p>
          <w:p>
            <w:pPr>
              <w:pStyle w:val="TableParagraph"/>
              <w:spacing w:line="186" w:lineRule="exact"/>
              <w:ind w:left="98"/>
              <w:jc w:val="left"/>
              <w:rPr>
                <w:rFonts w:ascii="Franklin Gothic Heavy"/>
                <w:b/>
                <w:sz w:val="17"/>
              </w:rPr>
            </w:pPr>
            <w:r>
              <w:rPr>
                <w:rFonts w:ascii="Franklin Gothic Heavy"/>
                <w:b/>
                <w:color w:val="EFEFEF"/>
                <w:sz w:val="17"/>
              </w:rPr>
              <w:t>DEF 19 (impatto sui tassi di crescita)</w:t>
            </w:r>
          </w:p>
        </w:tc>
      </w:tr>
      <w:tr>
        <w:trPr>
          <w:trHeight w:val="197" w:hRule="atLeast"/>
        </w:trPr>
        <w:tc>
          <w:tcPr>
            <w:tcW w:w="4327" w:type="dxa"/>
            <w:tcBorders>
              <w:bottom w:val="single" w:sz="2" w:space="0" w:color="000000"/>
            </w:tcBorders>
            <w:shd w:val="clear" w:color="auto" w:fill="EFEFEF"/>
          </w:tcPr>
          <w:p>
            <w:pPr>
              <w:pStyle w:val="TableParagraph"/>
              <w:jc w:val="left"/>
              <w:rPr>
                <w:rFonts w:ascii="Times New Roman"/>
                <w:sz w:val="12"/>
              </w:rPr>
            </w:pPr>
          </w:p>
        </w:tc>
        <w:tc>
          <w:tcPr>
            <w:tcW w:w="727" w:type="dxa"/>
            <w:tcBorders>
              <w:bottom w:val="single" w:sz="2" w:space="0" w:color="000000"/>
            </w:tcBorders>
            <w:shd w:val="clear" w:color="auto" w:fill="EFEFEF"/>
          </w:tcPr>
          <w:p>
            <w:pPr>
              <w:pStyle w:val="TableParagraph"/>
              <w:spacing w:line="160" w:lineRule="exact"/>
              <w:ind w:left="85"/>
              <w:jc w:val="left"/>
              <w:rPr>
                <w:sz w:val="16"/>
              </w:rPr>
            </w:pPr>
            <w:r>
              <w:rPr>
                <w:sz w:val="16"/>
              </w:rPr>
              <w:t>2019</w:t>
            </w:r>
          </w:p>
        </w:tc>
        <w:tc>
          <w:tcPr>
            <w:tcW w:w="906" w:type="dxa"/>
            <w:tcBorders>
              <w:bottom w:val="single" w:sz="2" w:space="0" w:color="000000"/>
            </w:tcBorders>
            <w:shd w:val="clear" w:color="auto" w:fill="EFEFEF"/>
          </w:tcPr>
          <w:p>
            <w:pPr>
              <w:pStyle w:val="TableParagraph"/>
              <w:spacing w:line="160" w:lineRule="exact"/>
              <w:ind w:left="265"/>
              <w:jc w:val="left"/>
              <w:rPr>
                <w:sz w:val="16"/>
              </w:rPr>
            </w:pPr>
            <w:r>
              <w:rPr>
                <w:sz w:val="16"/>
              </w:rPr>
              <w:t>2020</w:t>
            </w:r>
          </w:p>
        </w:tc>
        <w:tc>
          <w:tcPr>
            <w:tcW w:w="905" w:type="dxa"/>
            <w:tcBorders>
              <w:bottom w:val="single" w:sz="2" w:space="0" w:color="000000"/>
            </w:tcBorders>
            <w:shd w:val="clear" w:color="auto" w:fill="EFEFEF"/>
          </w:tcPr>
          <w:p>
            <w:pPr>
              <w:pStyle w:val="TableParagraph"/>
              <w:spacing w:line="160" w:lineRule="exact"/>
              <w:ind w:left="245" w:right="244"/>
              <w:jc w:val="center"/>
              <w:rPr>
                <w:sz w:val="16"/>
              </w:rPr>
            </w:pPr>
            <w:r>
              <w:rPr>
                <w:sz w:val="16"/>
              </w:rPr>
              <w:t>2021</w:t>
            </w:r>
          </w:p>
        </w:tc>
        <w:tc>
          <w:tcPr>
            <w:tcW w:w="851" w:type="dxa"/>
            <w:tcBorders>
              <w:bottom w:val="single" w:sz="2" w:space="0" w:color="000000"/>
            </w:tcBorders>
            <w:shd w:val="clear" w:color="auto" w:fill="EFEFEF"/>
          </w:tcPr>
          <w:p>
            <w:pPr>
              <w:pStyle w:val="TableParagraph"/>
              <w:spacing w:line="160" w:lineRule="exact"/>
              <w:ind w:right="207"/>
              <w:rPr>
                <w:sz w:val="16"/>
              </w:rPr>
            </w:pPr>
            <w:r>
              <w:rPr>
                <w:sz w:val="16"/>
              </w:rPr>
              <w:t>2022</w:t>
            </w:r>
          </w:p>
        </w:tc>
      </w:tr>
      <w:tr>
        <w:trPr>
          <w:trHeight w:val="211" w:hRule="atLeast"/>
        </w:trPr>
        <w:tc>
          <w:tcPr>
            <w:tcW w:w="4327" w:type="dxa"/>
            <w:tcBorders>
              <w:top w:val="single" w:sz="2" w:space="0" w:color="000000"/>
            </w:tcBorders>
            <w:shd w:val="clear" w:color="auto" w:fill="EFEFEF"/>
          </w:tcPr>
          <w:p>
            <w:pPr>
              <w:pStyle w:val="TableParagraph"/>
              <w:spacing w:line="189" w:lineRule="exact" w:before="2"/>
              <w:ind w:left="69"/>
              <w:jc w:val="left"/>
              <w:rPr>
                <w:sz w:val="17"/>
              </w:rPr>
            </w:pPr>
            <w:r>
              <w:rPr>
                <w:sz w:val="17"/>
              </w:rPr>
              <w:t>1. Commercio mondiale</w:t>
            </w:r>
          </w:p>
        </w:tc>
        <w:tc>
          <w:tcPr>
            <w:tcW w:w="727" w:type="dxa"/>
            <w:tcBorders>
              <w:top w:val="single" w:sz="2" w:space="0" w:color="000000"/>
            </w:tcBorders>
            <w:shd w:val="clear" w:color="auto" w:fill="EFEFEF"/>
          </w:tcPr>
          <w:p>
            <w:pPr>
              <w:pStyle w:val="TableParagraph"/>
              <w:spacing w:line="189" w:lineRule="exact" w:before="2"/>
              <w:ind w:left="130"/>
              <w:jc w:val="left"/>
              <w:rPr>
                <w:sz w:val="17"/>
              </w:rPr>
            </w:pPr>
            <w:r>
              <w:rPr>
                <w:sz w:val="17"/>
              </w:rPr>
              <w:t>-0,1</w:t>
            </w:r>
          </w:p>
        </w:tc>
        <w:tc>
          <w:tcPr>
            <w:tcW w:w="906" w:type="dxa"/>
            <w:tcBorders>
              <w:top w:val="single" w:sz="2" w:space="0" w:color="000000"/>
            </w:tcBorders>
            <w:shd w:val="clear" w:color="auto" w:fill="EFEFEF"/>
          </w:tcPr>
          <w:p>
            <w:pPr>
              <w:pStyle w:val="TableParagraph"/>
              <w:spacing w:line="189" w:lineRule="exact" w:before="2"/>
              <w:ind w:left="310"/>
              <w:jc w:val="left"/>
              <w:rPr>
                <w:sz w:val="17"/>
              </w:rPr>
            </w:pPr>
            <w:r>
              <w:rPr>
                <w:sz w:val="17"/>
              </w:rPr>
              <w:t>-0,5</w:t>
            </w:r>
          </w:p>
        </w:tc>
        <w:tc>
          <w:tcPr>
            <w:tcW w:w="905" w:type="dxa"/>
            <w:tcBorders>
              <w:top w:val="single" w:sz="2" w:space="0" w:color="000000"/>
            </w:tcBorders>
            <w:shd w:val="clear" w:color="auto" w:fill="EFEFEF"/>
          </w:tcPr>
          <w:p>
            <w:pPr>
              <w:pStyle w:val="TableParagraph"/>
              <w:spacing w:line="189" w:lineRule="exact" w:before="2"/>
              <w:ind w:left="245" w:right="243"/>
              <w:jc w:val="center"/>
              <w:rPr>
                <w:sz w:val="17"/>
              </w:rPr>
            </w:pPr>
            <w:r>
              <w:rPr>
                <w:sz w:val="17"/>
              </w:rPr>
              <w:t>-0,2</w:t>
            </w:r>
          </w:p>
        </w:tc>
        <w:tc>
          <w:tcPr>
            <w:tcW w:w="851" w:type="dxa"/>
            <w:tcBorders>
              <w:top w:val="single" w:sz="2" w:space="0" w:color="000000"/>
            </w:tcBorders>
            <w:shd w:val="clear" w:color="auto" w:fill="EFEFEF"/>
          </w:tcPr>
          <w:p>
            <w:pPr>
              <w:pStyle w:val="TableParagraph"/>
              <w:spacing w:line="189" w:lineRule="exact" w:before="2"/>
              <w:ind w:right="273"/>
              <w:rPr>
                <w:sz w:val="17"/>
              </w:rPr>
            </w:pPr>
            <w:r>
              <w:rPr>
                <w:sz w:val="17"/>
              </w:rPr>
              <w:t>0,0</w:t>
            </w:r>
          </w:p>
        </w:tc>
      </w:tr>
      <w:tr>
        <w:trPr>
          <w:trHeight w:val="226" w:hRule="atLeast"/>
        </w:trPr>
        <w:tc>
          <w:tcPr>
            <w:tcW w:w="4327" w:type="dxa"/>
            <w:shd w:val="clear" w:color="auto" w:fill="EFEFEF"/>
          </w:tcPr>
          <w:p>
            <w:pPr>
              <w:pStyle w:val="TableParagraph"/>
              <w:spacing w:line="190" w:lineRule="exact" w:before="16"/>
              <w:ind w:left="69"/>
              <w:jc w:val="left"/>
              <w:rPr>
                <w:sz w:val="17"/>
              </w:rPr>
            </w:pPr>
            <w:r>
              <w:rPr>
                <w:sz w:val="17"/>
              </w:rPr>
              <w:t>2. Tasso di cambio nominale effettivo</w:t>
            </w:r>
          </w:p>
        </w:tc>
        <w:tc>
          <w:tcPr>
            <w:tcW w:w="727" w:type="dxa"/>
            <w:shd w:val="clear" w:color="auto" w:fill="EFEFEF"/>
          </w:tcPr>
          <w:p>
            <w:pPr>
              <w:pStyle w:val="TableParagraph"/>
              <w:spacing w:line="190" w:lineRule="exact" w:before="16"/>
              <w:ind w:left="152"/>
              <w:jc w:val="left"/>
              <w:rPr>
                <w:sz w:val="17"/>
              </w:rPr>
            </w:pPr>
            <w:r>
              <w:rPr>
                <w:sz w:val="17"/>
              </w:rPr>
              <w:t>0,0</w:t>
            </w:r>
          </w:p>
        </w:tc>
        <w:tc>
          <w:tcPr>
            <w:tcW w:w="906" w:type="dxa"/>
            <w:shd w:val="clear" w:color="auto" w:fill="EFEFEF"/>
          </w:tcPr>
          <w:p>
            <w:pPr>
              <w:pStyle w:val="TableParagraph"/>
              <w:spacing w:line="190" w:lineRule="exact" w:before="16"/>
              <w:ind w:left="310"/>
              <w:jc w:val="left"/>
              <w:rPr>
                <w:sz w:val="17"/>
              </w:rPr>
            </w:pPr>
            <w:r>
              <w:rPr>
                <w:sz w:val="17"/>
              </w:rPr>
              <w:t>-0,1</w:t>
            </w:r>
          </w:p>
        </w:tc>
        <w:tc>
          <w:tcPr>
            <w:tcW w:w="905" w:type="dxa"/>
            <w:shd w:val="clear" w:color="auto" w:fill="EFEFEF"/>
          </w:tcPr>
          <w:p>
            <w:pPr>
              <w:pStyle w:val="TableParagraph"/>
              <w:spacing w:line="190" w:lineRule="exact" w:before="16"/>
              <w:ind w:left="245" w:right="243"/>
              <w:jc w:val="center"/>
              <w:rPr>
                <w:sz w:val="17"/>
              </w:rPr>
            </w:pPr>
            <w:r>
              <w:rPr>
                <w:sz w:val="17"/>
              </w:rPr>
              <w:t>0,0</w:t>
            </w:r>
          </w:p>
        </w:tc>
        <w:tc>
          <w:tcPr>
            <w:tcW w:w="851" w:type="dxa"/>
            <w:shd w:val="clear" w:color="auto" w:fill="EFEFEF"/>
          </w:tcPr>
          <w:p>
            <w:pPr>
              <w:pStyle w:val="TableParagraph"/>
              <w:spacing w:line="190" w:lineRule="exact" w:before="16"/>
              <w:ind w:right="273"/>
              <w:rPr>
                <w:sz w:val="17"/>
              </w:rPr>
            </w:pPr>
            <w:r>
              <w:rPr>
                <w:sz w:val="17"/>
              </w:rPr>
              <w:t>0,0</w:t>
            </w:r>
          </w:p>
        </w:tc>
      </w:tr>
      <w:tr>
        <w:trPr>
          <w:trHeight w:val="226" w:hRule="atLeast"/>
        </w:trPr>
        <w:tc>
          <w:tcPr>
            <w:tcW w:w="4327" w:type="dxa"/>
            <w:shd w:val="clear" w:color="auto" w:fill="EFEFEF"/>
          </w:tcPr>
          <w:p>
            <w:pPr>
              <w:pStyle w:val="TableParagraph"/>
              <w:spacing w:line="189" w:lineRule="exact" w:before="17"/>
              <w:ind w:left="69"/>
              <w:jc w:val="left"/>
              <w:rPr>
                <w:sz w:val="17"/>
              </w:rPr>
            </w:pPr>
            <w:r>
              <w:rPr>
                <w:sz w:val="17"/>
              </w:rPr>
              <w:t>4. Prezzo del petrolio</w:t>
            </w:r>
          </w:p>
        </w:tc>
        <w:tc>
          <w:tcPr>
            <w:tcW w:w="727" w:type="dxa"/>
            <w:shd w:val="clear" w:color="auto" w:fill="EFEFEF"/>
          </w:tcPr>
          <w:p>
            <w:pPr>
              <w:pStyle w:val="TableParagraph"/>
              <w:spacing w:line="189" w:lineRule="exact" w:before="17"/>
              <w:ind w:left="152"/>
              <w:jc w:val="left"/>
              <w:rPr>
                <w:sz w:val="17"/>
              </w:rPr>
            </w:pPr>
            <w:r>
              <w:rPr>
                <w:sz w:val="17"/>
              </w:rPr>
              <w:t>0,0</w:t>
            </w:r>
          </w:p>
        </w:tc>
        <w:tc>
          <w:tcPr>
            <w:tcW w:w="906" w:type="dxa"/>
            <w:shd w:val="clear" w:color="auto" w:fill="EFEFEF"/>
          </w:tcPr>
          <w:p>
            <w:pPr>
              <w:pStyle w:val="TableParagraph"/>
              <w:spacing w:line="189" w:lineRule="exact" w:before="17"/>
              <w:ind w:left="332"/>
              <w:jc w:val="left"/>
              <w:rPr>
                <w:sz w:val="17"/>
              </w:rPr>
            </w:pPr>
            <w:r>
              <w:rPr>
                <w:sz w:val="17"/>
              </w:rPr>
              <w:t>0,2</w:t>
            </w:r>
          </w:p>
        </w:tc>
        <w:tc>
          <w:tcPr>
            <w:tcW w:w="905" w:type="dxa"/>
            <w:shd w:val="clear" w:color="auto" w:fill="EFEFEF"/>
          </w:tcPr>
          <w:p>
            <w:pPr>
              <w:pStyle w:val="TableParagraph"/>
              <w:spacing w:line="189" w:lineRule="exact" w:before="17"/>
              <w:ind w:left="245" w:right="243"/>
              <w:jc w:val="center"/>
              <w:rPr>
                <w:sz w:val="17"/>
              </w:rPr>
            </w:pPr>
            <w:r>
              <w:rPr>
                <w:sz w:val="17"/>
              </w:rPr>
              <w:t>0,2</w:t>
            </w:r>
          </w:p>
        </w:tc>
        <w:tc>
          <w:tcPr>
            <w:tcW w:w="851" w:type="dxa"/>
            <w:shd w:val="clear" w:color="auto" w:fill="EFEFEF"/>
          </w:tcPr>
          <w:p>
            <w:pPr>
              <w:pStyle w:val="TableParagraph"/>
              <w:spacing w:line="189" w:lineRule="exact" w:before="17"/>
              <w:ind w:right="273"/>
              <w:rPr>
                <w:sz w:val="17"/>
              </w:rPr>
            </w:pPr>
            <w:r>
              <w:rPr>
                <w:sz w:val="17"/>
              </w:rPr>
              <w:t>0,0</w:t>
            </w:r>
          </w:p>
        </w:tc>
      </w:tr>
      <w:tr>
        <w:trPr>
          <w:trHeight w:val="244" w:hRule="atLeast"/>
        </w:trPr>
        <w:tc>
          <w:tcPr>
            <w:tcW w:w="4327" w:type="dxa"/>
            <w:tcBorders>
              <w:bottom w:val="single" w:sz="2" w:space="0" w:color="000000"/>
            </w:tcBorders>
            <w:shd w:val="clear" w:color="auto" w:fill="EFEFEF"/>
          </w:tcPr>
          <w:p>
            <w:pPr>
              <w:pStyle w:val="TableParagraph"/>
              <w:spacing w:before="16"/>
              <w:ind w:left="69"/>
              <w:jc w:val="left"/>
              <w:rPr>
                <w:sz w:val="17"/>
              </w:rPr>
            </w:pPr>
            <w:r>
              <w:rPr>
                <w:sz w:val="17"/>
              </w:rPr>
              <w:t>5. Ipotesi tassi d'interesse</w:t>
            </w:r>
          </w:p>
        </w:tc>
        <w:tc>
          <w:tcPr>
            <w:tcW w:w="727" w:type="dxa"/>
            <w:tcBorders>
              <w:bottom w:val="single" w:sz="2" w:space="0" w:color="000000"/>
            </w:tcBorders>
            <w:shd w:val="clear" w:color="auto" w:fill="EFEFEF"/>
          </w:tcPr>
          <w:p>
            <w:pPr>
              <w:pStyle w:val="TableParagraph"/>
              <w:spacing w:before="16"/>
              <w:ind w:left="152"/>
              <w:jc w:val="left"/>
              <w:rPr>
                <w:sz w:val="17"/>
              </w:rPr>
            </w:pPr>
            <w:r>
              <w:rPr>
                <w:sz w:val="17"/>
              </w:rPr>
              <w:t>0,1</w:t>
            </w:r>
          </w:p>
        </w:tc>
        <w:tc>
          <w:tcPr>
            <w:tcW w:w="906" w:type="dxa"/>
            <w:tcBorders>
              <w:bottom w:val="single" w:sz="2" w:space="0" w:color="000000"/>
            </w:tcBorders>
            <w:shd w:val="clear" w:color="auto" w:fill="EFEFEF"/>
          </w:tcPr>
          <w:p>
            <w:pPr>
              <w:pStyle w:val="TableParagraph"/>
              <w:spacing w:before="16"/>
              <w:ind w:left="332"/>
              <w:jc w:val="left"/>
              <w:rPr>
                <w:sz w:val="17"/>
              </w:rPr>
            </w:pPr>
            <w:r>
              <w:rPr>
                <w:sz w:val="17"/>
              </w:rPr>
              <w:t>0,4</w:t>
            </w:r>
          </w:p>
        </w:tc>
        <w:tc>
          <w:tcPr>
            <w:tcW w:w="905" w:type="dxa"/>
            <w:tcBorders>
              <w:bottom w:val="single" w:sz="2" w:space="0" w:color="000000"/>
            </w:tcBorders>
            <w:shd w:val="clear" w:color="auto" w:fill="EFEFEF"/>
          </w:tcPr>
          <w:p>
            <w:pPr>
              <w:pStyle w:val="TableParagraph"/>
              <w:spacing w:before="16"/>
              <w:ind w:left="245" w:right="243"/>
              <w:jc w:val="center"/>
              <w:rPr>
                <w:sz w:val="17"/>
              </w:rPr>
            </w:pPr>
            <w:r>
              <w:rPr>
                <w:sz w:val="17"/>
              </w:rPr>
              <w:t>0,7</w:t>
            </w:r>
          </w:p>
        </w:tc>
        <w:tc>
          <w:tcPr>
            <w:tcW w:w="851" w:type="dxa"/>
            <w:tcBorders>
              <w:bottom w:val="single" w:sz="2" w:space="0" w:color="000000"/>
            </w:tcBorders>
            <w:shd w:val="clear" w:color="auto" w:fill="EFEFEF"/>
          </w:tcPr>
          <w:p>
            <w:pPr>
              <w:pStyle w:val="TableParagraph"/>
              <w:spacing w:before="16"/>
              <w:ind w:right="273"/>
              <w:rPr>
                <w:sz w:val="17"/>
              </w:rPr>
            </w:pPr>
            <w:r>
              <w:rPr>
                <w:sz w:val="17"/>
              </w:rPr>
              <w:t>0,8</w:t>
            </w:r>
          </w:p>
        </w:tc>
      </w:tr>
      <w:tr>
        <w:trPr>
          <w:trHeight w:val="225" w:hRule="atLeast"/>
        </w:trPr>
        <w:tc>
          <w:tcPr>
            <w:tcW w:w="4327" w:type="dxa"/>
            <w:tcBorders>
              <w:top w:val="single" w:sz="2" w:space="0" w:color="000000"/>
              <w:bottom w:val="single" w:sz="2" w:space="0" w:color="000000"/>
            </w:tcBorders>
            <w:shd w:val="clear" w:color="auto" w:fill="EFEFEF"/>
          </w:tcPr>
          <w:p>
            <w:pPr>
              <w:pStyle w:val="TableParagraph"/>
              <w:ind w:left="69"/>
              <w:jc w:val="left"/>
              <w:rPr>
                <w:sz w:val="17"/>
              </w:rPr>
            </w:pPr>
            <w:r>
              <w:rPr>
                <w:sz w:val="17"/>
              </w:rPr>
              <w:t>Totale (*)</w:t>
            </w:r>
          </w:p>
        </w:tc>
        <w:tc>
          <w:tcPr>
            <w:tcW w:w="727" w:type="dxa"/>
            <w:tcBorders>
              <w:top w:val="single" w:sz="2" w:space="0" w:color="000000"/>
              <w:bottom w:val="single" w:sz="2" w:space="0" w:color="000000"/>
            </w:tcBorders>
            <w:shd w:val="clear" w:color="auto" w:fill="EFEFEF"/>
          </w:tcPr>
          <w:p>
            <w:pPr>
              <w:pStyle w:val="TableParagraph"/>
              <w:ind w:left="130"/>
              <w:jc w:val="left"/>
              <w:rPr>
                <w:sz w:val="17"/>
              </w:rPr>
            </w:pPr>
            <w:r>
              <w:rPr>
                <w:sz w:val="17"/>
              </w:rPr>
              <w:t>-0,1</w:t>
            </w:r>
          </w:p>
        </w:tc>
        <w:tc>
          <w:tcPr>
            <w:tcW w:w="906" w:type="dxa"/>
            <w:tcBorders>
              <w:top w:val="single" w:sz="2" w:space="0" w:color="000000"/>
              <w:bottom w:val="single" w:sz="2" w:space="0" w:color="000000"/>
            </w:tcBorders>
            <w:shd w:val="clear" w:color="auto" w:fill="EFEFEF"/>
          </w:tcPr>
          <w:p>
            <w:pPr>
              <w:pStyle w:val="TableParagraph"/>
              <w:ind w:left="332"/>
              <w:jc w:val="left"/>
              <w:rPr>
                <w:sz w:val="17"/>
              </w:rPr>
            </w:pPr>
            <w:r>
              <w:rPr>
                <w:sz w:val="17"/>
              </w:rPr>
              <w:t>0,0</w:t>
            </w:r>
          </w:p>
        </w:tc>
        <w:tc>
          <w:tcPr>
            <w:tcW w:w="905" w:type="dxa"/>
            <w:tcBorders>
              <w:top w:val="single" w:sz="2" w:space="0" w:color="000000"/>
              <w:bottom w:val="single" w:sz="2" w:space="0" w:color="000000"/>
            </w:tcBorders>
            <w:shd w:val="clear" w:color="auto" w:fill="EFEFEF"/>
          </w:tcPr>
          <w:p>
            <w:pPr>
              <w:pStyle w:val="TableParagraph"/>
              <w:ind w:left="245" w:right="243"/>
              <w:jc w:val="center"/>
              <w:rPr>
                <w:sz w:val="17"/>
              </w:rPr>
            </w:pPr>
            <w:r>
              <w:rPr>
                <w:sz w:val="17"/>
              </w:rPr>
              <w:t>0,6</w:t>
            </w:r>
          </w:p>
        </w:tc>
        <w:tc>
          <w:tcPr>
            <w:tcW w:w="851" w:type="dxa"/>
            <w:tcBorders>
              <w:top w:val="single" w:sz="2" w:space="0" w:color="000000"/>
              <w:bottom w:val="single" w:sz="2" w:space="0" w:color="000000"/>
            </w:tcBorders>
            <w:shd w:val="clear" w:color="auto" w:fill="EFEFEF"/>
          </w:tcPr>
          <w:p>
            <w:pPr>
              <w:pStyle w:val="TableParagraph"/>
              <w:ind w:right="273"/>
              <w:rPr>
                <w:sz w:val="17"/>
              </w:rPr>
            </w:pPr>
            <w:r>
              <w:rPr>
                <w:sz w:val="17"/>
              </w:rPr>
              <w:t>0,7</w:t>
            </w:r>
          </w:p>
        </w:tc>
      </w:tr>
      <w:tr>
        <w:trPr>
          <w:trHeight w:val="244" w:hRule="atLeast"/>
        </w:trPr>
        <w:tc>
          <w:tcPr>
            <w:tcW w:w="4327" w:type="dxa"/>
            <w:tcBorders>
              <w:top w:val="single" w:sz="2" w:space="0" w:color="000000"/>
            </w:tcBorders>
            <w:shd w:val="clear" w:color="auto" w:fill="EFEFEF"/>
          </w:tcPr>
          <w:p>
            <w:pPr>
              <w:pStyle w:val="TableParagraph"/>
              <w:spacing w:before="13"/>
              <w:ind w:left="69"/>
              <w:jc w:val="left"/>
              <w:rPr>
                <w:rFonts w:ascii="Trebuchet MS"/>
                <w:sz w:val="16"/>
              </w:rPr>
            </w:pPr>
            <w:r>
              <w:rPr>
                <w:rFonts w:ascii="Trebuchet MS"/>
                <w:sz w:val="16"/>
              </w:rPr>
              <w:t>(*) Eventuali imprecisioni sono dovute ad arrotondamenti.</w:t>
            </w:r>
          </w:p>
        </w:tc>
        <w:tc>
          <w:tcPr>
            <w:tcW w:w="727" w:type="dxa"/>
            <w:tcBorders>
              <w:top w:val="single" w:sz="2" w:space="0" w:color="000000"/>
            </w:tcBorders>
            <w:shd w:val="clear" w:color="auto" w:fill="EFEFEF"/>
          </w:tcPr>
          <w:p>
            <w:pPr>
              <w:pStyle w:val="TableParagraph"/>
              <w:jc w:val="left"/>
              <w:rPr>
                <w:rFonts w:ascii="Times New Roman"/>
                <w:sz w:val="16"/>
              </w:rPr>
            </w:pPr>
          </w:p>
        </w:tc>
        <w:tc>
          <w:tcPr>
            <w:tcW w:w="906" w:type="dxa"/>
            <w:tcBorders>
              <w:top w:val="single" w:sz="2" w:space="0" w:color="000000"/>
            </w:tcBorders>
            <w:shd w:val="clear" w:color="auto" w:fill="EFEFEF"/>
          </w:tcPr>
          <w:p>
            <w:pPr>
              <w:pStyle w:val="TableParagraph"/>
              <w:jc w:val="left"/>
              <w:rPr>
                <w:rFonts w:ascii="Times New Roman"/>
                <w:sz w:val="16"/>
              </w:rPr>
            </w:pPr>
          </w:p>
        </w:tc>
        <w:tc>
          <w:tcPr>
            <w:tcW w:w="905" w:type="dxa"/>
            <w:tcBorders>
              <w:top w:val="single" w:sz="2" w:space="0" w:color="000000"/>
            </w:tcBorders>
            <w:shd w:val="clear" w:color="auto" w:fill="EFEFEF"/>
          </w:tcPr>
          <w:p>
            <w:pPr>
              <w:pStyle w:val="TableParagraph"/>
              <w:jc w:val="left"/>
              <w:rPr>
                <w:rFonts w:ascii="Times New Roman"/>
                <w:sz w:val="16"/>
              </w:rPr>
            </w:pPr>
          </w:p>
        </w:tc>
        <w:tc>
          <w:tcPr>
            <w:tcW w:w="851" w:type="dxa"/>
            <w:tcBorders>
              <w:top w:val="single" w:sz="2" w:space="0" w:color="000000"/>
            </w:tcBorders>
            <w:shd w:val="clear" w:color="auto" w:fill="EFEFEF"/>
          </w:tcPr>
          <w:p>
            <w:pPr>
              <w:pStyle w:val="TableParagraph"/>
              <w:jc w:val="left"/>
              <w:rPr>
                <w:rFonts w:ascii="Times New Roman"/>
                <w:sz w:val="16"/>
              </w:rPr>
            </w:pPr>
          </w:p>
        </w:tc>
      </w:tr>
    </w:tbl>
    <w:p>
      <w:pPr>
        <w:pStyle w:val="BodyText"/>
        <w:spacing w:before="7"/>
        <w:rPr>
          <w:rFonts w:ascii="Franklin Gothic Book"/>
        </w:rPr>
      </w:pPr>
      <w:r>
        <w:rPr/>
        <w:pict>
          <v:shape style="position:absolute;margin-left:114.860001pt;margin-top:14.04pt;width:409.65pt;height:183.05pt;mso-position-horizontal-relative:page;mso-position-vertical-relative:paragraph;z-index:-251537408;mso-wrap-distance-left:0;mso-wrap-distance-right:0" type="#_x0000_t202" filled="true" fillcolor="#efefef" stroked="false">
            <v:textbox inset="0,0,0,0">
              <w:txbxContent>
                <w:p>
                  <w:pPr>
                    <w:spacing w:line="240" w:lineRule="exact" w:before="0"/>
                    <w:ind w:left="460" w:right="0" w:firstLine="0"/>
                    <w:jc w:val="both"/>
                    <w:rPr>
                      <w:rFonts w:ascii="Franklin Gothic Demi Cond" w:hAnsi="Franklin Gothic Demi Cond"/>
                      <w:b/>
                      <w:sz w:val="22"/>
                    </w:rPr>
                  </w:pPr>
                  <w:r>
                    <w:rPr>
                      <w:rFonts w:ascii="Franklin Gothic Demi Cond" w:hAnsi="Franklin Gothic Demi Cond"/>
                      <w:b/>
                      <w:sz w:val="22"/>
                    </w:rPr>
                    <w:t>Un’analisi di rischio (o di sensitività) sulle variabili esogene</w:t>
                  </w:r>
                </w:p>
                <w:p>
                  <w:pPr>
                    <w:spacing w:line="254" w:lineRule="auto" w:before="69"/>
                    <w:ind w:left="460" w:right="1" w:firstLine="0"/>
                    <w:jc w:val="both"/>
                    <w:rPr>
                      <w:rFonts w:ascii="Franklin Gothic Book" w:hAnsi="Franklin Gothic Book"/>
                      <w:sz w:val="20"/>
                    </w:rPr>
                  </w:pPr>
                  <w:r>
                    <w:rPr>
                      <w:rFonts w:ascii="Franklin Gothic Book" w:hAnsi="Franklin Gothic Book"/>
                      <w:sz w:val="20"/>
                    </w:rPr>
                    <w:t>Le ipotesi relative alla dinamica del commercio mondiale, al profilo dei tassi di cambio, alle quotazioni petrolifere e alle condizioni dei mercati finanziari configurano lo scenario internazionale di riferimento che risulta di grande importanza per delineare l’evoluzione dell’economia</w:t>
                  </w:r>
                  <w:r>
                    <w:rPr>
                      <w:rFonts w:ascii="Franklin Gothic Book" w:hAnsi="Franklin Gothic Book"/>
                      <w:spacing w:val="-6"/>
                      <w:sz w:val="20"/>
                    </w:rPr>
                    <w:t> </w:t>
                  </w:r>
                  <w:r>
                    <w:rPr>
                      <w:rFonts w:ascii="Franklin Gothic Book" w:hAnsi="Franklin Gothic Book"/>
                      <w:sz w:val="20"/>
                    </w:rPr>
                    <w:t>italiana</w:t>
                  </w:r>
                  <w:r>
                    <w:rPr>
                      <w:rFonts w:ascii="Franklin Gothic Book" w:hAnsi="Franklin Gothic Book"/>
                      <w:spacing w:val="-5"/>
                      <w:sz w:val="20"/>
                    </w:rPr>
                    <w:t> </w:t>
                  </w:r>
                  <w:r>
                    <w:rPr>
                      <w:rFonts w:ascii="Franklin Gothic Book" w:hAnsi="Franklin Gothic Book"/>
                      <w:sz w:val="20"/>
                    </w:rPr>
                    <w:t>all’interno</w:t>
                  </w:r>
                  <w:r>
                    <w:rPr>
                      <w:rFonts w:ascii="Franklin Gothic Book" w:hAnsi="Franklin Gothic Book"/>
                      <w:spacing w:val="-6"/>
                      <w:sz w:val="20"/>
                    </w:rPr>
                    <w:t> </w:t>
                  </w:r>
                  <w:r>
                    <w:rPr>
                      <w:rFonts w:ascii="Franklin Gothic Book" w:hAnsi="Franklin Gothic Book"/>
                      <w:sz w:val="20"/>
                    </w:rPr>
                    <w:t>del</w:t>
                  </w:r>
                  <w:r>
                    <w:rPr>
                      <w:rFonts w:ascii="Franklin Gothic Book" w:hAnsi="Franklin Gothic Book"/>
                      <w:spacing w:val="-6"/>
                      <w:sz w:val="20"/>
                    </w:rPr>
                    <w:t> </w:t>
                  </w:r>
                  <w:r>
                    <w:rPr>
                      <w:rFonts w:ascii="Franklin Gothic Book" w:hAnsi="Franklin Gothic Book"/>
                      <w:sz w:val="20"/>
                    </w:rPr>
                    <w:t>quadro</w:t>
                  </w:r>
                  <w:r>
                    <w:rPr>
                      <w:rFonts w:ascii="Franklin Gothic Book" w:hAnsi="Franklin Gothic Book"/>
                      <w:spacing w:val="-8"/>
                      <w:sz w:val="20"/>
                    </w:rPr>
                    <w:t> </w:t>
                  </w:r>
                  <w:r>
                    <w:rPr>
                      <w:rFonts w:ascii="Franklin Gothic Book" w:hAnsi="Franklin Gothic Book"/>
                      <w:sz w:val="20"/>
                    </w:rPr>
                    <w:t>macroeconomico</w:t>
                  </w:r>
                  <w:r>
                    <w:rPr>
                      <w:rFonts w:ascii="Franklin Gothic Book" w:hAnsi="Franklin Gothic Book"/>
                      <w:spacing w:val="-8"/>
                      <w:sz w:val="20"/>
                    </w:rPr>
                    <w:t> </w:t>
                  </w:r>
                  <w:r>
                    <w:rPr>
                      <w:rFonts w:ascii="Franklin Gothic Book" w:hAnsi="Franklin Gothic Book"/>
                      <w:sz w:val="20"/>
                    </w:rPr>
                    <w:t>tendenziale.</w:t>
                  </w:r>
                  <w:r>
                    <w:rPr>
                      <w:rFonts w:ascii="Franklin Gothic Book" w:hAnsi="Franklin Gothic Book"/>
                      <w:spacing w:val="-6"/>
                      <w:sz w:val="20"/>
                    </w:rPr>
                    <w:t> </w:t>
                  </w:r>
                  <w:r>
                    <w:rPr>
                      <w:rFonts w:ascii="Franklin Gothic Book" w:hAnsi="Franklin Gothic Book"/>
                      <w:sz w:val="20"/>
                    </w:rPr>
                    <w:t>I</w:t>
                  </w:r>
                  <w:r>
                    <w:rPr>
                      <w:rFonts w:ascii="Franklin Gothic Book" w:hAnsi="Franklin Gothic Book"/>
                      <w:spacing w:val="-5"/>
                      <w:sz w:val="20"/>
                    </w:rPr>
                    <w:t> </w:t>
                  </w:r>
                  <w:r>
                    <w:rPr>
                      <w:rFonts w:ascii="Franklin Gothic Book" w:hAnsi="Franklin Gothic Book"/>
                      <w:sz w:val="20"/>
                    </w:rPr>
                    <w:t>valori</w:t>
                  </w:r>
                  <w:r>
                    <w:rPr>
                      <w:rFonts w:ascii="Franklin Gothic Book" w:hAnsi="Franklin Gothic Book"/>
                      <w:spacing w:val="-8"/>
                      <w:sz w:val="20"/>
                    </w:rPr>
                    <w:t> </w:t>
                  </w:r>
                  <w:r>
                    <w:rPr>
                      <w:rFonts w:ascii="Franklin Gothic Book" w:hAnsi="Franklin Gothic Book"/>
                      <w:sz w:val="20"/>
                    </w:rPr>
                    <w:t>assegnati a queste variabili nell’orizzonte di previsione sono il risultato di metodi di proiezione largamente</w:t>
                  </w:r>
                  <w:r>
                    <w:rPr>
                      <w:rFonts w:ascii="Franklin Gothic Book" w:hAnsi="Franklin Gothic Book"/>
                      <w:spacing w:val="-5"/>
                      <w:sz w:val="20"/>
                    </w:rPr>
                    <w:t> </w:t>
                  </w:r>
                  <w:r>
                    <w:rPr>
                      <w:rFonts w:ascii="Franklin Gothic Book" w:hAnsi="Franklin Gothic Book"/>
                      <w:sz w:val="20"/>
                    </w:rPr>
                    <w:t>in</w:t>
                  </w:r>
                  <w:r>
                    <w:rPr>
                      <w:rFonts w:ascii="Franklin Gothic Book" w:hAnsi="Franklin Gothic Book"/>
                      <w:spacing w:val="-6"/>
                      <w:sz w:val="20"/>
                    </w:rPr>
                    <w:t> </w:t>
                  </w:r>
                  <w:r>
                    <w:rPr>
                      <w:rFonts w:ascii="Franklin Gothic Book" w:hAnsi="Franklin Gothic Book"/>
                      <w:sz w:val="20"/>
                    </w:rPr>
                    <w:t>uso</w:t>
                  </w:r>
                  <w:r>
                    <w:rPr>
                      <w:rFonts w:ascii="Franklin Gothic Book" w:hAnsi="Franklin Gothic Book"/>
                      <w:spacing w:val="-5"/>
                      <w:sz w:val="20"/>
                    </w:rPr>
                    <w:t> </w:t>
                  </w:r>
                  <w:r>
                    <w:rPr>
                      <w:rFonts w:ascii="Franklin Gothic Book" w:hAnsi="Franklin Gothic Book"/>
                      <w:sz w:val="20"/>
                    </w:rPr>
                    <w:t>presso</w:t>
                  </w:r>
                  <w:r>
                    <w:rPr>
                      <w:rFonts w:ascii="Franklin Gothic Book" w:hAnsi="Franklin Gothic Book"/>
                      <w:spacing w:val="-6"/>
                      <w:sz w:val="20"/>
                    </w:rPr>
                    <w:t> </w:t>
                  </w:r>
                  <w:r>
                    <w:rPr>
                      <w:rFonts w:ascii="Franklin Gothic Book" w:hAnsi="Franklin Gothic Book"/>
                      <w:sz w:val="20"/>
                    </w:rPr>
                    <w:t>i</w:t>
                  </w:r>
                  <w:r>
                    <w:rPr>
                      <w:rFonts w:ascii="Franklin Gothic Book" w:hAnsi="Franklin Gothic Book"/>
                      <w:spacing w:val="-5"/>
                      <w:sz w:val="20"/>
                    </w:rPr>
                    <w:t> </w:t>
                  </w:r>
                  <w:r>
                    <w:rPr>
                      <w:rFonts w:ascii="Franklin Gothic Book" w:hAnsi="Franklin Gothic Book"/>
                      <w:sz w:val="20"/>
                    </w:rPr>
                    <w:t>principali</w:t>
                  </w:r>
                  <w:r>
                    <w:rPr>
                      <w:rFonts w:ascii="Franklin Gothic Book" w:hAnsi="Franklin Gothic Book"/>
                      <w:spacing w:val="-5"/>
                      <w:sz w:val="20"/>
                    </w:rPr>
                    <w:t> </w:t>
                  </w:r>
                  <w:r>
                    <w:rPr>
                      <w:rFonts w:ascii="Franklin Gothic Book" w:hAnsi="Franklin Gothic Book"/>
                      <w:sz w:val="20"/>
                    </w:rPr>
                    <w:t>centri</w:t>
                  </w:r>
                  <w:r>
                    <w:rPr>
                      <w:rFonts w:ascii="Franklin Gothic Book" w:hAnsi="Franklin Gothic Book"/>
                      <w:spacing w:val="-5"/>
                      <w:sz w:val="20"/>
                    </w:rPr>
                    <w:t> </w:t>
                  </w:r>
                  <w:r>
                    <w:rPr>
                      <w:rFonts w:ascii="Franklin Gothic Book" w:hAnsi="Franklin Gothic Book"/>
                      <w:sz w:val="20"/>
                    </w:rPr>
                    <w:t>di</w:t>
                  </w:r>
                  <w:r>
                    <w:rPr>
                      <w:rFonts w:ascii="Franklin Gothic Book" w:hAnsi="Franklin Gothic Book"/>
                      <w:spacing w:val="-6"/>
                      <w:sz w:val="20"/>
                    </w:rPr>
                    <w:t> </w:t>
                  </w:r>
                  <w:r>
                    <w:rPr>
                      <w:rFonts w:ascii="Franklin Gothic Book" w:hAnsi="Franklin Gothic Book"/>
                      <w:sz w:val="20"/>
                    </w:rPr>
                    <w:t>previsione</w:t>
                  </w:r>
                  <w:r>
                    <w:rPr>
                      <w:rFonts w:ascii="Franklin Gothic Book" w:hAnsi="Franklin Gothic Book"/>
                      <w:spacing w:val="-6"/>
                      <w:sz w:val="20"/>
                    </w:rPr>
                    <w:t> </w:t>
                  </w:r>
                  <w:r>
                    <w:rPr>
                      <w:rFonts w:ascii="Franklin Gothic Book" w:hAnsi="Franklin Gothic Book"/>
                      <w:sz w:val="20"/>
                    </w:rPr>
                    <w:t>nazionale</w:t>
                  </w:r>
                  <w:r>
                    <w:rPr>
                      <w:rFonts w:ascii="Franklin Gothic Book" w:hAnsi="Franklin Gothic Book"/>
                      <w:spacing w:val="-5"/>
                      <w:sz w:val="20"/>
                    </w:rPr>
                    <w:t> </w:t>
                  </w:r>
                  <w:r>
                    <w:rPr>
                      <w:rFonts w:ascii="Franklin Gothic Book" w:hAnsi="Franklin Gothic Book"/>
                      <w:sz w:val="20"/>
                    </w:rPr>
                    <w:t>ed</w:t>
                  </w:r>
                  <w:r>
                    <w:rPr>
                      <w:rFonts w:ascii="Franklin Gothic Book" w:hAnsi="Franklin Gothic Book"/>
                      <w:spacing w:val="-5"/>
                      <w:sz w:val="20"/>
                    </w:rPr>
                    <w:t> </w:t>
                  </w:r>
                  <w:r>
                    <w:rPr>
                      <w:rFonts w:ascii="Franklin Gothic Book" w:hAnsi="Franklin Gothic Book"/>
                      <w:sz w:val="20"/>
                    </w:rPr>
                    <w:t>internazionale.</w:t>
                  </w:r>
                  <w:r>
                    <w:rPr>
                      <w:rFonts w:ascii="Franklin Gothic Book" w:hAnsi="Franklin Gothic Book"/>
                      <w:spacing w:val="-4"/>
                      <w:sz w:val="20"/>
                    </w:rPr>
                    <w:t> </w:t>
                  </w:r>
                  <w:r>
                    <w:rPr>
                      <w:rFonts w:ascii="Franklin Gothic Book" w:hAnsi="Franklin Gothic Book"/>
                      <w:sz w:val="20"/>
                    </w:rPr>
                    <w:t>Tenuto conto dell’incertezza che tipicamente caratterizza il profilo prospettato per le variabili del quadro</w:t>
                  </w:r>
                  <w:r>
                    <w:rPr>
                      <w:rFonts w:ascii="Franklin Gothic Book" w:hAnsi="Franklin Gothic Book"/>
                      <w:spacing w:val="-13"/>
                      <w:sz w:val="20"/>
                    </w:rPr>
                    <w:t> </w:t>
                  </w:r>
                  <w:r>
                    <w:rPr>
                      <w:rFonts w:ascii="Franklin Gothic Book" w:hAnsi="Franklin Gothic Book"/>
                      <w:sz w:val="20"/>
                    </w:rPr>
                    <w:t>internazionale</w:t>
                  </w:r>
                  <w:r>
                    <w:rPr>
                      <w:rFonts w:ascii="Franklin Gothic Book" w:hAnsi="Franklin Gothic Book"/>
                      <w:spacing w:val="-14"/>
                      <w:sz w:val="20"/>
                    </w:rPr>
                    <w:t> </w:t>
                  </w:r>
                  <w:r>
                    <w:rPr>
                      <w:rFonts w:ascii="Franklin Gothic Book" w:hAnsi="Franklin Gothic Book"/>
                      <w:sz w:val="20"/>
                    </w:rPr>
                    <w:t>e</w:t>
                  </w:r>
                  <w:r>
                    <w:rPr>
                      <w:rFonts w:ascii="Franklin Gothic Book" w:hAnsi="Franklin Gothic Book"/>
                      <w:spacing w:val="-13"/>
                      <w:sz w:val="20"/>
                    </w:rPr>
                    <w:t> </w:t>
                  </w:r>
                  <w:r>
                    <w:rPr>
                      <w:rFonts w:ascii="Franklin Gothic Book" w:hAnsi="Franklin Gothic Book"/>
                      <w:sz w:val="20"/>
                    </w:rPr>
                    <w:t>considerata</w:t>
                  </w:r>
                  <w:r>
                    <w:rPr>
                      <w:rFonts w:ascii="Franklin Gothic Book" w:hAnsi="Franklin Gothic Book"/>
                      <w:spacing w:val="-12"/>
                      <w:sz w:val="20"/>
                    </w:rPr>
                    <w:t> </w:t>
                  </w:r>
                  <w:r>
                    <w:rPr>
                      <w:rFonts w:ascii="Franklin Gothic Book" w:hAnsi="Franklin Gothic Book"/>
                      <w:sz w:val="20"/>
                    </w:rPr>
                    <w:t>la</w:t>
                  </w:r>
                  <w:r>
                    <w:rPr>
                      <w:rFonts w:ascii="Franklin Gothic Book" w:hAnsi="Franklin Gothic Book"/>
                      <w:spacing w:val="-13"/>
                      <w:sz w:val="20"/>
                    </w:rPr>
                    <w:t> </w:t>
                  </w:r>
                  <w:r>
                    <w:rPr>
                      <w:rFonts w:ascii="Franklin Gothic Book" w:hAnsi="Franklin Gothic Book"/>
                      <w:sz w:val="20"/>
                    </w:rPr>
                    <w:t>loro</w:t>
                  </w:r>
                  <w:r>
                    <w:rPr>
                      <w:rFonts w:ascii="Franklin Gothic Book" w:hAnsi="Franklin Gothic Book"/>
                      <w:spacing w:val="-12"/>
                      <w:sz w:val="20"/>
                    </w:rPr>
                    <w:t> </w:t>
                  </w:r>
                  <w:r>
                    <w:rPr>
                      <w:rFonts w:ascii="Franklin Gothic Book" w:hAnsi="Franklin Gothic Book"/>
                      <w:sz w:val="20"/>
                    </w:rPr>
                    <w:t>rilevanza</w:t>
                  </w:r>
                  <w:r>
                    <w:rPr>
                      <w:rFonts w:ascii="Franklin Gothic Book" w:hAnsi="Franklin Gothic Book"/>
                      <w:spacing w:val="-13"/>
                      <w:sz w:val="20"/>
                    </w:rPr>
                    <w:t> </w:t>
                  </w:r>
                  <w:r>
                    <w:rPr>
                      <w:rFonts w:ascii="Franklin Gothic Book" w:hAnsi="Franklin Gothic Book"/>
                      <w:sz w:val="20"/>
                    </w:rPr>
                    <w:t>per</w:t>
                  </w:r>
                  <w:r>
                    <w:rPr>
                      <w:rFonts w:ascii="Franklin Gothic Book" w:hAnsi="Franklin Gothic Book"/>
                      <w:spacing w:val="-14"/>
                      <w:sz w:val="20"/>
                    </w:rPr>
                    <w:t> </w:t>
                  </w:r>
                  <w:r>
                    <w:rPr>
                      <w:rFonts w:ascii="Franklin Gothic Book" w:hAnsi="Franklin Gothic Book"/>
                      <w:sz w:val="20"/>
                    </w:rPr>
                    <w:t>un’economia</w:t>
                  </w:r>
                  <w:r>
                    <w:rPr>
                      <w:rFonts w:ascii="Franklin Gothic Book" w:hAnsi="Franklin Gothic Book"/>
                      <w:spacing w:val="-12"/>
                      <w:sz w:val="20"/>
                    </w:rPr>
                    <w:t> </w:t>
                  </w:r>
                  <w:r>
                    <w:rPr>
                      <w:rFonts w:ascii="Franklin Gothic Book" w:hAnsi="Franklin Gothic Book"/>
                      <w:sz w:val="20"/>
                    </w:rPr>
                    <w:t>aperta</w:t>
                  </w:r>
                  <w:r>
                    <w:rPr>
                      <w:rFonts w:ascii="Franklin Gothic Book" w:hAnsi="Franklin Gothic Book"/>
                      <w:spacing w:val="-12"/>
                      <w:sz w:val="20"/>
                    </w:rPr>
                    <w:t> </w:t>
                  </w:r>
                  <w:r>
                    <w:rPr>
                      <w:rFonts w:ascii="Franklin Gothic Book" w:hAnsi="Franklin Gothic Book"/>
                      <w:sz w:val="20"/>
                    </w:rPr>
                    <w:t>agli</w:t>
                  </w:r>
                  <w:r>
                    <w:rPr>
                      <w:rFonts w:ascii="Franklin Gothic Book" w:hAnsi="Franklin Gothic Book"/>
                      <w:spacing w:val="-12"/>
                      <w:sz w:val="20"/>
                    </w:rPr>
                    <w:t> </w:t>
                  </w:r>
                  <w:r>
                    <w:rPr>
                      <w:rFonts w:ascii="Franklin Gothic Book" w:hAnsi="Franklin Gothic Book"/>
                      <w:sz w:val="20"/>
                    </w:rPr>
                    <w:t>scambi</w:t>
                  </w:r>
                  <w:r>
                    <w:rPr>
                      <w:rFonts w:ascii="Franklin Gothic Book" w:hAnsi="Franklin Gothic Book"/>
                      <w:spacing w:val="-13"/>
                      <w:sz w:val="20"/>
                    </w:rPr>
                    <w:t> </w:t>
                  </w:r>
                  <w:r>
                    <w:rPr>
                      <w:rFonts w:ascii="Franklin Gothic Book" w:hAnsi="Franklin Gothic Book"/>
                      <w:sz w:val="20"/>
                    </w:rPr>
                    <w:t>con l’estero come quella italiana, si ritiene opportuno effettuare una valutazione di alcuni degli elementi di rischio insiti nel quadro tendenziale. Tramite il modello econometrico ITEM sono stati</w:t>
                  </w:r>
                  <w:r>
                    <w:rPr>
                      <w:rFonts w:ascii="Franklin Gothic Book" w:hAnsi="Franklin Gothic Book"/>
                      <w:spacing w:val="-6"/>
                      <w:sz w:val="20"/>
                    </w:rPr>
                    <w:t> </w:t>
                  </w:r>
                  <w:r>
                    <w:rPr>
                      <w:rFonts w:ascii="Franklin Gothic Book" w:hAnsi="Franklin Gothic Book"/>
                      <w:sz w:val="20"/>
                    </w:rPr>
                    <w:t>quindi</w:t>
                  </w:r>
                  <w:r>
                    <w:rPr>
                      <w:rFonts w:ascii="Franklin Gothic Book" w:hAnsi="Franklin Gothic Book"/>
                      <w:spacing w:val="-5"/>
                      <w:sz w:val="20"/>
                    </w:rPr>
                    <w:t> </w:t>
                  </w:r>
                  <w:r>
                    <w:rPr>
                      <w:rFonts w:ascii="Franklin Gothic Book" w:hAnsi="Franklin Gothic Book"/>
                      <w:sz w:val="20"/>
                    </w:rPr>
                    <w:t>simulati</w:t>
                  </w:r>
                  <w:r>
                    <w:rPr>
                      <w:rFonts w:ascii="Franklin Gothic Book" w:hAnsi="Franklin Gothic Book"/>
                      <w:spacing w:val="-6"/>
                      <w:sz w:val="20"/>
                    </w:rPr>
                    <w:t> </w:t>
                  </w:r>
                  <w:r>
                    <w:rPr>
                      <w:rFonts w:ascii="Franklin Gothic Book" w:hAnsi="Franklin Gothic Book"/>
                      <w:sz w:val="20"/>
                    </w:rPr>
                    <w:t>alcuni</w:t>
                  </w:r>
                  <w:r>
                    <w:rPr>
                      <w:rFonts w:ascii="Franklin Gothic Book" w:hAnsi="Franklin Gothic Book"/>
                      <w:spacing w:val="-4"/>
                      <w:sz w:val="20"/>
                    </w:rPr>
                    <w:t> </w:t>
                  </w:r>
                  <w:r>
                    <w:rPr>
                      <w:rFonts w:ascii="Franklin Gothic Book" w:hAnsi="Franklin Gothic Book"/>
                      <w:sz w:val="20"/>
                    </w:rPr>
                    <w:t>scenari</w:t>
                  </w:r>
                  <w:r>
                    <w:rPr>
                      <w:rFonts w:ascii="Franklin Gothic Book" w:hAnsi="Franklin Gothic Book"/>
                      <w:spacing w:val="-5"/>
                      <w:sz w:val="20"/>
                    </w:rPr>
                    <w:t> </w:t>
                  </w:r>
                  <w:r>
                    <w:rPr>
                      <w:rFonts w:ascii="Franklin Gothic Book" w:hAnsi="Franklin Gothic Book"/>
                      <w:sz w:val="20"/>
                    </w:rPr>
                    <w:t>alternativi</w:t>
                  </w:r>
                  <w:r>
                    <w:rPr>
                      <w:rFonts w:ascii="Franklin Gothic Book" w:hAnsi="Franklin Gothic Book"/>
                      <w:spacing w:val="-6"/>
                      <w:sz w:val="20"/>
                    </w:rPr>
                    <w:t> </w:t>
                  </w:r>
                  <w:r>
                    <w:rPr>
                      <w:rFonts w:ascii="Franklin Gothic Book" w:hAnsi="Franklin Gothic Book"/>
                      <w:sz w:val="20"/>
                    </w:rPr>
                    <w:t>con</w:t>
                  </w:r>
                  <w:r>
                    <w:rPr>
                      <w:rFonts w:ascii="Franklin Gothic Book" w:hAnsi="Franklin Gothic Book"/>
                      <w:spacing w:val="-5"/>
                      <w:sz w:val="20"/>
                    </w:rPr>
                    <w:t> </w:t>
                  </w:r>
                  <w:r>
                    <w:rPr>
                      <w:rFonts w:ascii="Franklin Gothic Book" w:hAnsi="Franklin Gothic Book"/>
                      <w:sz w:val="20"/>
                    </w:rPr>
                    <w:t>riferimento</w:t>
                  </w:r>
                  <w:r>
                    <w:rPr>
                      <w:rFonts w:ascii="Franklin Gothic Book" w:hAnsi="Franklin Gothic Book"/>
                      <w:spacing w:val="-5"/>
                      <w:sz w:val="20"/>
                    </w:rPr>
                    <w:t> </w:t>
                  </w:r>
                  <w:r>
                    <w:rPr>
                      <w:rFonts w:ascii="Franklin Gothic Book" w:hAnsi="Franklin Gothic Book"/>
                      <w:sz w:val="20"/>
                    </w:rPr>
                    <w:t>alle</w:t>
                  </w:r>
                  <w:r>
                    <w:rPr>
                      <w:rFonts w:ascii="Franklin Gothic Book" w:hAnsi="Franklin Gothic Book"/>
                      <w:spacing w:val="-6"/>
                      <w:sz w:val="20"/>
                    </w:rPr>
                    <w:t> </w:t>
                  </w:r>
                  <w:r>
                    <w:rPr>
                      <w:rFonts w:ascii="Franklin Gothic Book" w:hAnsi="Franklin Gothic Book"/>
                      <w:sz w:val="20"/>
                    </w:rPr>
                    <w:t>principali</w:t>
                  </w:r>
                  <w:r>
                    <w:rPr>
                      <w:rFonts w:ascii="Franklin Gothic Book" w:hAnsi="Franklin Gothic Book"/>
                      <w:spacing w:val="-4"/>
                      <w:sz w:val="20"/>
                    </w:rPr>
                    <w:t> </w:t>
                  </w:r>
                  <w:r>
                    <w:rPr>
                      <w:rFonts w:ascii="Franklin Gothic Book" w:hAnsi="Franklin Gothic Book"/>
                      <w:sz w:val="20"/>
                    </w:rPr>
                    <w:t>variabili</w:t>
                  </w:r>
                  <w:r>
                    <w:rPr>
                      <w:rFonts w:ascii="Franklin Gothic Book" w:hAnsi="Franklin Gothic Book"/>
                      <w:spacing w:val="-5"/>
                      <w:sz w:val="20"/>
                    </w:rPr>
                    <w:t> </w:t>
                  </w:r>
                  <w:r>
                    <w:rPr>
                      <w:rFonts w:ascii="Franklin Gothic Book" w:hAnsi="Franklin Gothic Book"/>
                      <w:sz w:val="20"/>
                    </w:rPr>
                    <w:t>esogene internazionali, ipotizzando per ognuna di esse un profilo differente rispetto a quello del quadro tendenziale onde valutarne l’impatto sul sentiero di crescita dell’economia italiana. In</w:t>
                  </w:r>
                  <w:r>
                    <w:rPr>
                      <w:rFonts w:ascii="Franklin Gothic Book" w:hAnsi="Franklin Gothic Book"/>
                      <w:spacing w:val="-8"/>
                      <w:sz w:val="20"/>
                    </w:rPr>
                    <w:t> </w:t>
                  </w:r>
                  <w:r>
                    <w:rPr>
                      <w:rFonts w:ascii="Franklin Gothic Book" w:hAnsi="Franklin Gothic Book"/>
                      <w:sz w:val="20"/>
                    </w:rPr>
                    <w:t>particolare,</w:t>
                  </w:r>
                  <w:r>
                    <w:rPr>
                      <w:rFonts w:ascii="Franklin Gothic Book" w:hAnsi="Franklin Gothic Book"/>
                      <w:spacing w:val="-7"/>
                      <w:sz w:val="20"/>
                    </w:rPr>
                    <w:t> </w:t>
                  </w:r>
                  <w:r>
                    <w:rPr>
                      <w:rFonts w:ascii="Franklin Gothic Book" w:hAnsi="Franklin Gothic Book"/>
                      <w:sz w:val="20"/>
                    </w:rPr>
                    <w:t>sono</w:t>
                  </w:r>
                  <w:r>
                    <w:rPr>
                      <w:rFonts w:ascii="Franklin Gothic Book" w:hAnsi="Franklin Gothic Book"/>
                      <w:spacing w:val="-8"/>
                      <w:sz w:val="20"/>
                    </w:rPr>
                    <w:t> </w:t>
                  </w:r>
                  <w:r>
                    <w:rPr>
                      <w:rFonts w:ascii="Franklin Gothic Book" w:hAnsi="Franklin Gothic Book"/>
                      <w:sz w:val="20"/>
                    </w:rPr>
                    <w:t>stati</w:t>
                  </w:r>
                  <w:r>
                    <w:rPr>
                      <w:rFonts w:ascii="Franklin Gothic Book" w:hAnsi="Franklin Gothic Book"/>
                      <w:spacing w:val="-7"/>
                      <w:sz w:val="20"/>
                    </w:rPr>
                    <w:t> </w:t>
                  </w:r>
                  <w:r>
                    <w:rPr>
                      <w:rFonts w:ascii="Franklin Gothic Book" w:hAnsi="Franklin Gothic Book"/>
                      <w:sz w:val="20"/>
                    </w:rPr>
                    <w:t>disegnati</w:t>
                  </w:r>
                  <w:r>
                    <w:rPr>
                      <w:rFonts w:ascii="Franklin Gothic Book" w:hAnsi="Franklin Gothic Book"/>
                      <w:spacing w:val="-7"/>
                      <w:sz w:val="20"/>
                    </w:rPr>
                    <w:t> </w:t>
                  </w:r>
                  <w:r>
                    <w:rPr>
                      <w:rFonts w:ascii="Franklin Gothic Book" w:hAnsi="Franklin Gothic Book"/>
                      <w:sz w:val="20"/>
                    </w:rPr>
                    <w:t>cinque</w:t>
                  </w:r>
                  <w:r>
                    <w:rPr>
                      <w:rFonts w:ascii="Franklin Gothic Book" w:hAnsi="Franklin Gothic Book"/>
                      <w:spacing w:val="-7"/>
                      <w:sz w:val="20"/>
                    </w:rPr>
                    <w:t> </w:t>
                  </w:r>
                  <w:r>
                    <w:rPr>
                      <w:rFonts w:ascii="Franklin Gothic Book" w:hAnsi="Franklin Gothic Book"/>
                      <w:sz w:val="20"/>
                    </w:rPr>
                    <w:t>scenari</w:t>
                  </w:r>
                  <w:r>
                    <w:rPr>
                      <w:rFonts w:ascii="Franklin Gothic Book" w:hAnsi="Franklin Gothic Book"/>
                      <w:spacing w:val="-7"/>
                      <w:sz w:val="20"/>
                    </w:rPr>
                    <w:t> </w:t>
                  </w:r>
                  <w:r>
                    <w:rPr>
                      <w:rFonts w:ascii="Franklin Gothic Book" w:hAnsi="Franklin Gothic Book"/>
                      <w:sz w:val="20"/>
                    </w:rPr>
                    <w:t>alternativi</w:t>
                  </w:r>
                  <w:r>
                    <w:rPr>
                      <w:rFonts w:ascii="Franklin Gothic Book" w:hAnsi="Franklin Gothic Book"/>
                      <w:spacing w:val="-8"/>
                      <w:sz w:val="20"/>
                    </w:rPr>
                    <w:t> </w:t>
                  </w:r>
                  <w:r>
                    <w:rPr>
                      <w:rFonts w:ascii="Franklin Gothic Book" w:hAnsi="Franklin Gothic Book"/>
                      <w:sz w:val="20"/>
                    </w:rPr>
                    <w:t>ciascuno</w:t>
                  </w:r>
                  <w:r>
                    <w:rPr>
                      <w:rFonts w:ascii="Franklin Gothic Book" w:hAnsi="Franklin Gothic Book"/>
                      <w:spacing w:val="-7"/>
                      <w:sz w:val="20"/>
                    </w:rPr>
                    <w:t> </w:t>
                  </w:r>
                  <w:r>
                    <w:rPr>
                      <w:rFonts w:ascii="Franklin Gothic Book" w:hAnsi="Franklin Gothic Book"/>
                      <w:sz w:val="20"/>
                    </w:rPr>
                    <w:t>dei</w:t>
                  </w:r>
                  <w:r>
                    <w:rPr>
                      <w:rFonts w:ascii="Franklin Gothic Book" w:hAnsi="Franklin Gothic Book"/>
                      <w:spacing w:val="-5"/>
                      <w:sz w:val="20"/>
                    </w:rPr>
                    <w:t> </w:t>
                  </w:r>
                  <w:r>
                    <w:rPr>
                      <w:rFonts w:ascii="Franklin Gothic Book" w:hAnsi="Franklin Gothic Book"/>
                      <w:sz w:val="20"/>
                    </w:rPr>
                    <w:t>quali</w:t>
                  </w:r>
                  <w:r>
                    <w:rPr>
                      <w:rFonts w:ascii="Franklin Gothic Book" w:hAnsi="Franklin Gothic Book"/>
                      <w:spacing w:val="-7"/>
                      <w:sz w:val="20"/>
                    </w:rPr>
                    <w:t> </w:t>
                  </w:r>
                  <w:r>
                    <w:rPr>
                      <w:rFonts w:ascii="Franklin Gothic Book" w:hAnsi="Franklin Gothic Book"/>
                      <w:sz w:val="20"/>
                    </w:rPr>
                    <w:t>si</w:t>
                  </w:r>
                  <w:r>
                    <w:rPr>
                      <w:rFonts w:ascii="Franklin Gothic Book" w:hAnsi="Franklin Gothic Book"/>
                      <w:spacing w:val="-7"/>
                      <w:sz w:val="20"/>
                    </w:rPr>
                    <w:t> </w:t>
                  </w:r>
                  <w:r>
                    <w:rPr>
                      <w:rFonts w:ascii="Franklin Gothic Book" w:hAnsi="Franklin Gothic Book"/>
                      <w:sz w:val="20"/>
                    </w:rPr>
                    <w:t>incentra</w:t>
                  </w:r>
                  <w:r>
                    <w:rPr>
                      <w:rFonts w:ascii="Franklin Gothic Book" w:hAnsi="Franklin Gothic Book"/>
                      <w:spacing w:val="-7"/>
                      <w:sz w:val="20"/>
                    </w:rPr>
                    <w:t> </w:t>
                  </w:r>
                  <w:r>
                    <w:rPr>
                      <w:rFonts w:ascii="Franklin Gothic Book" w:hAnsi="Franklin Gothic Book"/>
                      <w:sz w:val="20"/>
                    </w:rPr>
                    <w:t>su</w:t>
                  </w:r>
                </w:p>
              </w:txbxContent>
            </v:textbox>
            <v:fill type="solid"/>
            <w10:wrap type="topAndBottom"/>
          </v:shape>
        </w:pict>
      </w:r>
    </w:p>
    <w:p>
      <w:pPr>
        <w:spacing w:after="0"/>
        <w:rPr>
          <w:rFonts w:ascii="Franklin Gothic Book"/>
        </w:rPr>
        <w:sectPr>
          <w:pgSz w:w="11910" w:h="16840"/>
          <w:pgMar w:header="838" w:footer="866" w:top="1100" w:bottom="1060" w:left="1140" w:right="0"/>
        </w:sectPr>
      </w:pPr>
    </w:p>
    <w:p>
      <w:pPr>
        <w:pStyle w:val="BodyText"/>
        <w:rPr>
          <w:rFonts w:ascii="Franklin Gothic Book"/>
          <w:sz w:val="20"/>
        </w:rPr>
      </w:pPr>
    </w:p>
    <w:p>
      <w:pPr>
        <w:pStyle w:val="BodyText"/>
        <w:rPr>
          <w:rFonts w:ascii="Franklin Gothic Book"/>
          <w:sz w:val="20"/>
        </w:rPr>
      </w:pPr>
    </w:p>
    <w:p>
      <w:pPr>
        <w:pStyle w:val="BodyText"/>
        <w:spacing w:before="7"/>
        <w:rPr>
          <w:rFonts w:ascii="Franklin Gothic Book"/>
          <w:sz w:val="28"/>
        </w:rPr>
      </w:pPr>
    </w:p>
    <w:p>
      <w:pPr>
        <w:spacing w:line="254" w:lineRule="auto" w:before="100"/>
        <w:ind w:left="768" w:right="2268" w:firstLine="0"/>
        <w:jc w:val="both"/>
        <w:rPr>
          <w:rFonts w:ascii="Franklin Gothic Book" w:hAnsi="Franklin Gothic Book"/>
          <w:sz w:val="20"/>
        </w:rPr>
      </w:pPr>
      <w:r>
        <w:rPr/>
        <w:pict>
          <v:group style="position:absolute;margin-left:70.944pt;margin-top:4.565037pt;width:411.1pt;height:594.1pt;mso-position-horizontal-relative:page;mso-position-vertical-relative:paragraph;z-index:-266222592" coordorigin="1419,91" coordsize="8222,11882">
            <v:line style="position:absolute" from="1451,92" to="1451,11973" stroked="true" strokeweight=".36pt" strokecolor="#efefef">
              <v:stroke dashstyle="solid"/>
            </v:line>
            <v:shape style="position:absolute;left:1454;top:91;width:8186;height:11882" coordorigin="1455,91" coordsize="8186,11882" path="m9640,11252l1455,11252,1455,11493,1455,11733,1455,11973,9640,11973,9640,11733,9640,11493,9640,11252m9640,3571l1455,3571,1455,3812,1455,4052,1455,4292,1455,4532,1455,4772,1455,5072,1455,5312,1455,5552,1455,5792,1455,6032,1455,6272,1455,6512,1455,6812,1455,7052,1455,7292,1455,7532,1455,7532,1455,7772,1455,8012,1455,8252,1455,8552,1455,8792,1455,9032,1455,9272,1455,9512,1455,9752,1455,9992,1455,10232,1455,10472,1455,10712,1455,10952,1455,11252,9640,11252,9640,10952,9640,10712,9640,10472,9640,10232,9640,9992,9640,9752,9640,9512,9640,9272,9640,9032,9640,8792,9640,8552,9640,8252,9640,8012,9640,7772,9640,7532,9640,7532,9640,7292,9640,7052,9640,6812,9640,6512,9640,6272,9640,6032,9640,5792,9640,5552,9640,5312,9640,5072,9640,4772,9640,4532,9640,4292,9640,4052,9640,3812,9640,3571m9640,91l1455,91,1455,331,1455,571,1455,811,1455,1051,1455,1291,1455,1591,1455,1831,1455,2071,1455,2311,1455,2551,1455,2791,1455,3031,1455,3331,1455,3571,9640,3571,9640,3331,9640,3031,9640,2791,9640,2551,9640,2311,9640,2071,9640,1831,9640,1591,9640,1291,9640,1051,9640,811,9640,571,9640,331,9640,91e" filled="true" fillcolor="#efefef" stroked="false">
              <v:path arrowok="t"/>
              <v:fill type="solid"/>
            </v:shape>
            <v:line style="position:absolute" from="1433,92" to="1433,11973" stroked="true" strokeweight="1.44pt" strokecolor="#086d44">
              <v:stroke dashstyle="solid"/>
            </v:line>
            <w10:wrap type="none"/>
          </v:group>
        </w:pict>
      </w:r>
      <w:r>
        <w:rPr>
          <w:rFonts w:ascii="Franklin Gothic Book" w:hAnsi="Franklin Gothic Book"/>
          <w:sz w:val="20"/>
        </w:rPr>
        <w:t>uno specifico fattore di rischio per l’economia nazionale. Le prime due simulazioni vertono entrambe sui rischi di una revisione al ribasso dell’evoluzione del commercio internazionale dovuta, nel primo caso, ad un inasprimento delle tensioni commerciali tra gli Stati Uniti e la Cina che si accompagnerebbe a un innalzamento generalizzato dei dazi doganali e, nel secondo caso, a un’uscita disordinata del Regno Unito dall’Unione Europea.</w:t>
      </w:r>
    </w:p>
    <w:p>
      <w:pPr>
        <w:spacing w:line="254" w:lineRule="auto" w:before="58"/>
        <w:ind w:left="768" w:right="2264" w:firstLine="0"/>
        <w:jc w:val="both"/>
        <w:rPr>
          <w:rFonts w:ascii="Franklin Gothic Book" w:hAnsi="Franklin Gothic Book"/>
          <w:sz w:val="20"/>
        </w:rPr>
      </w:pPr>
      <w:r>
        <w:rPr>
          <w:rFonts w:ascii="Franklin Gothic Book" w:hAnsi="Franklin Gothic Book"/>
          <w:sz w:val="20"/>
        </w:rPr>
        <w:t>Per</w:t>
      </w:r>
      <w:r>
        <w:rPr>
          <w:rFonts w:ascii="Franklin Gothic Book" w:hAnsi="Franklin Gothic Book"/>
          <w:spacing w:val="-4"/>
          <w:sz w:val="20"/>
        </w:rPr>
        <w:t> </w:t>
      </w:r>
      <w:r>
        <w:rPr>
          <w:rFonts w:ascii="Franklin Gothic Book" w:hAnsi="Franklin Gothic Book"/>
          <w:sz w:val="20"/>
        </w:rPr>
        <w:t>quantificare</w:t>
      </w:r>
      <w:r>
        <w:rPr>
          <w:rFonts w:ascii="Franklin Gothic Book" w:hAnsi="Franklin Gothic Book"/>
          <w:spacing w:val="-5"/>
          <w:sz w:val="20"/>
        </w:rPr>
        <w:t> </w:t>
      </w:r>
      <w:r>
        <w:rPr>
          <w:rFonts w:ascii="Franklin Gothic Book" w:hAnsi="Franklin Gothic Book"/>
          <w:sz w:val="20"/>
        </w:rPr>
        <w:t>l’impatto</w:t>
      </w:r>
      <w:r>
        <w:rPr>
          <w:rFonts w:ascii="Franklin Gothic Book" w:hAnsi="Franklin Gothic Book"/>
          <w:spacing w:val="-5"/>
          <w:sz w:val="20"/>
        </w:rPr>
        <w:t> </w:t>
      </w:r>
      <w:r>
        <w:rPr>
          <w:rFonts w:ascii="Franklin Gothic Book" w:hAnsi="Franklin Gothic Book"/>
          <w:sz w:val="20"/>
        </w:rPr>
        <w:t>sul</w:t>
      </w:r>
      <w:r>
        <w:rPr>
          <w:rFonts w:ascii="Franklin Gothic Book" w:hAnsi="Franklin Gothic Book"/>
          <w:spacing w:val="-4"/>
          <w:sz w:val="20"/>
        </w:rPr>
        <w:t> </w:t>
      </w:r>
      <w:r>
        <w:rPr>
          <w:rFonts w:ascii="Franklin Gothic Book" w:hAnsi="Franklin Gothic Book"/>
          <w:sz w:val="20"/>
        </w:rPr>
        <w:t>commercio</w:t>
      </w:r>
      <w:r>
        <w:rPr>
          <w:rFonts w:ascii="Franklin Gothic Book" w:hAnsi="Franklin Gothic Book"/>
          <w:spacing w:val="-5"/>
          <w:sz w:val="20"/>
        </w:rPr>
        <w:t> </w:t>
      </w:r>
      <w:r>
        <w:rPr>
          <w:rFonts w:ascii="Franklin Gothic Book" w:hAnsi="Franklin Gothic Book"/>
          <w:sz w:val="20"/>
        </w:rPr>
        <w:t>mondiale</w:t>
      </w:r>
      <w:r>
        <w:rPr>
          <w:rFonts w:ascii="Franklin Gothic Book" w:hAnsi="Franklin Gothic Book"/>
          <w:spacing w:val="-5"/>
          <w:sz w:val="20"/>
        </w:rPr>
        <w:t> </w:t>
      </w:r>
      <w:r>
        <w:rPr>
          <w:rFonts w:ascii="Franklin Gothic Book" w:hAnsi="Franklin Gothic Book"/>
          <w:sz w:val="20"/>
        </w:rPr>
        <w:t>di</w:t>
      </w:r>
      <w:r>
        <w:rPr>
          <w:rFonts w:ascii="Franklin Gothic Book" w:hAnsi="Franklin Gothic Book"/>
          <w:spacing w:val="-5"/>
          <w:sz w:val="20"/>
        </w:rPr>
        <w:t> </w:t>
      </w:r>
      <w:r>
        <w:rPr>
          <w:rFonts w:ascii="Franklin Gothic Book" w:hAnsi="Franklin Gothic Book"/>
          <w:sz w:val="20"/>
        </w:rPr>
        <w:t>ciascuno</w:t>
      </w:r>
      <w:r>
        <w:rPr>
          <w:rFonts w:ascii="Franklin Gothic Book" w:hAnsi="Franklin Gothic Book"/>
          <w:spacing w:val="-5"/>
          <w:sz w:val="20"/>
        </w:rPr>
        <w:t> </w:t>
      </w:r>
      <w:r>
        <w:rPr>
          <w:rFonts w:ascii="Franklin Gothic Book" w:hAnsi="Franklin Gothic Book"/>
          <w:sz w:val="20"/>
        </w:rPr>
        <w:t>dei</w:t>
      </w:r>
      <w:r>
        <w:rPr>
          <w:rFonts w:ascii="Franklin Gothic Book" w:hAnsi="Franklin Gothic Book"/>
          <w:spacing w:val="-4"/>
          <w:sz w:val="20"/>
        </w:rPr>
        <w:t> </w:t>
      </w:r>
      <w:r>
        <w:rPr>
          <w:rFonts w:ascii="Franklin Gothic Book" w:hAnsi="Franklin Gothic Book"/>
          <w:sz w:val="20"/>
        </w:rPr>
        <w:t>due</w:t>
      </w:r>
      <w:r>
        <w:rPr>
          <w:rFonts w:ascii="Franklin Gothic Book" w:hAnsi="Franklin Gothic Book"/>
          <w:spacing w:val="-5"/>
          <w:sz w:val="20"/>
        </w:rPr>
        <w:t> </w:t>
      </w:r>
      <w:r>
        <w:rPr>
          <w:rFonts w:ascii="Franklin Gothic Book" w:hAnsi="Franklin Gothic Book"/>
          <w:sz w:val="20"/>
        </w:rPr>
        <w:t>scenari</w:t>
      </w:r>
      <w:r>
        <w:rPr>
          <w:rFonts w:ascii="Franklin Gothic Book" w:hAnsi="Franklin Gothic Book"/>
          <w:spacing w:val="-5"/>
          <w:sz w:val="20"/>
        </w:rPr>
        <w:t> </w:t>
      </w:r>
      <w:r>
        <w:rPr>
          <w:rFonts w:ascii="Franklin Gothic Book" w:hAnsi="Franklin Gothic Book"/>
          <w:sz w:val="20"/>
        </w:rPr>
        <w:t>di</w:t>
      </w:r>
      <w:r>
        <w:rPr>
          <w:rFonts w:ascii="Franklin Gothic Book" w:hAnsi="Franklin Gothic Book"/>
          <w:spacing w:val="-3"/>
          <w:sz w:val="20"/>
        </w:rPr>
        <w:t> </w:t>
      </w:r>
      <w:r>
        <w:rPr>
          <w:rFonts w:ascii="Franklin Gothic Book" w:hAnsi="Franklin Gothic Book"/>
          <w:sz w:val="20"/>
        </w:rPr>
        <w:t>rischio</w:t>
      </w:r>
      <w:r>
        <w:rPr>
          <w:rFonts w:ascii="Franklin Gothic Book" w:hAnsi="Franklin Gothic Book"/>
          <w:spacing w:val="-4"/>
          <w:sz w:val="20"/>
        </w:rPr>
        <w:t> </w:t>
      </w:r>
      <w:r>
        <w:rPr>
          <w:rFonts w:ascii="Franklin Gothic Book" w:hAnsi="Franklin Gothic Book"/>
          <w:sz w:val="20"/>
        </w:rPr>
        <w:t>si</w:t>
      </w:r>
      <w:r>
        <w:rPr>
          <w:rFonts w:ascii="Franklin Gothic Book" w:hAnsi="Franklin Gothic Book"/>
          <w:spacing w:val="-5"/>
          <w:sz w:val="20"/>
        </w:rPr>
        <w:t> </w:t>
      </w:r>
      <w:r>
        <w:rPr>
          <w:rFonts w:ascii="Franklin Gothic Book" w:hAnsi="Franklin Gothic Book"/>
          <w:sz w:val="20"/>
        </w:rPr>
        <w:t>è fatto riferimento alle valutazioni effettuate al riguardo da </w:t>
      </w:r>
      <w:r>
        <w:rPr>
          <w:rFonts w:ascii="Franklin Gothic Book" w:hAnsi="Franklin Gothic Book"/>
          <w:i/>
          <w:sz w:val="20"/>
        </w:rPr>
        <w:t>Oxford Economics </w:t>
      </w:r>
      <w:r>
        <w:rPr>
          <w:rFonts w:ascii="Franklin Gothic Book" w:hAnsi="Franklin Gothic Book"/>
          <w:sz w:val="20"/>
        </w:rPr>
        <w:t>avvalendosi del loro modello globale. Quest’ultimo ha una copertura estesa a circa 80 Paesi considerati simultaneamente,</w:t>
      </w:r>
      <w:r>
        <w:rPr>
          <w:rFonts w:ascii="Franklin Gothic Book" w:hAnsi="Franklin Gothic Book"/>
          <w:spacing w:val="-12"/>
          <w:sz w:val="20"/>
        </w:rPr>
        <w:t> </w:t>
      </w:r>
      <w:r>
        <w:rPr>
          <w:rFonts w:ascii="Franklin Gothic Book" w:hAnsi="Franklin Gothic Book"/>
          <w:sz w:val="20"/>
        </w:rPr>
        <w:t>il</w:t>
      </w:r>
      <w:r>
        <w:rPr>
          <w:rFonts w:ascii="Franklin Gothic Book" w:hAnsi="Franklin Gothic Book"/>
          <w:spacing w:val="-12"/>
          <w:sz w:val="20"/>
        </w:rPr>
        <w:t> </w:t>
      </w:r>
      <w:r>
        <w:rPr>
          <w:rFonts w:ascii="Franklin Gothic Book" w:hAnsi="Franklin Gothic Book"/>
          <w:sz w:val="20"/>
        </w:rPr>
        <w:t>che</w:t>
      </w:r>
      <w:r>
        <w:rPr>
          <w:rFonts w:ascii="Franklin Gothic Book" w:hAnsi="Franklin Gothic Book"/>
          <w:spacing w:val="-8"/>
          <w:sz w:val="20"/>
        </w:rPr>
        <w:t> </w:t>
      </w:r>
      <w:r>
        <w:rPr>
          <w:rFonts w:ascii="Franklin Gothic Book" w:hAnsi="Franklin Gothic Book"/>
          <w:sz w:val="20"/>
        </w:rPr>
        <w:t>consente</w:t>
      </w:r>
      <w:r>
        <w:rPr>
          <w:rFonts w:ascii="Franklin Gothic Book" w:hAnsi="Franklin Gothic Book"/>
          <w:spacing w:val="-13"/>
          <w:sz w:val="20"/>
        </w:rPr>
        <w:t> </w:t>
      </w:r>
      <w:r>
        <w:rPr>
          <w:rFonts w:ascii="Franklin Gothic Book" w:hAnsi="Franklin Gothic Book"/>
          <w:sz w:val="20"/>
        </w:rPr>
        <w:t>di</w:t>
      </w:r>
      <w:r>
        <w:rPr>
          <w:rFonts w:ascii="Franklin Gothic Book" w:hAnsi="Franklin Gothic Book"/>
          <w:spacing w:val="-12"/>
          <w:sz w:val="20"/>
        </w:rPr>
        <w:t> </w:t>
      </w:r>
      <w:r>
        <w:rPr>
          <w:rFonts w:ascii="Franklin Gothic Book" w:hAnsi="Franklin Gothic Book"/>
          <w:sz w:val="20"/>
        </w:rPr>
        <w:t>tenere</w:t>
      </w:r>
      <w:r>
        <w:rPr>
          <w:rFonts w:ascii="Franklin Gothic Book" w:hAnsi="Franklin Gothic Book"/>
          <w:spacing w:val="-10"/>
          <w:sz w:val="20"/>
        </w:rPr>
        <w:t> </w:t>
      </w:r>
      <w:r>
        <w:rPr>
          <w:rFonts w:ascii="Franklin Gothic Book" w:hAnsi="Franklin Gothic Book"/>
          <w:sz w:val="20"/>
        </w:rPr>
        <w:t>conto</w:t>
      </w:r>
      <w:r>
        <w:rPr>
          <w:rFonts w:ascii="Franklin Gothic Book" w:hAnsi="Franklin Gothic Book"/>
          <w:spacing w:val="-12"/>
          <w:sz w:val="20"/>
        </w:rPr>
        <w:t> </w:t>
      </w:r>
      <w:r>
        <w:rPr>
          <w:rFonts w:ascii="Franklin Gothic Book" w:hAnsi="Franklin Gothic Book"/>
          <w:sz w:val="20"/>
        </w:rPr>
        <w:t>in</w:t>
      </w:r>
      <w:r>
        <w:rPr>
          <w:rFonts w:ascii="Franklin Gothic Book" w:hAnsi="Franklin Gothic Book"/>
          <w:spacing w:val="-11"/>
          <w:sz w:val="20"/>
        </w:rPr>
        <w:t> </w:t>
      </w:r>
      <w:r>
        <w:rPr>
          <w:rFonts w:ascii="Franklin Gothic Book" w:hAnsi="Franklin Gothic Book"/>
          <w:sz w:val="20"/>
        </w:rPr>
        <w:t>modo</w:t>
      </w:r>
      <w:r>
        <w:rPr>
          <w:rFonts w:ascii="Franklin Gothic Book" w:hAnsi="Franklin Gothic Book"/>
          <w:spacing w:val="-9"/>
          <w:sz w:val="20"/>
        </w:rPr>
        <w:t> </w:t>
      </w:r>
      <w:r>
        <w:rPr>
          <w:rFonts w:ascii="Franklin Gothic Book" w:hAnsi="Franklin Gothic Book"/>
          <w:sz w:val="20"/>
        </w:rPr>
        <w:t>coerente</w:t>
      </w:r>
      <w:r>
        <w:rPr>
          <w:rFonts w:ascii="Franklin Gothic Book" w:hAnsi="Franklin Gothic Book"/>
          <w:spacing w:val="-12"/>
          <w:sz w:val="20"/>
        </w:rPr>
        <w:t> </w:t>
      </w:r>
      <w:r>
        <w:rPr>
          <w:rFonts w:ascii="Franklin Gothic Book" w:hAnsi="Franklin Gothic Book"/>
          <w:sz w:val="20"/>
        </w:rPr>
        <w:t>della</w:t>
      </w:r>
      <w:r>
        <w:rPr>
          <w:rFonts w:ascii="Franklin Gothic Book" w:hAnsi="Franklin Gothic Book"/>
          <w:spacing w:val="-10"/>
          <w:sz w:val="20"/>
        </w:rPr>
        <w:t> </w:t>
      </w:r>
      <w:r>
        <w:rPr>
          <w:rFonts w:ascii="Franklin Gothic Book" w:hAnsi="Franklin Gothic Book"/>
          <w:sz w:val="20"/>
        </w:rPr>
        <w:t>rete</w:t>
      </w:r>
      <w:r>
        <w:rPr>
          <w:rFonts w:ascii="Franklin Gothic Book" w:hAnsi="Franklin Gothic Book"/>
          <w:spacing w:val="-12"/>
          <w:sz w:val="20"/>
        </w:rPr>
        <w:t> </w:t>
      </w:r>
      <w:r>
        <w:rPr>
          <w:rFonts w:ascii="Franklin Gothic Book" w:hAnsi="Franklin Gothic Book"/>
          <w:sz w:val="20"/>
        </w:rPr>
        <w:t>di</w:t>
      </w:r>
      <w:r>
        <w:rPr>
          <w:rFonts w:ascii="Franklin Gothic Book" w:hAnsi="Franklin Gothic Book"/>
          <w:spacing w:val="-12"/>
          <w:sz w:val="20"/>
        </w:rPr>
        <w:t> </w:t>
      </w:r>
      <w:r>
        <w:rPr>
          <w:rFonts w:ascii="Franklin Gothic Book" w:hAnsi="Franklin Gothic Book"/>
          <w:sz w:val="20"/>
        </w:rPr>
        <w:t>integrazione che innerva l’economia mondiale. Pertanto, gli scostamenti percentuali tra i livelli della domanda mondiale in ciascuno dei due scenari e quelli dello scenario di base della NADEF sono stati innestati nel modello ITEM per valutarne l’impatto sull’economia</w:t>
      </w:r>
      <w:r>
        <w:rPr>
          <w:rFonts w:ascii="Franklin Gothic Book" w:hAnsi="Franklin Gothic Book"/>
          <w:spacing w:val="-17"/>
          <w:sz w:val="20"/>
        </w:rPr>
        <w:t> </w:t>
      </w:r>
      <w:r>
        <w:rPr>
          <w:rFonts w:ascii="Franklin Gothic Book" w:hAnsi="Franklin Gothic Book"/>
          <w:sz w:val="20"/>
        </w:rPr>
        <w:t>italiana.</w:t>
      </w:r>
    </w:p>
    <w:p>
      <w:pPr>
        <w:spacing w:line="254" w:lineRule="auto" w:before="57"/>
        <w:ind w:left="768" w:right="2265" w:firstLine="0"/>
        <w:jc w:val="both"/>
        <w:rPr>
          <w:rFonts w:ascii="Franklin Gothic Book" w:hAnsi="Franklin Gothic Book"/>
          <w:sz w:val="20"/>
        </w:rPr>
      </w:pPr>
      <w:r>
        <w:rPr>
          <w:rFonts w:ascii="Franklin Gothic Book" w:hAnsi="Franklin Gothic Book"/>
          <w:sz w:val="20"/>
        </w:rPr>
        <w:t>Nel quadro internazionale della NADEF, il 2019 è stato caratterizzato da un progressivo rallentamento</w:t>
      </w:r>
      <w:r>
        <w:rPr>
          <w:rFonts w:ascii="Franklin Gothic Book" w:hAnsi="Franklin Gothic Book"/>
          <w:spacing w:val="-10"/>
          <w:sz w:val="20"/>
        </w:rPr>
        <w:t> </w:t>
      </w:r>
      <w:r>
        <w:rPr>
          <w:rFonts w:ascii="Franklin Gothic Book" w:hAnsi="Franklin Gothic Book"/>
          <w:sz w:val="20"/>
        </w:rPr>
        <w:t>del</w:t>
      </w:r>
      <w:r>
        <w:rPr>
          <w:rFonts w:ascii="Franklin Gothic Book" w:hAnsi="Franklin Gothic Book"/>
          <w:spacing w:val="-10"/>
          <w:sz w:val="20"/>
        </w:rPr>
        <w:t> </w:t>
      </w:r>
      <w:r>
        <w:rPr>
          <w:rFonts w:ascii="Franklin Gothic Book" w:hAnsi="Franklin Gothic Book"/>
          <w:sz w:val="20"/>
        </w:rPr>
        <w:t>commercio</w:t>
      </w:r>
      <w:r>
        <w:rPr>
          <w:rFonts w:ascii="Franklin Gothic Book" w:hAnsi="Franklin Gothic Book"/>
          <w:spacing w:val="-9"/>
          <w:sz w:val="20"/>
        </w:rPr>
        <w:t> </w:t>
      </w:r>
      <w:r>
        <w:rPr>
          <w:rFonts w:ascii="Franklin Gothic Book" w:hAnsi="Franklin Gothic Book"/>
          <w:sz w:val="20"/>
        </w:rPr>
        <w:t>mondiale</w:t>
      </w:r>
      <w:r>
        <w:rPr>
          <w:rFonts w:ascii="Franklin Gothic Book" w:hAnsi="Franklin Gothic Book"/>
          <w:spacing w:val="-10"/>
          <w:sz w:val="20"/>
        </w:rPr>
        <w:t> </w:t>
      </w:r>
      <w:r>
        <w:rPr>
          <w:rFonts w:ascii="Franklin Gothic Book" w:hAnsi="Franklin Gothic Book"/>
          <w:sz w:val="20"/>
        </w:rPr>
        <w:t>che</w:t>
      </w:r>
      <w:r>
        <w:rPr>
          <w:rFonts w:ascii="Franklin Gothic Book" w:hAnsi="Franklin Gothic Book"/>
          <w:spacing w:val="-9"/>
          <w:sz w:val="20"/>
        </w:rPr>
        <w:t> </w:t>
      </w:r>
      <w:r>
        <w:rPr>
          <w:rFonts w:ascii="Franklin Gothic Book" w:hAnsi="Franklin Gothic Book"/>
          <w:sz w:val="20"/>
        </w:rPr>
        <w:t>ha</w:t>
      </w:r>
      <w:r>
        <w:rPr>
          <w:rFonts w:ascii="Franklin Gothic Book" w:hAnsi="Franklin Gothic Book"/>
          <w:spacing w:val="-9"/>
          <w:sz w:val="20"/>
        </w:rPr>
        <w:t> </w:t>
      </w:r>
      <w:r>
        <w:rPr>
          <w:rFonts w:ascii="Franklin Gothic Book" w:hAnsi="Franklin Gothic Book"/>
          <w:sz w:val="20"/>
        </w:rPr>
        <w:t>comportato</w:t>
      </w:r>
      <w:r>
        <w:rPr>
          <w:rFonts w:ascii="Franklin Gothic Book" w:hAnsi="Franklin Gothic Book"/>
          <w:spacing w:val="-9"/>
          <w:sz w:val="20"/>
        </w:rPr>
        <w:t> </w:t>
      </w:r>
      <w:r>
        <w:rPr>
          <w:rFonts w:ascii="Franklin Gothic Book" w:hAnsi="Franklin Gothic Book"/>
          <w:sz w:val="20"/>
        </w:rPr>
        <w:t>una</w:t>
      </w:r>
      <w:r>
        <w:rPr>
          <w:rFonts w:ascii="Franklin Gothic Book" w:hAnsi="Franklin Gothic Book"/>
          <w:spacing w:val="-10"/>
          <w:sz w:val="20"/>
        </w:rPr>
        <w:t> </w:t>
      </w:r>
      <w:r>
        <w:rPr>
          <w:rFonts w:ascii="Franklin Gothic Book" w:hAnsi="Franklin Gothic Book"/>
          <w:sz w:val="20"/>
        </w:rPr>
        <w:t>revisione</w:t>
      </w:r>
      <w:r>
        <w:rPr>
          <w:rFonts w:ascii="Franklin Gothic Book" w:hAnsi="Franklin Gothic Book"/>
          <w:spacing w:val="-10"/>
          <w:sz w:val="20"/>
        </w:rPr>
        <w:t> </w:t>
      </w:r>
      <w:r>
        <w:rPr>
          <w:rFonts w:ascii="Franklin Gothic Book" w:hAnsi="Franklin Gothic Book"/>
          <w:sz w:val="20"/>
        </w:rPr>
        <w:t>al</w:t>
      </w:r>
      <w:r>
        <w:rPr>
          <w:rFonts w:ascii="Franklin Gothic Book" w:hAnsi="Franklin Gothic Book"/>
          <w:spacing w:val="-9"/>
          <w:sz w:val="20"/>
        </w:rPr>
        <w:t> </w:t>
      </w:r>
      <w:r>
        <w:rPr>
          <w:rFonts w:ascii="Franklin Gothic Book" w:hAnsi="Franklin Gothic Book"/>
          <w:sz w:val="20"/>
        </w:rPr>
        <w:t>ribasso</w:t>
      </w:r>
      <w:r>
        <w:rPr>
          <w:rFonts w:ascii="Franklin Gothic Book" w:hAnsi="Franklin Gothic Book"/>
          <w:spacing w:val="-9"/>
          <w:sz w:val="20"/>
        </w:rPr>
        <w:t> </w:t>
      </w:r>
      <w:r>
        <w:rPr>
          <w:rFonts w:ascii="Franklin Gothic Book" w:hAnsi="Franklin Gothic Book"/>
          <w:sz w:val="20"/>
        </w:rPr>
        <w:t>delle</w:t>
      </w:r>
      <w:r>
        <w:rPr>
          <w:rFonts w:ascii="Franklin Gothic Book" w:hAnsi="Franklin Gothic Book"/>
          <w:spacing w:val="-11"/>
          <w:sz w:val="20"/>
        </w:rPr>
        <w:t> </w:t>
      </w:r>
      <w:r>
        <w:rPr>
          <w:rFonts w:ascii="Franklin Gothic Book" w:hAnsi="Franklin Gothic Book"/>
          <w:spacing w:val="2"/>
          <w:sz w:val="20"/>
        </w:rPr>
        <w:t>sue </w:t>
      </w:r>
      <w:r>
        <w:rPr>
          <w:rFonts w:ascii="Franklin Gothic Book" w:hAnsi="Franklin Gothic Book"/>
          <w:sz w:val="20"/>
        </w:rPr>
        <w:t>prospettive di crescita. Per l’anno in corso si prefigura un tasso di crescita della domanda mondiale pesata per l’Italia dell’1,5 per cento che risulta più contenuto rispetto sia a quello del 2018 sia a quanto indicato nell’ultimo DEF. In tale scenario la dinamica della domanda mondiale</w:t>
      </w:r>
      <w:r>
        <w:rPr>
          <w:rFonts w:ascii="Franklin Gothic Book" w:hAnsi="Franklin Gothic Book"/>
          <w:spacing w:val="-5"/>
          <w:sz w:val="20"/>
        </w:rPr>
        <w:t> </w:t>
      </w:r>
      <w:r>
        <w:rPr>
          <w:rFonts w:ascii="Franklin Gothic Book" w:hAnsi="Franklin Gothic Book"/>
          <w:sz w:val="20"/>
        </w:rPr>
        <w:t>accelera</w:t>
      </w:r>
      <w:r>
        <w:rPr>
          <w:rFonts w:ascii="Franklin Gothic Book" w:hAnsi="Franklin Gothic Book"/>
          <w:spacing w:val="-4"/>
          <w:sz w:val="20"/>
        </w:rPr>
        <w:t> </w:t>
      </w:r>
      <w:r>
        <w:rPr>
          <w:rFonts w:ascii="Franklin Gothic Book" w:hAnsi="Franklin Gothic Book"/>
          <w:sz w:val="20"/>
        </w:rPr>
        <w:t>nel</w:t>
      </w:r>
      <w:r>
        <w:rPr>
          <w:rFonts w:ascii="Franklin Gothic Book" w:hAnsi="Franklin Gothic Book"/>
          <w:spacing w:val="-4"/>
          <w:sz w:val="20"/>
        </w:rPr>
        <w:t> </w:t>
      </w:r>
      <w:r>
        <w:rPr>
          <w:rFonts w:ascii="Franklin Gothic Book" w:hAnsi="Franklin Gothic Book"/>
          <w:sz w:val="20"/>
        </w:rPr>
        <w:t>2020</w:t>
      </w:r>
      <w:r>
        <w:rPr>
          <w:rFonts w:ascii="Franklin Gothic Book" w:hAnsi="Franklin Gothic Book"/>
          <w:spacing w:val="-4"/>
          <w:sz w:val="20"/>
        </w:rPr>
        <w:t> </w:t>
      </w:r>
      <w:r>
        <w:rPr>
          <w:rFonts w:ascii="Franklin Gothic Book" w:hAnsi="Franklin Gothic Book"/>
          <w:sz w:val="20"/>
        </w:rPr>
        <w:t>(1,9</w:t>
      </w:r>
      <w:r>
        <w:rPr>
          <w:rFonts w:ascii="Franklin Gothic Book" w:hAnsi="Franklin Gothic Book"/>
          <w:spacing w:val="-3"/>
          <w:sz w:val="20"/>
        </w:rPr>
        <w:t> </w:t>
      </w:r>
      <w:r>
        <w:rPr>
          <w:rFonts w:ascii="Franklin Gothic Book" w:hAnsi="Franklin Gothic Book"/>
          <w:sz w:val="20"/>
        </w:rPr>
        <w:t>per</w:t>
      </w:r>
      <w:r>
        <w:rPr>
          <w:rFonts w:ascii="Franklin Gothic Book" w:hAnsi="Franklin Gothic Book"/>
          <w:spacing w:val="-6"/>
          <w:sz w:val="20"/>
        </w:rPr>
        <w:t> </w:t>
      </w:r>
      <w:r>
        <w:rPr>
          <w:rFonts w:ascii="Franklin Gothic Book" w:hAnsi="Franklin Gothic Book"/>
          <w:sz w:val="20"/>
        </w:rPr>
        <w:t>cento)</w:t>
      </w:r>
      <w:r>
        <w:rPr>
          <w:rFonts w:ascii="Franklin Gothic Book" w:hAnsi="Franklin Gothic Book"/>
          <w:spacing w:val="-4"/>
          <w:sz w:val="20"/>
        </w:rPr>
        <w:t> </w:t>
      </w:r>
      <w:r>
        <w:rPr>
          <w:rFonts w:ascii="Franklin Gothic Book" w:hAnsi="Franklin Gothic Book"/>
          <w:sz w:val="20"/>
        </w:rPr>
        <w:t>e</w:t>
      </w:r>
      <w:r>
        <w:rPr>
          <w:rFonts w:ascii="Franklin Gothic Book" w:hAnsi="Franklin Gothic Book"/>
          <w:spacing w:val="-2"/>
          <w:sz w:val="20"/>
        </w:rPr>
        <w:t> </w:t>
      </w:r>
      <w:r>
        <w:rPr>
          <w:rFonts w:ascii="Franklin Gothic Book" w:hAnsi="Franklin Gothic Book"/>
          <w:sz w:val="20"/>
        </w:rPr>
        <w:t>nei</w:t>
      </w:r>
      <w:r>
        <w:rPr>
          <w:rFonts w:ascii="Franklin Gothic Book" w:hAnsi="Franklin Gothic Book"/>
          <w:spacing w:val="-5"/>
          <w:sz w:val="20"/>
        </w:rPr>
        <w:t> </w:t>
      </w:r>
      <w:r>
        <w:rPr>
          <w:rFonts w:ascii="Franklin Gothic Book" w:hAnsi="Franklin Gothic Book"/>
          <w:sz w:val="20"/>
        </w:rPr>
        <w:t>due</w:t>
      </w:r>
      <w:r>
        <w:rPr>
          <w:rFonts w:ascii="Franklin Gothic Book" w:hAnsi="Franklin Gothic Book"/>
          <w:spacing w:val="-4"/>
          <w:sz w:val="20"/>
        </w:rPr>
        <w:t> </w:t>
      </w:r>
      <w:r>
        <w:rPr>
          <w:rFonts w:ascii="Franklin Gothic Book" w:hAnsi="Franklin Gothic Book"/>
          <w:sz w:val="20"/>
        </w:rPr>
        <w:t>anni</w:t>
      </w:r>
      <w:r>
        <w:rPr>
          <w:rFonts w:ascii="Franklin Gothic Book" w:hAnsi="Franklin Gothic Book"/>
          <w:spacing w:val="-5"/>
          <w:sz w:val="20"/>
        </w:rPr>
        <w:t> </w:t>
      </w:r>
      <w:r>
        <w:rPr>
          <w:rFonts w:ascii="Franklin Gothic Book" w:hAnsi="Franklin Gothic Book"/>
          <w:sz w:val="20"/>
        </w:rPr>
        <w:t>successivi</w:t>
      </w:r>
      <w:r>
        <w:rPr>
          <w:rFonts w:ascii="Franklin Gothic Book" w:hAnsi="Franklin Gothic Book"/>
          <w:spacing w:val="-4"/>
          <w:sz w:val="20"/>
        </w:rPr>
        <w:t> </w:t>
      </w:r>
      <w:r>
        <w:rPr>
          <w:rFonts w:ascii="Franklin Gothic Book" w:hAnsi="Franklin Gothic Book"/>
          <w:sz w:val="20"/>
        </w:rPr>
        <w:t>(rispettivamente</w:t>
      </w:r>
      <w:r>
        <w:rPr>
          <w:rFonts w:ascii="Franklin Gothic Book" w:hAnsi="Franklin Gothic Book"/>
          <w:spacing w:val="-2"/>
          <w:sz w:val="20"/>
        </w:rPr>
        <w:t> </w:t>
      </w:r>
      <w:r>
        <w:rPr>
          <w:rFonts w:ascii="Franklin Gothic Book" w:hAnsi="Franklin Gothic Book"/>
          <w:sz w:val="20"/>
        </w:rPr>
        <w:t>3,0</w:t>
      </w:r>
      <w:r>
        <w:rPr>
          <w:rFonts w:ascii="Franklin Gothic Book" w:hAnsi="Franklin Gothic Book"/>
          <w:spacing w:val="-4"/>
          <w:sz w:val="20"/>
        </w:rPr>
        <w:t> </w:t>
      </w:r>
      <w:r>
        <w:rPr>
          <w:rFonts w:ascii="Franklin Gothic Book" w:hAnsi="Franklin Gothic Book"/>
          <w:sz w:val="20"/>
        </w:rPr>
        <w:t>e 3,2 per</w:t>
      </w:r>
      <w:r>
        <w:rPr>
          <w:rFonts w:ascii="Franklin Gothic Book" w:hAnsi="Franklin Gothic Book"/>
          <w:spacing w:val="-3"/>
          <w:sz w:val="20"/>
        </w:rPr>
        <w:t> </w:t>
      </w:r>
      <w:r>
        <w:rPr>
          <w:rFonts w:ascii="Franklin Gothic Book" w:hAnsi="Franklin Gothic Book"/>
          <w:sz w:val="20"/>
        </w:rPr>
        <w:t>cento).</w:t>
      </w:r>
    </w:p>
    <w:p>
      <w:pPr>
        <w:spacing w:line="254" w:lineRule="auto" w:before="58"/>
        <w:ind w:left="768" w:right="2263" w:firstLine="0"/>
        <w:jc w:val="both"/>
        <w:rPr>
          <w:rFonts w:ascii="Franklin Gothic Book" w:hAnsi="Franklin Gothic Book"/>
          <w:sz w:val="20"/>
        </w:rPr>
      </w:pPr>
      <w:r>
        <w:rPr>
          <w:rFonts w:ascii="Franklin Gothic Book" w:hAnsi="Franklin Gothic Book"/>
          <w:sz w:val="20"/>
        </w:rPr>
        <w:t>Lo scenario relativo all’escalation della guerra commerciale prevede dal quarto trimestre 2019 un aumento da parte degli Stati Uniti delle tariffe dei beni importati dalla Cina, dal Messico e dall’Unione Europea. I paesi coinvolti reagiscono imponendo dazi di entità corrispondente sui prodotti statunitensi. Tali tensioni portano ad una revisione al ribasso della crescita per le maggiori economie rispetto allo scenario di base della NADEF e il tasso di crescita della domanda estera dei mercati rilevanti per l’Italia risulta inferiore di un punto percentuale nel 2020, di 1,2 punti nel 2021 e di 1,8 punti percentuali nel 2022.</w:t>
      </w:r>
    </w:p>
    <w:p>
      <w:pPr>
        <w:spacing w:line="254" w:lineRule="auto" w:before="58"/>
        <w:ind w:left="768" w:right="2263" w:firstLine="0"/>
        <w:jc w:val="both"/>
        <w:rPr>
          <w:rFonts w:ascii="Franklin Gothic Book" w:hAnsi="Franklin Gothic Book"/>
          <w:sz w:val="20"/>
        </w:rPr>
      </w:pPr>
      <w:r>
        <w:rPr>
          <w:rFonts w:ascii="Franklin Gothic Book" w:hAnsi="Franklin Gothic Book"/>
          <w:sz w:val="20"/>
        </w:rPr>
        <w:t>Lo scenario relativo all’uscita del Regno Unito dall’Unione Europea senza accordi alla fine di ottobre 2019 porta ad un aumento delle tariffe e delle altre barriere al commercio a cui si accompagna un deprezzamento della sterlina, un aumento dell’inflazione e una perdita generalizzata</w:t>
      </w:r>
      <w:r>
        <w:rPr>
          <w:rFonts w:ascii="Franklin Gothic Book" w:hAnsi="Franklin Gothic Book"/>
          <w:spacing w:val="-10"/>
          <w:sz w:val="20"/>
        </w:rPr>
        <w:t> </w:t>
      </w:r>
      <w:r>
        <w:rPr>
          <w:rFonts w:ascii="Franklin Gothic Book" w:hAnsi="Franklin Gothic Book"/>
          <w:sz w:val="20"/>
        </w:rPr>
        <w:t>di</w:t>
      </w:r>
      <w:r>
        <w:rPr>
          <w:rFonts w:ascii="Franklin Gothic Book" w:hAnsi="Franklin Gothic Book"/>
          <w:spacing w:val="-10"/>
          <w:sz w:val="20"/>
        </w:rPr>
        <w:t> </w:t>
      </w:r>
      <w:r>
        <w:rPr>
          <w:rFonts w:ascii="Franklin Gothic Book" w:hAnsi="Franklin Gothic Book"/>
          <w:sz w:val="20"/>
        </w:rPr>
        <w:t>fiducia.</w:t>
      </w:r>
      <w:r>
        <w:rPr>
          <w:rFonts w:ascii="Franklin Gothic Book" w:hAnsi="Franklin Gothic Book"/>
          <w:spacing w:val="31"/>
          <w:sz w:val="20"/>
        </w:rPr>
        <w:t> </w:t>
      </w:r>
      <w:r>
        <w:rPr>
          <w:rFonts w:ascii="Franklin Gothic Book" w:hAnsi="Franklin Gothic Book"/>
          <w:sz w:val="20"/>
        </w:rPr>
        <w:t>Le</w:t>
      </w:r>
      <w:r>
        <w:rPr>
          <w:rFonts w:ascii="Franklin Gothic Book" w:hAnsi="Franklin Gothic Book"/>
          <w:spacing w:val="-11"/>
          <w:sz w:val="20"/>
        </w:rPr>
        <w:t> </w:t>
      </w:r>
      <w:r>
        <w:rPr>
          <w:rFonts w:ascii="Franklin Gothic Book" w:hAnsi="Franklin Gothic Book"/>
          <w:sz w:val="20"/>
        </w:rPr>
        <w:t>economie</w:t>
      </w:r>
      <w:r>
        <w:rPr>
          <w:rFonts w:ascii="Franklin Gothic Book" w:hAnsi="Franklin Gothic Book"/>
          <w:spacing w:val="-10"/>
          <w:sz w:val="20"/>
        </w:rPr>
        <w:t> </w:t>
      </w:r>
      <w:r>
        <w:rPr>
          <w:rFonts w:ascii="Franklin Gothic Book" w:hAnsi="Franklin Gothic Book"/>
          <w:sz w:val="20"/>
        </w:rPr>
        <w:t>maggiormente</w:t>
      </w:r>
      <w:r>
        <w:rPr>
          <w:rFonts w:ascii="Franklin Gothic Book" w:hAnsi="Franklin Gothic Book"/>
          <w:spacing w:val="-10"/>
          <w:sz w:val="20"/>
        </w:rPr>
        <w:t> </w:t>
      </w:r>
      <w:r>
        <w:rPr>
          <w:rFonts w:ascii="Franklin Gothic Book" w:hAnsi="Franklin Gothic Book"/>
          <w:sz w:val="20"/>
        </w:rPr>
        <w:t>coinvolte</w:t>
      </w:r>
      <w:r>
        <w:rPr>
          <w:rFonts w:ascii="Franklin Gothic Book" w:hAnsi="Franklin Gothic Book"/>
          <w:spacing w:val="-10"/>
          <w:sz w:val="20"/>
        </w:rPr>
        <w:t> </w:t>
      </w:r>
      <w:r>
        <w:rPr>
          <w:rFonts w:ascii="Franklin Gothic Book" w:hAnsi="Franklin Gothic Book"/>
          <w:sz w:val="20"/>
        </w:rPr>
        <w:t>sono</w:t>
      </w:r>
      <w:r>
        <w:rPr>
          <w:rFonts w:ascii="Franklin Gothic Book" w:hAnsi="Franklin Gothic Book"/>
          <w:spacing w:val="-9"/>
          <w:sz w:val="20"/>
        </w:rPr>
        <w:t> </w:t>
      </w:r>
      <w:r>
        <w:rPr>
          <w:rFonts w:ascii="Franklin Gothic Book" w:hAnsi="Franklin Gothic Book"/>
          <w:sz w:val="20"/>
        </w:rPr>
        <w:t>quelle</w:t>
      </w:r>
      <w:r>
        <w:rPr>
          <w:rFonts w:ascii="Franklin Gothic Book" w:hAnsi="Franklin Gothic Book"/>
          <w:spacing w:val="-7"/>
          <w:sz w:val="20"/>
        </w:rPr>
        <w:t> </w:t>
      </w:r>
      <w:r>
        <w:rPr>
          <w:rFonts w:ascii="Franklin Gothic Book" w:hAnsi="Franklin Gothic Book"/>
          <w:sz w:val="20"/>
        </w:rPr>
        <w:t>europee</w:t>
      </w:r>
      <w:r>
        <w:rPr>
          <w:rFonts w:ascii="Franklin Gothic Book" w:hAnsi="Franklin Gothic Book"/>
          <w:spacing w:val="-8"/>
          <w:sz w:val="20"/>
        </w:rPr>
        <w:t> </w:t>
      </w:r>
      <w:r>
        <w:rPr>
          <w:rFonts w:ascii="Franklin Gothic Book" w:hAnsi="Franklin Gothic Book"/>
          <w:sz w:val="20"/>
        </w:rPr>
        <w:t>e</w:t>
      </w:r>
      <w:r>
        <w:rPr>
          <w:rFonts w:ascii="Franklin Gothic Book" w:hAnsi="Franklin Gothic Book"/>
          <w:spacing w:val="-11"/>
          <w:sz w:val="20"/>
        </w:rPr>
        <w:t> </w:t>
      </w:r>
      <w:r>
        <w:rPr>
          <w:rFonts w:ascii="Franklin Gothic Book" w:hAnsi="Franklin Gothic Book"/>
          <w:sz w:val="20"/>
        </w:rPr>
        <w:t>il</w:t>
      </w:r>
      <w:r>
        <w:rPr>
          <w:rFonts w:ascii="Franklin Gothic Book" w:hAnsi="Franklin Gothic Book"/>
          <w:spacing w:val="-8"/>
          <w:sz w:val="20"/>
        </w:rPr>
        <w:t> </w:t>
      </w:r>
      <w:r>
        <w:rPr>
          <w:rFonts w:ascii="Franklin Gothic Book" w:hAnsi="Franklin Gothic Book"/>
          <w:sz w:val="20"/>
        </w:rPr>
        <w:t>tasso di crescita dei mercati esteri rilevanti per l’Italia vede una brusca caduta nel 2020 allo 0,3 per</w:t>
      </w:r>
      <w:r>
        <w:rPr>
          <w:rFonts w:ascii="Franklin Gothic Book" w:hAnsi="Franklin Gothic Book"/>
          <w:spacing w:val="-6"/>
          <w:sz w:val="20"/>
        </w:rPr>
        <w:t> </w:t>
      </w:r>
      <w:r>
        <w:rPr>
          <w:rFonts w:ascii="Franklin Gothic Book" w:hAnsi="Franklin Gothic Book"/>
          <w:sz w:val="20"/>
        </w:rPr>
        <w:t>cento,</w:t>
      </w:r>
      <w:r>
        <w:rPr>
          <w:rFonts w:ascii="Franklin Gothic Book" w:hAnsi="Franklin Gothic Book"/>
          <w:spacing w:val="-3"/>
          <w:sz w:val="20"/>
        </w:rPr>
        <w:t> </w:t>
      </w:r>
      <w:r>
        <w:rPr>
          <w:rFonts w:ascii="Franklin Gothic Book" w:hAnsi="Franklin Gothic Book"/>
          <w:sz w:val="20"/>
        </w:rPr>
        <w:t>per</w:t>
      </w:r>
      <w:r>
        <w:rPr>
          <w:rFonts w:ascii="Franklin Gothic Book" w:hAnsi="Franklin Gothic Book"/>
          <w:spacing w:val="-4"/>
          <w:sz w:val="20"/>
        </w:rPr>
        <w:t> </w:t>
      </w:r>
      <w:r>
        <w:rPr>
          <w:rFonts w:ascii="Franklin Gothic Book" w:hAnsi="Franklin Gothic Book"/>
          <w:sz w:val="20"/>
        </w:rPr>
        <w:t>poi</w:t>
      </w:r>
      <w:r>
        <w:rPr>
          <w:rFonts w:ascii="Franklin Gothic Book" w:hAnsi="Franklin Gothic Book"/>
          <w:spacing w:val="-2"/>
          <w:sz w:val="20"/>
        </w:rPr>
        <w:t> </w:t>
      </w:r>
      <w:r>
        <w:rPr>
          <w:rFonts w:ascii="Franklin Gothic Book" w:hAnsi="Franklin Gothic Book"/>
          <w:sz w:val="20"/>
        </w:rPr>
        <w:t>portarsi</w:t>
      </w:r>
      <w:r>
        <w:rPr>
          <w:rFonts w:ascii="Franklin Gothic Book" w:hAnsi="Franklin Gothic Book"/>
          <w:spacing w:val="-5"/>
          <w:sz w:val="20"/>
        </w:rPr>
        <w:t> </w:t>
      </w:r>
      <w:r>
        <w:rPr>
          <w:rFonts w:ascii="Franklin Gothic Book" w:hAnsi="Franklin Gothic Book"/>
          <w:sz w:val="20"/>
        </w:rPr>
        <w:t>verso</w:t>
      </w:r>
      <w:r>
        <w:rPr>
          <w:rFonts w:ascii="Franklin Gothic Book" w:hAnsi="Franklin Gothic Book"/>
          <w:spacing w:val="-4"/>
          <w:sz w:val="20"/>
        </w:rPr>
        <w:t> </w:t>
      </w:r>
      <w:r>
        <w:rPr>
          <w:rFonts w:ascii="Franklin Gothic Book" w:hAnsi="Franklin Gothic Book"/>
          <w:sz w:val="20"/>
        </w:rPr>
        <w:t>i</w:t>
      </w:r>
      <w:r>
        <w:rPr>
          <w:rFonts w:ascii="Franklin Gothic Book" w:hAnsi="Franklin Gothic Book"/>
          <w:spacing w:val="-4"/>
          <w:sz w:val="20"/>
        </w:rPr>
        <w:t> </w:t>
      </w:r>
      <w:r>
        <w:rPr>
          <w:rFonts w:ascii="Franklin Gothic Book" w:hAnsi="Franklin Gothic Book"/>
          <w:sz w:val="20"/>
        </w:rPr>
        <w:t>valori</w:t>
      </w:r>
      <w:r>
        <w:rPr>
          <w:rFonts w:ascii="Franklin Gothic Book" w:hAnsi="Franklin Gothic Book"/>
          <w:spacing w:val="-4"/>
          <w:sz w:val="20"/>
        </w:rPr>
        <w:t> </w:t>
      </w:r>
      <w:r>
        <w:rPr>
          <w:rFonts w:ascii="Franklin Gothic Book" w:hAnsi="Franklin Gothic Book"/>
          <w:sz w:val="20"/>
        </w:rPr>
        <w:t>dello</w:t>
      </w:r>
      <w:r>
        <w:rPr>
          <w:rFonts w:ascii="Franklin Gothic Book" w:hAnsi="Franklin Gothic Book"/>
          <w:spacing w:val="-5"/>
          <w:sz w:val="20"/>
        </w:rPr>
        <w:t> </w:t>
      </w:r>
      <w:r>
        <w:rPr>
          <w:rFonts w:ascii="Franklin Gothic Book" w:hAnsi="Franklin Gothic Book"/>
          <w:sz w:val="20"/>
        </w:rPr>
        <w:t>scenario</w:t>
      </w:r>
      <w:r>
        <w:rPr>
          <w:rFonts w:ascii="Franklin Gothic Book" w:hAnsi="Franklin Gothic Book"/>
          <w:spacing w:val="-4"/>
          <w:sz w:val="20"/>
        </w:rPr>
        <w:t> </w:t>
      </w:r>
      <w:r>
        <w:rPr>
          <w:rFonts w:ascii="Franklin Gothic Book" w:hAnsi="Franklin Gothic Book"/>
          <w:sz w:val="20"/>
        </w:rPr>
        <w:t>di</w:t>
      </w:r>
      <w:r>
        <w:rPr>
          <w:rFonts w:ascii="Franklin Gothic Book" w:hAnsi="Franklin Gothic Book"/>
          <w:spacing w:val="-4"/>
          <w:sz w:val="20"/>
        </w:rPr>
        <w:t> </w:t>
      </w:r>
      <w:r>
        <w:rPr>
          <w:rFonts w:ascii="Franklin Gothic Book" w:hAnsi="Franklin Gothic Book"/>
          <w:sz w:val="20"/>
        </w:rPr>
        <w:t>base</w:t>
      </w:r>
      <w:r>
        <w:rPr>
          <w:rFonts w:ascii="Franklin Gothic Book" w:hAnsi="Franklin Gothic Book"/>
          <w:spacing w:val="-4"/>
          <w:sz w:val="20"/>
        </w:rPr>
        <w:t> </w:t>
      </w:r>
      <w:r>
        <w:rPr>
          <w:rFonts w:ascii="Franklin Gothic Book" w:hAnsi="Franklin Gothic Book"/>
          <w:sz w:val="20"/>
        </w:rPr>
        <w:t>nel</w:t>
      </w:r>
      <w:r>
        <w:rPr>
          <w:rFonts w:ascii="Franklin Gothic Book" w:hAnsi="Franklin Gothic Book"/>
          <w:spacing w:val="-5"/>
          <w:sz w:val="20"/>
        </w:rPr>
        <w:t> </w:t>
      </w:r>
      <w:r>
        <w:rPr>
          <w:rFonts w:ascii="Franklin Gothic Book" w:hAnsi="Franklin Gothic Book"/>
          <w:sz w:val="20"/>
        </w:rPr>
        <w:t>2021</w:t>
      </w:r>
      <w:r>
        <w:rPr>
          <w:rFonts w:ascii="Franklin Gothic Book" w:hAnsi="Franklin Gothic Book"/>
          <w:spacing w:val="-3"/>
          <w:sz w:val="20"/>
        </w:rPr>
        <w:t> </w:t>
      </w:r>
      <w:r>
        <w:rPr>
          <w:rFonts w:ascii="Franklin Gothic Book" w:hAnsi="Franklin Gothic Book"/>
          <w:sz w:val="20"/>
        </w:rPr>
        <w:t>(2,7</w:t>
      </w:r>
      <w:r>
        <w:rPr>
          <w:rFonts w:ascii="Franklin Gothic Book" w:hAnsi="Franklin Gothic Book"/>
          <w:spacing w:val="-3"/>
          <w:sz w:val="20"/>
        </w:rPr>
        <w:t> </w:t>
      </w:r>
      <w:r>
        <w:rPr>
          <w:rFonts w:ascii="Franklin Gothic Book" w:hAnsi="Franklin Gothic Book"/>
          <w:sz w:val="20"/>
        </w:rPr>
        <w:t>per</w:t>
      </w:r>
      <w:r>
        <w:rPr>
          <w:rFonts w:ascii="Franklin Gothic Book" w:hAnsi="Franklin Gothic Book"/>
          <w:spacing w:val="-5"/>
          <w:sz w:val="20"/>
        </w:rPr>
        <w:t> </w:t>
      </w:r>
      <w:r>
        <w:rPr>
          <w:rFonts w:ascii="Franklin Gothic Book" w:hAnsi="Franklin Gothic Book"/>
          <w:sz w:val="20"/>
        </w:rPr>
        <w:t>cento)</w:t>
      </w:r>
      <w:r>
        <w:rPr>
          <w:rFonts w:ascii="Franklin Gothic Book" w:hAnsi="Franklin Gothic Book"/>
          <w:spacing w:val="-3"/>
          <w:sz w:val="20"/>
        </w:rPr>
        <w:t> </w:t>
      </w:r>
      <w:r>
        <w:rPr>
          <w:rFonts w:ascii="Franklin Gothic Book" w:hAnsi="Franklin Gothic Book"/>
          <w:sz w:val="20"/>
        </w:rPr>
        <w:t>e</w:t>
      </w:r>
      <w:r>
        <w:rPr>
          <w:rFonts w:ascii="Franklin Gothic Book" w:hAnsi="Franklin Gothic Book"/>
          <w:spacing w:val="-4"/>
          <w:sz w:val="20"/>
        </w:rPr>
        <w:t> </w:t>
      </w:r>
      <w:r>
        <w:rPr>
          <w:rFonts w:ascii="Franklin Gothic Book" w:hAnsi="Franklin Gothic Book"/>
          <w:sz w:val="20"/>
        </w:rPr>
        <w:t>nel 2022 (3,3 per</w:t>
      </w:r>
      <w:r>
        <w:rPr>
          <w:rFonts w:ascii="Franklin Gothic Book" w:hAnsi="Franklin Gothic Book"/>
          <w:spacing w:val="-3"/>
          <w:sz w:val="20"/>
        </w:rPr>
        <w:t> </w:t>
      </w:r>
      <w:r>
        <w:rPr>
          <w:rFonts w:ascii="Franklin Gothic Book" w:hAnsi="Franklin Gothic Book"/>
          <w:sz w:val="20"/>
        </w:rPr>
        <w:t>cento).</w:t>
      </w:r>
    </w:p>
    <w:p>
      <w:pPr>
        <w:spacing w:line="254" w:lineRule="auto" w:before="58"/>
        <w:ind w:left="768" w:right="2264" w:firstLine="0"/>
        <w:jc w:val="both"/>
        <w:rPr>
          <w:rFonts w:ascii="Franklin Gothic Book" w:hAnsi="Franklin Gothic Book"/>
          <w:sz w:val="20"/>
        </w:rPr>
      </w:pPr>
      <w:r>
        <w:rPr>
          <w:rFonts w:ascii="Franklin Gothic Book" w:hAnsi="Franklin Gothic Book"/>
          <w:sz w:val="20"/>
        </w:rPr>
        <w:t>Con riferimento all’andamento dei tassi di cambio, nel quadro tendenziale si adotta l’ipotesi tecnica</w:t>
      </w:r>
      <w:r>
        <w:rPr>
          <w:rFonts w:ascii="Franklin Gothic Book" w:hAnsi="Franklin Gothic Book"/>
          <w:spacing w:val="-4"/>
          <w:sz w:val="20"/>
        </w:rPr>
        <w:t> </w:t>
      </w:r>
      <w:r>
        <w:rPr>
          <w:rFonts w:ascii="Franklin Gothic Book" w:hAnsi="Franklin Gothic Book"/>
          <w:sz w:val="20"/>
        </w:rPr>
        <w:t>secondo</w:t>
      </w:r>
      <w:r>
        <w:rPr>
          <w:rFonts w:ascii="Franklin Gothic Book" w:hAnsi="Franklin Gothic Book"/>
          <w:spacing w:val="-4"/>
          <w:sz w:val="20"/>
        </w:rPr>
        <w:t> </w:t>
      </w:r>
      <w:r>
        <w:rPr>
          <w:rFonts w:ascii="Franklin Gothic Book" w:hAnsi="Franklin Gothic Book"/>
          <w:sz w:val="20"/>
        </w:rPr>
        <w:t>la</w:t>
      </w:r>
      <w:r>
        <w:rPr>
          <w:rFonts w:ascii="Franklin Gothic Book" w:hAnsi="Franklin Gothic Book"/>
          <w:spacing w:val="-4"/>
          <w:sz w:val="20"/>
        </w:rPr>
        <w:t> </w:t>
      </w:r>
      <w:r>
        <w:rPr>
          <w:rFonts w:ascii="Franklin Gothic Book" w:hAnsi="Franklin Gothic Book"/>
          <w:sz w:val="20"/>
        </w:rPr>
        <w:t>quale</w:t>
      </w:r>
      <w:r>
        <w:rPr>
          <w:rFonts w:ascii="Franklin Gothic Book" w:hAnsi="Franklin Gothic Book"/>
          <w:spacing w:val="-4"/>
          <w:sz w:val="20"/>
        </w:rPr>
        <w:t> </w:t>
      </w:r>
      <w:r>
        <w:rPr>
          <w:rFonts w:ascii="Franklin Gothic Book" w:hAnsi="Franklin Gothic Book"/>
          <w:sz w:val="20"/>
        </w:rPr>
        <w:t>i</w:t>
      </w:r>
      <w:r>
        <w:rPr>
          <w:rFonts w:ascii="Franklin Gothic Book" w:hAnsi="Franklin Gothic Book"/>
          <w:spacing w:val="-5"/>
          <w:sz w:val="20"/>
        </w:rPr>
        <w:t> </w:t>
      </w:r>
      <w:r>
        <w:rPr>
          <w:rFonts w:ascii="Franklin Gothic Book" w:hAnsi="Franklin Gothic Book"/>
          <w:sz w:val="20"/>
        </w:rPr>
        <w:t>livelli</w:t>
      </w:r>
      <w:r>
        <w:rPr>
          <w:rFonts w:ascii="Franklin Gothic Book" w:hAnsi="Franklin Gothic Book"/>
          <w:spacing w:val="-5"/>
          <w:sz w:val="20"/>
        </w:rPr>
        <w:t> </w:t>
      </w:r>
      <w:r>
        <w:rPr>
          <w:rFonts w:ascii="Franklin Gothic Book" w:hAnsi="Franklin Gothic Book"/>
          <w:sz w:val="20"/>
        </w:rPr>
        <w:t>dei</w:t>
      </w:r>
      <w:r>
        <w:rPr>
          <w:rFonts w:ascii="Franklin Gothic Book" w:hAnsi="Franklin Gothic Book"/>
          <w:spacing w:val="-5"/>
          <w:sz w:val="20"/>
        </w:rPr>
        <w:t> </w:t>
      </w:r>
      <w:r>
        <w:rPr>
          <w:rFonts w:ascii="Franklin Gothic Book" w:hAnsi="Franklin Gothic Book"/>
          <w:sz w:val="20"/>
        </w:rPr>
        <w:t>tassi</w:t>
      </w:r>
      <w:r>
        <w:rPr>
          <w:rFonts w:ascii="Franklin Gothic Book" w:hAnsi="Franklin Gothic Book"/>
          <w:spacing w:val="-4"/>
          <w:sz w:val="20"/>
        </w:rPr>
        <w:t> </w:t>
      </w:r>
      <w:r>
        <w:rPr>
          <w:rFonts w:ascii="Franklin Gothic Book" w:hAnsi="Franklin Gothic Book"/>
          <w:sz w:val="20"/>
        </w:rPr>
        <w:t>di</w:t>
      </w:r>
      <w:r>
        <w:rPr>
          <w:rFonts w:ascii="Franklin Gothic Book" w:hAnsi="Franklin Gothic Book"/>
          <w:spacing w:val="-5"/>
          <w:sz w:val="20"/>
        </w:rPr>
        <w:t> </w:t>
      </w:r>
      <w:r>
        <w:rPr>
          <w:rFonts w:ascii="Franklin Gothic Book" w:hAnsi="Franklin Gothic Book"/>
          <w:sz w:val="20"/>
        </w:rPr>
        <w:t>cambio</w:t>
      </w:r>
      <w:r>
        <w:rPr>
          <w:rFonts w:ascii="Franklin Gothic Book" w:hAnsi="Franklin Gothic Book"/>
          <w:spacing w:val="-5"/>
          <w:sz w:val="20"/>
        </w:rPr>
        <w:t> </w:t>
      </w:r>
      <w:r>
        <w:rPr>
          <w:rFonts w:ascii="Franklin Gothic Book" w:hAnsi="Franklin Gothic Book"/>
          <w:sz w:val="20"/>
        </w:rPr>
        <w:t>sono</w:t>
      </w:r>
      <w:r>
        <w:rPr>
          <w:rFonts w:ascii="Franklin Gothic Book" w:hAnsi="Franklin Gothic Book"/>
          <w:spacing w:val="-7"/>
          <w:sz w:val="20"/>
        </w:rPr>
        <w:t> </w:t>
      </w:r>
      <w:r>
        <w:rPr>
          <w:rFonts w:ascii="Franklin Gothic Book" w:hAnsi="Franklin Gothic Book"/>
          <w:sz w:val="20"/>
        </w:rPr>
        <w:t>mantenuti</w:t>
      </w:r>
      <w:r>
        <w:rPr>
          <w:rFonts w:ascii="Franklin Gothic Book" w:hAnsi="Franklin Gothic Book"/>
          <w:spacing w:val="-4"/>
          <w:sz w:val="20"/>
        </w:rPr>
        <w:t> </w:t>
      </w:r>
      <w:r>
        <w:rPr>
          <w:rFonts w:ascii="Franklin Gothic Book" w:hAnsi="Franklin Gothic Book"/>
          <w:sz w:val="20"/>
        </w:rPr>
        <w:t>costanti</w:t>
      </w:r>
      <w:r>
        <w:rPr>
          <w:rFonts w:ascii="Franklin Gothic Book" w:hAnsi="Franklin Gothic Book"/>
          <w:spacing w:val="-5"/>
          <w:sz w:val="20"/>
        </w:rPr>
        <w:t> </w:t>
      </w:r>
      <w:r>
        <w:rPr>
          <w:rFonts w:ascii="Franklin Gothic Book" w:hAnsi="Franklin Gothic Book"/>
          <w:sz w:val="20"/>
        </w:rPr>
        <w:t>nell’orizzonte</w:t>
      </w:r>
      <w:r>
        <w:rPr>
          <w:rFonts w:ascii="Franklin Gothic Book" w:hAnsi="Franklin Gothic Book"/>
          <w:spacing w:val="-1"/>
          <w:sz w:val="20"/>
        </w:rPr>
        <w:t> </w:t>
      </w:r>
      <w:r>
        <w:rPr>
          <w:rFonts w:ascii="Franklin Gothic Book" w:hAnsi="Franklin Gothic Book"/>
          <w:sz w:val="20"/>
        </w:rPr>
        <w:t>di previsione</w:t>
      </w:r>
      <w:r>
        <w:rPr>
          <w:rFonts w:ascii="Franklin Gothic Book" w:hAnsi="Franklin Gothic Book"/>
          <w:position w:val="5"/>
          <w:sz w:val="13"/>
        </w:rPr>
        <w:t>19</w:t>
      </w:r>
      <w:r>
        <w:rPr>
          <w:rFonts w:ascii="Franklin Gothic Book" w:hAnsi="Franklin Gothic Book"/>
          <w:sz w:val="20"/>
        </w:rPr>
        <w:t>. Al contrario, nello scenario alternativo qui considerato si ipotizza, a partire dal 2020,</w:t>
      </w:r>
      <w:r>
        <w:rPr>
          <w:rFonts w:ascii="Franklin Gothic Book" w:hAnsi="Franklin Gothic Book"/>
          <w:spacing w:val="-4"/>
          <w:sz w:val="20"/>
        </w:rPr>
        <w:t> </w:t>
      </w:r>
      <w:r>
        <w:rPr>
          <w:rFonts w:ascii="Franklin Gothic Book" w:hAnsi="Franklin Gothic Book"/>
          <w:sz w:val="20"/>
        </w:rPr>
        <w:t>un</w:t>
      </w:r>
      <w:r>
        <w:rPr>
          <w:rFonts w:ascii="Franklin Gothic Book" w:hAnsi="Franklin Gothic Book"/>
          <w:spacing w:val="-5"/>
          <w:sz w:val="20"/>
        </w:rPr>
        <w:t> </w:t>
      </w:r>
      <w:r>
        <w:rPr>
          <w:rFonts w:ascii="Franklin Gothic Book" w:hAnsi="Franklin Gothic Book"/>
          <w:sz w:val="20"/>
        </w:rPr>
        <w:t>graduale</w:t>
      </w:r>
      <w:r>
        <w:rPr>
          <w:rFonts w:ascii="Franklin Gothic Book" w:hAnsi="Franklin Gothic Book"/>
          <w:spacing w:val="-4"/>
          <w:sz w:val="20"/>
        </w:rPr>
        <w:t> </w:t>
      </w:r>
      <w:r>
        <w:rPr>
          <w:rFonts w:ascii="Franklin Gothic Book" w:hAnsi="Franklin Gothic Book"/>
          <w:sz w:val="20"/>
        </w:rPr>
        <w:t>apprezzamento</w:t>
      </w:r>
      <w:r>
        <w:rPr>
          <w:rFonts w:ascii="Franklin Gothic Book" w:hAnsi="Franklin Gothic Book"/>
          <w:spacing w:val="-3"/>
          <w:sz w:val="20"/>
        </w:rPr>
        <w:t> </w:t>
      </w:r>
      <w:r>
        <w:rPr>
          <w:rFonts w:ascii="Franklin Gothic Book" w:hAnsi="Franklin Gothic Book"/>
          <w:sz w:val="20"/>
        </w:rPr>
        <w:t>dell’euro</w:t>
      </w:r>
      <w:r>
        <w:rPr>
          <w:rFonts w:ascii="Franklin Gothic Book" w:hAnsi="Franklin Gothic Book"/>
          <w:spacing w:val="-4"/>
          <w:sz w:val="20"/>
        </w:rPr>
        <w:t> </w:t>
      </w:r>
      <w:r>
        <w:rPr>
          <w:rFonts w:ascii="Franklin Gothic Book" w:hAnsi="Franklin Gothic Book"/>
          <w:sz w:val="20"/>
        </w:rPr>
        <w:t>nei</w:t>
      </w:r>
      <w:r>
        <w:rPr>
          <w:rFonts w:ascii="Franklin Gothic Book" w:hAnsi="Franklin Gothic Book"/>
          <w:spacing w:val="-5"/>
          <w:sz w:val="20"/>
        </w:rPr>
        <w:t> </w:t>
      </w:r>
      <w:r>
        <w:rPr>
          <w:rFonts w:ascii="Franklin Gothic Book" w:hAnsi="Franklin Gothic Book"/>
          <w:sz w:val="20"/>
        </w:rPr>
        <w:t>confronti</w:t>
      </w:r>
      <w:r>
        <w:rPr>
          <w:rFonts w:ascii="Franklin Gothic Book" w:hAnsi="Franklin Gothic Book"/>
          <w:spacing w:val="-1"/>
          <w:sz w:val="20"/>
        </w:rPr>
        <w:t> </w:t>
      </w:r>
      <w:r>
        <w:rPr>
          <w:rFonts w:ascii="Franklin Gothic Book" w:hAnsi="Franklin Gothic Book"/>
          <w:sz w:val="20"/>
        </w:rPr>
        <w:t>del</w:t>
      </w:r>
      <w:r>
        <w:rPr>
          <w:rFonts w:ascii="Franklin Gothic Book" w:hAnsi="Franklin Gothic Book"/>
          <w:spacing w:val="-4"/>
          <w:sz w:val="20"/>
        </w:rPr>
        <w:t> </w:t>
      </w:r>
      <w:r>
        <w:rPr>
          <w:rFonts w:ascii="Franklin Gothic Book" w:hAnsi="Franklin Gothic Book"/>
          <w:sz w:val="20"/>
        </w:rPr>
        <w:t>dollaro</w:t>
      </w:r>
      <w:r>
        <w:rPr>
          <w:rFonts w:ascii="Franklin Gothic Book" w:hAnsi="Franklin Gothic Book"/>
          <w:spacing w:val="-4"/>
          <w:sz w:val="20"/>
        </w:rPr>
        <w:t> </w:t>
      </w:r>
      <w:r>
        <w:rPr>
          <w:rFonts w:ascii="Franklin Gothic Book" w:hAnsi="Franklin Gothic Book"/>
          <w:sz w:val="20"/>
        </w:rPr>
        <w:t>che,</w:t>
      </w:r>
      <w:r>
        <w:rPr>
          <w:rFonts w:ascii="Franklin Gothic Book" w:hAnsi="Franklin Gothic Book"/>
          <w:spacing w:val="-4"/>
          <w:sz w:val="20"/>
        </w:rPr>
        <w:t> </w:t>
      </w:r>
      <w:r>
        <w:rPr>
          <w:rFonts w:ascii="Franklin Gothic Book" w:hAnsi="Franklin Gothic Book"/>
          <w:sz w:val="20"/>
        </w:rPr>
        <w:t>nel</w:t>
      </w:r>
      <w:r>
        <w:rPr>
          <w:rFonts w:ascii="Franklin Gothic Book" w:hAnsi="Franklin Gothic Book"/>
          <w:spacing w:val="-4"/>
          <w:sz w:val="20"/>
        </w:rPr>
        <w:t> </w:t>
      </w:r>
      <w:r>
        <w:rPr>
          <w:rFonts w:ascii="Franklin Gothic Book" w:hAnsi="Franklin Gothic Book"/>
          <w:sz w:val="20"/>
        </w:rPr>
        <w:t>2022,</w:t>
      </w:r>
      <w:r>
        <w:rPr>
          <w:rFonts w:ascii="Franklin Gothic Book" w:hAnsi="Franklin Gothic Book"/>
          <w:spacing w:val="-3"/>
          <w:sz w:val="20"/>
        </w:rPr>
        <w:t> </w:t>
      </w:r>
      <w:r>
        <w:rPr>
          <w:rFonts w:ascii="Franklin Gothic Book" w:hAnsi="Franklin Gothic Book"/>
          <w:sz w:val="20"/>
        </w:rPr>
        <w:t>rispetto ai valori recenti registrati nell’ultima decade di agosto, sarebbe pari a oltre l’8 per cento. In questo quadro si registrerebbe un apprezzamento del tasso di cambio nominale effettivo pari, nel 2020, all’1,5 per cento, maggiore rispetto a quanto prefigurato nello scenario di base.</w:t>
      </w:r>
      <w:r>
        <w:rPr>
          <w:rFonts w:ascii="Franklin Gothic Book" w:hAnsi="Franklin Gothic Book"/>
          <w:spacing w:val="-11"/>
          <w:sz w:val="20"/>
        </w:rPr>
        <w:t> </w:t>
      </w:r>
      <w:r>
        <w:rPr>
          <w:rFonts w:ascii="Franklin Gothic Book" w:hAnsi="Franklin Gothic Book"/>
          <w:sz w:val="20"/>
        </w:rPr>
        <w:t>Nel</w:t>
      </w:r>
      <w:r>
        <w:rPr>
          <w:rFonts w:ascii="Franklin Gothic Book" w:hAnsi="Franklin Gothic Book"/>
          <w:spacing w:val="-13"/>
          <w:sz w:val="20"/>
        </w:rPr>
        <w:t> </w:t>
      </w:r>
      <w:r>
        <w:rPr>
          <w:rFonts w:ascii="Franklin Gothic Book" w:hAnsi="Franklin Gothic Book"/>
          <w:sz w:val="20"/>
        </w:rPr>
        <w:t>biennio</w:t>
      </w:r>
      <w:r>
        <w:rPr>
          <w:rFonts w:ascii="Franklin Gothic Book" w:hAnsi="Franklin Gothic Book"/>
          <w:spacing w:val="-11"/>
          <w:sz w:val="20"/>
        </w:rPr>
        <w:t> </w:t>
      </w:r>
      <w:r>
        <w:rPr>
          <w:rFonts w:ascii="Franklin Gothic Book" w:hAnsi="Franklin Gothic Book"/>
          <w:sz w:val="20"/>
        </w:rPr>
        <w:t>successivo,</w:t>
      </w:r>
      <w:r>
        <w:rPr>
          <w:rFonts w:ascii="Franklin Gothic Book" w:hAnsi="Franklin Gothic Book"/>
          <w:spacing w:val="-11"/>
          <w:sz w:val="20"/>
        </w:rPr>
        <w:t> </w:t>
      </w:r>
      <w:r>
        <w:rPr>
          <w:rFonts w:ascii="Franklin Gothic Book" w:hAnsi="Franklin Gothic Book"/>
          <w:sz w:val="20"/>
        </w:rPr>
        <w:t>l’apprezzamento</w:t>
      </w:r>
      <w:r>
        <w:rPr>
          <w:rFonts w:ascii="Franklin Gothic Book" w:hAnsi="Franklin Gothic Book"/>
          <w:spacing w:val="-10"/>
          <w:sz w:val="20"/>
        </w:rPr>
        <w:t> </w:t>
      </w:r>
      <w:r>
        <w:rPr>
          <w:rFonts w:ascii="Franklin Gothic Book" w:hAnsi="Franklin Gothic Book"/>
          <w:sz w:val="20"/>
        </w:rPr>
        <w:t>dell’euro</w:t>
      </w:r>
      <w:r>
        <w:rPr>
          <w:rFonts w:ascii="Franklin Gothic Book" w:hAnsi="Franklin Gothic Book"/>
          <w:spacing w:val="-10"/>
          <w:sz w:val="20"/>
        </w:rPr>
        <w:t> </w:t>
      </w:r>
      <w:r>
        <w:rPr>
          <w:rFonts w:ascii="Franklin Gothic Book" w:hAnsi="Franklin Gothic Book"/>
          <w:sz w:val="20"/>
        </w:rPr>
        <w:t>(inteso</w:t>
      </w:r>
      <w:r>
        <w:rPr>
          <w:rFonts w:ascii="Franklin Gothic Book" w:hAnsi="Franklin Gothic Book"/>
          <w:spacing w:val="-11"/>
          <w:sz w:val="20"/>
        </w:rPr>
        <w:t> </w:t>
      </w:r>
      <w:r>
        <w:rPr>
          <w:rFonts w:ascii="Franklin Gothic Book" w:hAnsi="Franklin Gothic Book"/>
          <w:sz w:val="20"/>
        </w:rPr>
        <w:t>come</w:t>
      </w:r>
      <w:r>
        <w:rPr>
          <w:rFonts w:ascii="Franklin Gothic Book" w:hAnsi="Franklin Gothic Book"/>
          <w:spacing w:val="-11"/>
          <w:sz w:val="20"/>
        </w:rPr>
        <w:t> </w:t>
      </w:r>
      <w:r>
        <w:rPr>
          <w:rFonts w:ascii="Franklin Gothic Book" w:hAnsi="Franklin Gothic Book"/>
          <w:sz w:val="20"/>
        </w:rPr>
        <w:t>variazione</w:t>
      </w:r>
      <w:r>
        <w:rPr>
          <w:rFonts w:ascii="Franklin Gothic Book" w:hAnsi="Franklin Gothic Book"/>
          <w:spacing w:val="-12"/>
          <w:sz w:val="20"/>
        </w:rPr>
        <w:t> </w:t>
      </w:r>
      <w:r>
        <w:rPr>
          <w:rFonts w:ascii="Franklin Gothic Book" w:hAnsi="Franklin Gothic Book"/>
          <w:sz w:val="20"/>
        </w:rPr>
        <w:t>annuale</w:t>
      </w:r>
      <w:r>
        <w:rPr>
          <w:rFonts w:ascii="Franklin Gothic Book" w:hAnsi="Franklin Gothic Book"/>
          <w:spacing w:val="-11"/>
          <w:sz w:val="20"/>
        </w:rPr>
        <w:t> </w:t>
      </w:r>
      <w:r>
        <w:rPr>
          <w:rFonts w:ascii="Franklin Gothic Book" w:hAnsi="Franklin Gothic Book"/>
          <w:sz w:val="20"/>
        </w:rPr>
        <w:t>del tasso</w:t>
      </w:r>
      <w:r>
        <w:rPr>
          <w:rFonts w:ascii="Franklin Gothic Book" w:hAnsi="Franklin Gothic Book"/>
          <w:spacing w:val="-5"/>
          <w:sz w:val="20"/>
        </w:rPr>
        <w:t> </w:t>
      </w:r>
      <w:r>
        <w:rPr>
          <w:rFonts w:ascii="Franklin Gothic Book" w:hAnsi="Franklin Gothic Book"/>
          <w:sz w:val="20"/>
        </w:rPr>
        <w:t>di</w:t>
      </w:r>
      <w:r>
        <w:rPr>
          <w:rFonts w:ascii="Franklin Gothic Book" w:hAnsi="Franklin Gothic Book"/>
          <w:spacing w:val="-4"/>
          <w:sz w:val="20"/>
        </w:rPr>
        <w:t> </w:t>
      </w:r>
      <w:r>
        <w:rPr>
          <w:rFonts w:ascii="Franklin Gothic Book" w:hAnsi="Franklin Gothic Book"/>
          <w:sz w:val="20"/>
        </w:rPr>
        <w:t>cambio</w:t>
      </w:r>
      <w:r>
        <w:rPr>
          <w:rFonts w:ascii="Franklin Gothic Book" w:hAnsi="Franklin Gothic Book"/>
          <w:spacing w:val="-5"/>
          <w:sz w:val="20"/>
        </w:rPr>
        <w:t> </w:t>
      </w:r>
      <w:r>
        <w:rPr>
          <w:rFonts w:ascii="Franklin Gothic Book" w:hAnsi="Franklin Gothic Book"/>
          <w:sz w:val="20"/>
        </w:rPr>
        <w:t>nominale</w:t>
      </w:r>
      <w:r>
        <w:rPr>
          <w:rFonts w:ascii="Franklin Gothic Book" w:hAnsi="Franklin Gothic Book"/>
          <w:spacing w:val="-4"/>
          <w:sz w:val="20"/>
        </w:rPr>
        <w:t> </w:t>
      </w:r>
      <w:r>
        <w:rPr>
          <w:rFonts w:ascii="Franklin Gothic Book" w:hAnsi="Franklin Gothic Book"/>
          <w:sz w:val="20"/>
        </w:rPr>
        <w:t>effettivo)</w:t>
      </w:r>
      <w:r>
        <w:rPr>
          <w:rFonts w:ascii="Franklin Gothic Book" w:hAnsi="Franklin Gothic Book"/>
          <w:spacing w:val="-5"/>
          <w:sz w:val="20"/>
        </w:rPr>
        <w:t> </w:t>
      </w:r>
      <w:r>
        <w:rPr>
          <w:rFonts w:ascii="Franklin Gothic Book" w:hAnsi="Franklin Gothic Book"/>
          <w:sz w:val="20"/>
        </w:rPr>
        <w:t>sarebbe</w:t>
      </w:r>
      <w:r>
        <w:rPr>
          <w:rFonts w:ascii="Franklin Gothic Book" w:hAnsi="Franklin Gothic Book"/>
          <w:spacing w:val="-5"/>
          <w:sz w:val="20"/>
        </w:rPr>
        <w:t> </w:t>
      </w:r>
      <w:r>
        <w:rPr>
          <w:rFonts w:ascii="Franklin Gothic Book" w:hAnsi="Franklin Gothic Book"/>
          <w:sz w:val="20"/>
        </w:rPr>
        <w:t>dell’1,9</w:t>
      </w:r>
      <w:r>
        <w:rPr>
          <w:rFonts w:ascii="Franklin Gothic Book" w:hAnsi="Franklin Gothic Book"/>
          <w:spacing w:val="-3"/>
          <w:sz w:val="20"/>
        </w:rPr>
        <w:t> </w:t>
      </w:r>
      <w:r>
        <w:rPr>
          <w:rFonts w:ascii="Franklin Gothic Book" w:hAnsi="Franklin Gothic Book"/>
          <w:sz w:val="20"/>
        </w:rPr>
        <w:t>per</w:t>
      </w:r>
      <w:r>
        <w:rPr>
          <w:rFonts w:ascii="Franklin Gothic Book" w:hAnsi="Franklin Gothic Book"/>
          <w:spacing w:val="-5"/>
          <w:sz w:val="20"/>
        </w:rPr>
        <w:t> </w:t>
      </w:r>
      <w:r>
        <w:rPr>
          <w:rFonts w:ascii="Franklin Gothic Book" w:hAnsi="Franklin Gothic Book"/>
          <w:sz w:val="20"/>
        </w:rPr>
        <w:t>cento</w:t>
      </w:r>
      <w:r>
        <w:rPr>
          <w:rFonts w:ascii="Franklin Gothic Book" w:hAnsi="Franklin Gothic Book"/>
          <w:spacing w:val="-4"/>
          <w:sz w:val="20"/>
        </w:rPr>
        <w:t> </w:t>
      </w:r>
      <w:r>
        <w:rPr>
          <w:rFonts w:ascii="Franklin Gothic Book" w:hAnsi="Franklin Gothic Book"/>
          <w:sz w:val="20"/>
        </w:rPr>
        <w:t>nel</w:t>
      </w:r>
      <w:r>
        <w:rPr>
          <w:rFonts w:ascii="Franklin Gothic Book" w:hAnsi="Franklin Gothic Book"/>
          <w:spacing w:val="-4"/>
          <w:sz w:val="20"/>
        </w:rPr>
        <w:t> </w:t>
      </w:r>
      <w:r>
        <w:rPr>
          <w:rFonts w:ascii="Franklin Gothic Book" w:hAnsi="Franklin Gothic Book"/>
          <w:sz w:val="20"/>
        </w:rPr>
        <w:t>2021</w:t>
      </w:r>
      <w:r>
        <w:rPr>
          <w:rFonts w:ascii="Franklin Gothic Book" w:hAnsi="Franklin Gothic Book"/>
          <w:spacing w:val="-3"/>
          <w:sz w:val="20"/>
        </w:rPr>
        <w:t> </w:t>
      </w:r>
      <w:r>
        <w:rPr>
          <w:rFonts w:ascii="Franklin Gothic Book" w:hAnsi="Franklin Gothic Book"/>
          <w:sz w:val="20"/>
        </w:rPr>
        <w:t>e</w:t>
      </w:r>
      <w:r>
        <w:rPr>
          <w:rFonts w:ascii="Franklin Gothic Book" w:hAnsi="Franklin Gothic Book"/>
          <w:spacing w:val="-5"/>
          <w:sz w:val="20"/>
        </w:rPr>
        <w:t> </w:t>
      </w:r>
      <w:r>
        <w:rPr>
          <w:rFonts w:ascii="Franklin Gothic Book" w:hAnsi="Franklin Gothic Book"/>
          <w:sz w:val="20"/>
        </w:rPr>
        <w:t>dell’1,6</w:t>
      </w:r>
      <w:r>
        <w:rPr>
          <w:rFonts w:ascii="Franklin Gothic Book" w:hAnsi="Franklin Gothic Book"/>
          <w:spacing w:val="-3"/>
          <w:sz w:val="20"/>
        </w:rPr>
        <w:t> </w:t>
      </w:r>
      <w:r>
        <w:rPr>
          <w:rFonts w:ascii="Franklin Gothic Book" w:hAnsi="Franklin Gothic Book"/>
          <w:sz w:val="20"/>
        </w:rPr>
        <w:t>per</w:t>
      </w:r>
      <w:r>
        <w:rPr>
          <w:rFonts w:ascii="Franklin Gothic Book" w:hAnsi="Franklin Gothic Book"/>
          <w:spacing w:val="-3"/>
          <w:sz w:val="20"/>
        </w:rPr>
        <w:t> </w:t>
      </w:r>
      <w:r>
        <w:rPr>
          <w:rFonts w:ascii="Franklin Gothic Book" w:hAnsi="Franklin Gothic Book"/>
          <w:sz w:val="20"/>
        </w:rPr>
        <w:t>cento nel 2022, rispetto a una corrispondente invarianza del tasso di cambio nello scenario tendenziale.</w:t>
      </w:r>
    </w:p>
    <w:p>
      <w:pPr>
        <w:spacing w:line="254" w:lineRule="auto" w:before="56"/>
        <w:ind w:left="768" w:right="2261" w:firstLine="0"/>
        <w:jc w:val="both"/>
        <w:rPr>
          <w:rFonts w:ascii="Franklin Gothic Book" w:hAnsi="Franklin Gothic Book"/>
          <w:sz w:val="20"/>
        </w:rPr>
      </w:pPr>
      <w:r>
        <w:rPr>
          <w:rFonts w:ascii="Franklin Gothic Book" w:hAnsi="Franklin Gothic Book"/>
          <w:sz w:val="20"/>
        </w:rPr>
        <w:t>Il quarto scenario di rischio riguarda le quotazioni del petrolio. L’andamento previsto nel quadro tendenziale si basa sui prezzi dei contratti </w:t>
      </w:r>
      <w:r>
        <w:rPr>
          <w:rFonts w:ascii="Franklin Gothic Book" w:hAnsi="Franklin Gothic Book"/>
          <w:i/>
          <w:sz w:val="20"/>
        </w:rPr>
        <w:t>future </w:t>
      </w:r>
      <w:r>
        <w:rPr>
          <w:rFonts w:ascii="Franklin Gothic Book" w:hAnsi="Franklin Gothic Book"/>
          <w:sz w:val="20"/>
        </w:rPr>
        <w:t>sul greggio e segnala una graduale riduzione del prezzo del petrolio che, dai 63,3 dollari al barile del 2019, raggiungerebbe i 56,4 dollari nel 2022. Nello scenario alternativo si ipotizzano, a partire dal 2020, livelli del</w:t>
      </w:r>
    </w:p>
    <w:p>
      <w:pPr>
        <w:pStyle w:val="BodyText"/>
        <w:rPr>
          <w:rFonts w:ascii="Franklin Gothic Book"/>
          <w:sz w:val="20"/>
        </w:rPr>
      </w:pPr>
    </w:p>
    <w:p>
      <w:pPr>
        <w:pStyle w:val="BodyText"/>
        <w:spacing w:before="9"/>
        <w:rPr>
          <w:rFonts w:ascii="Franklin Gothic Book"/>
          <w:sz w:val="25"/>
        </w:rPr>
      </w:pPr>
      <w:r>
        <w:rPr/>
        <w:pict>
          <v:group style="position:absolute;margin-left:93.599998pt;margin-top:16.641407pt;width:21.4pt;height:2.15pt;mso-position-horizontal-relative:page;mso-position-vertical-relative:paragraph;z-index:-251532288;mso-wrap-distance-left:0;mso-wrap-distance-right:0" coordorigin="1872,333" coordsize="428,43">
            <v:line style="position:absolute" from="1872,353" to="2299,353" stroked="true" strokeweight="2.050pt" strokecolor="#aaaaaa">
              <v:stroke dashstyle="solid"/>
            </v:line>
            <v:rect style="position:absolute;left:1872;top:334;width:5;height:5" filled="true" fillcolor="#9f9f9f" stroked="false">
              <v:fill type="solid"/>
            </v:rect>
            <v:rect style="position:absolute;left:1872;top:334;width:5;height:5" filled="true" fillcolor="#9f9f9f" stroked="false">
              <v:fill type="solid"/>
            </v:rect>
            <v:line style="position:absolute" from="1877,337" to="2295,337" stroked="true" strokeweight=".23999pt" strokecolor="#9f9f9f">
              <v:stroke dashstyle="solid"/>
            </v:line>
            <v:rect style="position:absolute;left:2294;top:334;width:5;height:5" filled="true" fillcolor="#e2e2e2" stroked="false">
              <v:fill type="solid"/>
            </v:rect>
            <v:rect style="position:absolute;left:2294;top:334;width:5;height:5" filled="true" fillcolor="#9f9f9f" stroked="false">
              <v:fill type="solid"/>
            </v:rect>
            <v:rect style="position:absolute;left:1872;top:339;width:5;height:32" filled="true" fillcolor="#9f9f9f" stroked="false">
              <v:fill type="solid"/>
            </v:rect>
            <v:rect style="position:absolute;left:2294;top:339;width:5;height:32" filled="true" fillcolor="#e2e2e2" stroked="false">
              <v:fill type="solid"/>
            </v:rect>
            <v:rect style="position:absolute;left:1872;top:370;width:5;height:5" filled="true" fillcolor="#9f9f9f" stroked="false">
              <v:fill type="solid"/>
            </v:rect>
            <v:rect style="position:absolute;left:1872;top:370;width:5;height:5" filled="true" fillcolor="#e2e2e2" stroked="false">
              <v:fill type="solid"/>
            </v:rect>
            <v:line style="position:absolute" from="1877,373" to="2295,373" stroked="true" strokeweight=".24005pt" strokecolor="#e2e2e2">
              <v:stroke dashstyle="solid"/>
            </v:line>
            <v:rect style="position:absolute;left:2294;top:370;width:5;height:5" filled="true" fillcolor="#e2e2e2" stroked="false">
              <v:fill type="solid"/>
            </v:rect>
            <v:rect style="position:absolute;left:2294;top:370;width:5;height:5" filled="true" fillcolor="#e2e2e2" stroked="false">
              <v:fill type="solid"/>
            </v:rect>
            <w10:wrap type="topAndBottom"/>
          </v:group>
        </w:pict>
      </w:r>
    </w:p>
    <w:p>
      <w:pPr>
        <w:spacing w:before="20"/>
        <w:ind w:left="278" w:right="2393" w:firstLine="453"/>
        <w:jc w:val="left"/>
        <w:rPr>
          <w:sz w:val="16"/>
        </w:rPr>
      </w:pPr>
      <w:r>
        <w:rPr>
          <w:position w:val="6"/>
          <w:sz w:val="10"/>
        </w:rPr>
        <w:t>19 </w:t>
      </w:r>
      <w:r>
        <w:rPr>
          <w:sz w:val="16"/>
        </w:rPr>
        <w:t>Si considera la media delle quotazioni giornaliere più recenti, quelle registrate negli ultimi dieci giorni lavorativi.</w:t>
      </w:r>
    </w:p>
    <w:p>
      <w:pPr>
        <w:spacing w:after="0"/>
        <w:jc w:val="left"/>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rPr>
          <w:sz w:val="20"/>
        </w:rPr>
      </w:pPr>
    </w:p>
    <w:p>
      <w:pPr>
        <w:pStyle w:val="BodyText"/>
        <w:spacing w:before="9" w:after="1"/>
        <w:rPr>
          <w:sz w:val="14"/>
        </w:rPr>
      </w:pPr>
    </w:p>
    <w:tbl>
      <w:tblPr>
        <w:tblW w:w="0" w:type="auto"/>
        <w:jc w:val="left"/>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5"/>
        <w:gridCol w:w="4305"/>
        <w:gridCol w:w="1425"/>
        <w:gridCol w:w="642"/>
        <w:gridCol w:w="642"/>
        <w:gridCol w:w="647"/>
      </w:tblGrid>
      <w:tr>
        <w:trPr>
          <w:trHeight w:val="6682" w:hRule="atLeast"/>
        </w:trPr>
        <w:tc>
          <w:tcPr>
            <w:tcW w:w="8206" w:type="dxa"/>
            <w:gridSpan w:val="6"/>
            <w:tcBorders>
              <w:left w:val="single" w:sz="12" w:space="0" w:color="086D44"/>
            </w:tcBorders>
            <w:shd w:val="clear" w:color="auto" w:fill="EFEFEF"/>
          </w:tcPr>
          <w:p>
            <w:pPr>
              <w:pStyle w:val="TableParagraph"/>
              <w:spacing w:line="254" w:lineRule="auto" w:before="8"/>
              <w:ind w:left="474" w:right="-15"/>
              <w:jc w:val="both"/>
              <w:rPr>
                <w:sz w:val="20"/>
              </w:rPr>
            </w:pPr>
            <w:r>
              <w:rPr>
                <w:sz w:val="20"/>
              </w:rPr>
              <w:t>prezzo del greggio in ogni anno superiori di 20 dollari rispetto ai quelli ipotizzati nel quadro tendenziale.</w:t>
            </w:r>
          </w:p>
          <w:p>
            <w:pPr>
              <w:pStyle w:val="TableParagraph"/>
              <w:spacing w:line="254" w:lineRule="auto" w:before="60"/>
              <w:ind w:left="474" w:right="-15"/>
              <w:jc w:val="both"/>
              <w:rPr>
                <w:sz w:val="20"/>
              </w:rPr>
            </w:pPr>
            <w:r>
              <w:rPr>
                <w:sz w:val="20"/>
              </w:rPr>
              <w:t>Infine,</w:t>
            </w:r>
            <w:r>
              <w:rPr>
                <w:spacing w:val="-8"/>
                <w:sz w:val="20"/>
              </w:rPr>
              <w:t> </w:t>
            </w:r>
            <w:r>
              <w:rPr>
                <w:sz w:val="20"/>
              </w:rPr>
              <w:t>per</w:t>
            </w:r>
            <w:r>
              <w:rPr>
                <w:spacing w:val="-8"/>
                <w:sz w:val="20"/>
              </w:rPr>
              <w:t> </w:t>
            </w:r>
            <w:r>
              <w:rPr>
                <w:sz w:val="20"/>
              </w:rPr>
              <w:t>quanto</w:t>
            </w:r>
            <w:r>
              <w:rPr>
                <w:spacing w:val="-7"/>
                <w:sz w:val="20"/>
              </w:rPr>
              <w:t> </w:t>
            </w:r>
            <w:r>
              <w:rPr>
                <w:sz w:val="20"/>
              </w:rPr>
              <w:t>riguarda</w:t>
            </w:r>
            <w:r>
              <w:rPr>
                <w:spacing w:val="-7"/>
                <w:sz w:val="20"/>
              </w:rPr>
              <w:t> </w:t>
            </w:r>
            <w:r>
              <w:rPr>
                <w:sz w:val="20"/>
              </w:rPr>
              <w:t>le</w:t>
            </w:r>
            <w:r>
              <w:rPr>
                <w:spacing w:val="-5"/>
                <w:sz w:val="20"/>
              </w:rPr>
              <w:t> </w:t>
            </w:r>
            <w:r>
              <w:rPr>
                <w:sz w:val="20"/>
              </w:rPr>
              <w:t>condizioni</w:t>
            </w:r>
            <w:r>
              <w:rPr>
                <w:spacing w:val="-8"/>
                <w:sz w:val="20"/>
              </w:rPr>
              <w:t> </w:t>
            </w:r>
            <w:r>
              <w:rPr>
                <w:sz w:val="20"/>
              </w:rPr>
              <w:t>finanziarie</w:t>
            </w:r>
            <w:r>
              <w:rPr>
                <w:spacing w:val="-8"/>
                <w:sz w:val="20"/>
              </w:rPr>
              <w:t> </w:t>
            </w:r>
            <w:r>
              <w:rPr>
                <w:sz w:val="20"/>
              </w:rPr>
              <w:t>dell’economia,</w:t>
            </w:r>
            <w:r>
              <w:rPr>
                <w:spacing w:val="-6"/>
                <w:sz w:val="20"/>
              </w:rPr>
              <w:t> </w:t>
            </w:r>
            <w:r>
              <w:rPr>
                <w:sz w:val="20"/>
              </w:rPr>
              <w:t>si</w:t>
            </w:r>
            <w:r>
              <w:rPr>
                <w:spacing w:val="-7"/>
                <w:sz w:val="20"/>
              </w:rPr>
              <w:t> </w:t>
            </w:r>
            <w:r>
              <w:rPr>
                <w:sz w:val="20"/>
              </w:rPr>
              <w:t>ipotizza</w:t>
            </w:r>
            <w:r>
              <w:rPr>
                <w:spacing w:val="-7"/>
                <w:sz w:val="20"/>
              </w:rPr>
              <w:t> </w:t>
            </w:r>
            <w:r>
              <w:rPr>
                <w:sz w:val="20"/>
              </w:rPr>
              <w:t>uno</w:t>
            </w:r>
            <w:r>
              <w:rPr>
                <w:spacing w:val="-7"/>
                <w:sz w:val="20"/>
              </w:rPr>
              <w:t> </w:t>
            </w:r>
            <w:r>
              <w:rPr>
                <w:sz w:val="20"/>
              </w:rPr>
              <w:t>scenario</w:t>
            </w:r>
            <w:r>
              <w:rPr>
                <w:spacing w:val="-8"/>
                <w:sz w:val="20"/>
              </w:rPr>
              <w:t> </w:t>
            </w:r>
            <w:r>
              <w:rPr>
                <w:sz w:val="20"/>
              </w:rPr>
              <w:t>di minor</w:t>
            </w:r>
            <w:r>
              <w:rPr>
                <w:spacing w:val="-13"/>
                <w:sz w:val="20"/>
              </w:rPr>
              <w:t> </w:t>
            </w:r>
            <w:r>
              <w:rPr>
                <w:sz w:val="20"/>
              </w:rPr>
              <w:t>fiducia</w:t>
            </w:r>
            <w:r>
              <w:rPr>
                <w:spacing w:val="-10"/>
                <w:sz w:val="20"/>
              </w:rPr>
              <w:t> </w:t>
            </w:r>
            <w:r>
              <w:rPr>
                <w:sz w:val="20"/>
              </w:rPr>
              <w:t>da</w:t>
            </w:r>
            <w:r>
              <w:rPr>
                <w:spacing w:val="-10"/>
                <w:sz w:val="20"/>
              </w:rPr>
              <w:t> </w:t>
            </w:r>
            <w:r>
              <w:rPr>
                <w:sz w:val="20"/>
              </w:rPr>
              <w:t>parte</w:t>
            </w:r>
            <w:r>
              <w:rPr>
                <w:spacing w:val="-11"/>
                <w:sz w:val="20"/>
              </w:rPr>
              <w:t> </w:t>
            </w:r>
            <w:r>
              <w:rPr>
                <w:sz w:val="20"/>
              </w:rPr>
              <w:t>dei</w:t>
            </w:r>
            <w:r>
              <w:rPr>
                <w:spacing w:val="-11"/>
                <w:sz w:val="20"/>
              </w:rPr>
              <w:t> </w:t>
            </w:r>
            <w:r>
              <w:rPr>
                <w:sz w:val="20"/>
              </w:rPr>
              <w:t>risparmiatori</w:t>
            </w:r>
            <w:r>
              <w:rPr>
                <w:spacing w:val="-10"/>
                <w:sz w:val="20"/>
              </w:rPr>
              <w:t> </w:t>
            </w:r>
            <w:r>
              <w:rPr>
                <w:sz w:val="20"/>
              </w:rPr>
              <w:t>e</w:t>
            </w:r>
            <w:r>
              <w:rPr>
                <w:spacing w:val="-12"/>
                <w:sz w:val="20"/>
              </w:rPr>
              <w:t> </w:t>
            </w:r>
            <w:r>
              <w:rPr>
                <w:sz w:val="20"/>
              </w:rPr>
              <w:t>degli</w:t>
            </w:r>
            <w:r>
              <w:rPr>
                <w:spacing w:val="-10"/>
                <w:sz w:val="20"/>
              </w:rPr>
              <w:t> </w:t>
            </w:r>
            <w:r>
              <w:rPr>
                <w:sz w:val="20"/>
              </w:rPr>
              <w:t>operatori</w:t>
            </w:r>
            <w:r>
              <w:rPr>
                <w:spacing w:val="-10"/>
                <w:sz w:val="20"/>
              </w:rPr>
              <w:t> </w:t>
            </w:r>
            <w:r>
              <w:rPr>
                <w:sz w:val="20"/>
              </w:rPr>
              <w:t>finanziari,</w:t>
            </w:r>
            <w:r>
              <w:rPr>
                <w:spacing w:val="-10"/>
                <w:sz w:val="20"/>
              </w:rPr>
              <w:t> </w:t>
            </w:r>
            <w:r>
              <w:rPr>
                <w:sz w:val="20"/>
              </w:rPr>
              <w:t>nel</w:t>
            </w:r>
            <w:r>
              <w:rPr>
                <w:spacing w:val="-10"/>
                <w:sz w:val="20"/>
              </w:rPr>
              <w:t> </w:t>
            </w:r>
            <w:r>
              <w:rPr>
                <w:sz w:val="20"/>
              </w:rPr>
              <w:t>quale</w:t>
            </w:r>
            <w:r>
              <w:rPr>
                <w:spacing w:val="-12"/>
                <w:sz w:val="20"/>
              </w:rPr>
              <w:t> </w:t>
            </w:r>
            <w:r>
              <w:rPr>
                <w:sz w:val="20"/>
              </w:rPr>
              <w:t>lo</w:t>
            </w:r>
            <w:r>
              <w:rPr>
                <w:spacing w:val="-6"/>
                <w:sz w:val="20"/>
              </w:rPr>
              <w:t> </w:t>
            </w:r>
            <w:r>
              <w:rPr>
                <w:i/>
                <w:sz w:val="20"/>
              </w:rPr>
              <w:t>spread</w:t>
            </w:r>
            <w:r>
              <w:rPr>
                <w:i/>
                <w:spacing w:val="-9"/>
                <w:sz w:val="20"/>
              </w:rPr>
              <w:t> </w:t>
            </w:r>
            <w:r>
              <w:rPr>
                <w:sz w:val="20"/>
              </w:rPr>
              <w:t>contro Bund</w:t>
            </w:r>
            <w:r>
              <w:rPr>
                <w:spacing w:val="-8"/>
                <w:sz w:val="20"/>
              </w:rPr>
              <w:t> </w:t>
            </w:r>
            <w:r>
              <w:rPr>
                <w:sz w:val="20"/>
              </w:rPr>
              <w:t>dei</w:t>
            </w:r>
            <w:r>
              <w:rPr>
                <w:spacing w:val="-7"/>
                <w:sz w:val="20"/>
              </w:rPr>
              <w:t> </w:t>
            </w:r>
            <w:r>
              <w:rPr>
                <w:sz w:val="20"/>
              </w:rPr>
              <w:t>BTP</w:t>
            </w:r>
            <w:r>
              <w:rPr>
                <w:spacing w:val="-9"/>
                <w:sz w:val="20"/>
              </w:rPr>
              <w:t> </w:t>
            </w:r>
            <w:r>
              <w:rPr>
                <w:sz w:val="20"/>
              </w:rPr>
              <w:t>a</w:t>
            </w:r>
            <w:r>
              <w:rPr>
                <w:spacing w:val="-7"/>
                <w:sz w:val="20"/>
              </w:rPr>
              <w:t> </w:t>
            </w:r>
            <w:r>
              <w:rPr>
                <w:sz w:val="20"/>
              </w:rPr>
              <w:t>dieci</w:t>
            </w:r>
            <w:r>
              <w:rPr>
                <w:spacing w:val="-7"/>
                <w:sz w:val="20"/>
              </w:rPr>
              <w:t> </w:t>
            </w:r>
            <w:r>
              <w:rPr>
                <w:sz w:val="20"/>
              </w:rPr>
              <w:t>anni</w:t>
            </w:r>
            <w:r>
              <w:rPr>
                <w:spacing w:val="-8"/>
                <w:sz w:val="20"/>
              </w:rPr>
              <w:t> </w:t>
            </w:r>
            <w:r>
              <w:rPr>
                <w:sz w:val="20"/>
              </w:rPr>
              <w:t>sarebbe</w:t>
            </w:r>
            <w:r>
              <w:rPr>
                <w:spacing w:val="-7"/>
                <w:sz w:val="20"/>
              </w:rPr>
              <w:t> </w:t>
            </w:r>
            <w:r>
              <w:rPr>
                <w:sz w:val="20"/>
              </w:rPr>
              <w:t>superiore,</w:t>
            </w:r>
            <w:r>
              <w:rPr>
                <w:spacing w:val="-7"/>
                <w:sz w:val="20"/>
              </w:rPr>
              <w:t> </w:t>
            </w:r>
            <w:r>
              <w:rPr>
                <w:sz w:val="20"/>
              </w:rPr>
              <w:t>a</w:t>
            </w:r>
            <w:r>
              <w:rPr>
                <w:spacing w:val="-8"/>
                <w:sz w:val="20"/>
              </w:rPr>
              <w:t> </w:t>
            </w:r>
            <w:r>
              <w:rPr>
                <w:sz w:val="20"/>
              </w:rPr>
              <w:t>partire</w:t>
            </w:r>
            <w:r>
              <w:rPr>
                <w:spacing w:val="-7"/>
                <w:sz w:val="20"/>
              </w:rPr>
              <w:t> </w:t>
            </w:r>
            <w:r>
              <w:rPr>
                <w:sz w:val="20"/>
              </w:rPr>
              <w:t>dall’inizio</w:t>
            </w:r>
            <w:r>
              <w:rPr>
                <w:spacing w:val="-9"/>
                <w:sz w:val="20"/>
              </w:rPr>
              <w:t> </w:t>
            </w:r>
            <w:r>
              <w:rPr>
                <w:sz w:val="20"/>
              </w:rPr>
              <w:t>del</w:t>
            </w:r>
            <w:r>
              <w:rPr>
                <w:spacing w:val="-8"/>
                <w:sz w:val="20"/>
              </w:rPr>
              <w:t> </w:t>
            </w:r>
            <w:r>
              <w:rPr>
                <w:sz w:val="20"/>
              </w:rPr>
              <w:t>2020,</w:t>
            </w:r>
            <w:r>
              <w:rPr>
                <w:spacing w:val="-6"/>
                <w:sz w:val="20"/>
              </w:rPr>
              <w:t> </w:t>
            </w:r>
            <w:r>
              <w:rPr>
                <w:sz w:val="20"/>
              </w:rPr>
              <w:t>di</w:t>
            </w:r>
            <w:r>
              <w:rPr>
                <w:spacing w:val="-8"/>
                <w:sz w:val="20"/>
              </w:rPr>
              <w:t> </w:t>
            </w:r>
            <w:r>
              <w:rPr>
                <w:sz w:val="20"/>
              </w:rPr>
              <w:t>100</w:t>
            </w:r>
            <w:r>
              <w:rPr>
                <w:spacing w:val="-6"/>
                <w:sz w:val="20"/>
              </w:rPr>
              <w:t> </w:t>
            </w:r>
            <w:r>
              <w:rPr>
                <w:sz w:val="20"/>
              </w:rPr>
              <w:t>punti</w:t>
            </w:r>
            <w:r>
              <w:rPr>
                <w:spacing w:val="-9"/>
                <w:sz w:val="20"/>
              </w:rPr>
              <w:t> </w:t>
            </w:r>
            <w:r>
              <w:rPr>
                <w:sz w:val="20"/>
              </w:rPr>
              <w:t>base rispetto ai corrispondenti livelli dello scenario di base. In questo scenario, i livelli più elevati dello</w:t>
            </w:r>
            <w:r>
              <w:rPr>
                <w:spacing w:val="-6"/>
                <w:sz w:val="20"/>
              </w:rPr>
              <w:t> </w:t>
            </w:r>
            <w:r>
              <w:rPr>
                <w:sz w:val="20"/>
              </w:rPr>
              <w:t>spread</w:t>
            </w:r>
            <w:r>
              <w:rPr>
                <w:spacing w:val="-5"/>
                <w:sz w:val="20"/>
              </w:rPr>
              <w:t> </w:t>
            </w:r>
            <w:r>
              <w:rPr>
                <w:sz w:val="20"/>
              </w:rPr>
              <w:t>BTP-Bund</w:t>
            </w:r>
            <w:r>
              <w:rPr>
                <w:spacing w:val="-5"/>
                <w:sz w:val="20"/>
              </w:rPr>
              <w:t> </w:t>
            </w:r>
            <w:r>
              <w:rPr>
                <w:sz w:val="20"/>
              </w:rPr>
              <w:t>si</w:t>
            </w:r>
            <w:r>
              <w:rPr>
                <w:spacing w:val="-6"/>
                <w:sz w:val="20"/>
              </w:rPr>
              <w:t> </w:t>
            </w:r>
            <w:r>
              <w:rPr>
                <w:sz w:val="20"/>
              </w:rPr>
              <w:t>traslerebbero,</w:t>
            </w:r>
            <w:r>
              <w:rPr>
                <w:spacing w:val="-5"/>
                <w:sz w:val="20"/>
              </w:rPr>
              <w:t> </w:t>
            </w:r>
            <w:r>
              <w:rPr>
                <w:sz w:val="20"/>
              </w:rPr>
              <w:t>in</w:t>
            </w:r>
            <w:r>
              <w:rPr>
                <w:spacing w:val="-6"/>
                <w:sz w:val="20"/>
              </w:rPr>
              <w:t> </w:t>
            </w:r>
            <w:r>
              <w:rPr>
                <w:sz w:val="20"/>
              </w:rPr>
              <w:t>parte,</w:t>
            </w:r>
            <w:r>
              <w:rPr>
                <w:spacing w:val="-5"/>
                <w:sz w:val="20"/>
              </w:rPr>
              <w:t> </w:t>
            </w:r>
            <w:r>
              <w:rPr>
                <w:sz w:val="20"/>
              </w:rPr>
              <w:t>sui</w:t>
            </w:r>
            <w:r>
              <w:rPr>
                <w:spacing w:val="-5"/>
                <w:sz w:val="20"/>
              </w:rPr>
              <w:t> </w:t>
            </w:r>
            <w:r>
              <w:rPr>
                <w:sz w:val="20"/>
              </w:rPr>
              <w:t>tassi</w:t>
            </w:r>
            <w:r>
              <w:rPr>
                <w:spacing w:val="-7"/>
                <w:sz w:val="20"/>
              </w:rPr>
              <w:t> </w:t>
            </w:r>
            <w:r>
              <w:rPr>
                <w:sz w:val="20"/>
              </w:rPr>
              <w:t>di</w:t>
            </w:r>
            <w:r>
              <w:rPr>
                <w:spacing w:val="-6"/>
                <w:sz w:val="20"/>
              </w:rPr>
              <w:t> </w:t>
            </w:r>
            <w:r>
              <w:rPr>
                <w:sz w:val="20"/>
              </w:rPr>
              <w:t>interesse</w:t>
            </w:r>
            <w:r>
              <w:rPr>
                <w:spacing w:val="-6"/>
                <w:sz w:val="20"/>
              </w:rPr>
              <w:t> </w:t>
            </w:r>
            <w:r>
              <w:rPr>
                <w:sz w:val="20"/>
              </w:rPr>
              <w:t>applicati</w:t>
            </w:r>
            <w:r>
              <w:rPr>
                <w:spacing w:val="-6"/>
                <w:sz w:val="20"/>
              </w:rPr>
              <w:t> </w:t>
            </w:r>
            <w:r>
              <w:rPr>
                <w:sz w:val="20"/>
              </w:rPr>
              <w:t>dalle</w:t>
            </w:r>
            <w:r>
              <w:rPr>
                <w:spacing w:val="-6"/>
                <w:sz w:val="20"/>
              </w:rPr>
              <w:t> </w:t>
            </w:r>
            <w:r>
              <w:rPr>
                <w:sz w:val="20"/>
              </w:rPr>
              <w:t>banche alla clientela, rendendo meno favorevoli le condizioni di credito per il settore</w:t>
            </w:r>
            <w:r>
              <w:rPr>
                <w:spacing w:val="-14"/>
                <w:sz w:val="20"/>
              </w:rPr>
              <w:t> </w:t>
            </w:r>
            <w:r>
              <w:rPr>
                <w:sz w:val="20"/>
              </w:rPr>
              <w:t>privato.</w:t>
            </w:r>
          </w:p>
          <w:p>
            <w:pPr>
              <w:pStyle w:val="TableParagraph"/>
              <w:spacing w:line="254" w:lineRule="auto" w:before="57"/>
              <w:ind w:left="474" w:right="-15"/>
              <w:jc w:val="both"/>
              <w:rPr>
                <w:sz w:val="20"/>
              </w:rPr>
            </w:pPr>
            <w:r>
              <w:rPr>
                <w:sz w:val="20"/>
              </w:rPr>
              <w:t>I risultati dell’analisi di sensibilità del quadro tendenziale ai diversi elementi di rischio dello scenario</w:t>
            </w:r>
            <w:r>
              <w:rPr>
                <w:spacing w:val="-8"/>
                <w:sz w:val="20"/>
              </w:rPr>
              <w:t> </w:t>
            </w:r>
            <w:r>
              <w:rPr>
                <w:sz w:val="20"/>
              </w:rPr>
              <w:t>internazionale</w:t>
            </w:r>
            <w:r>
              <w:rPr>
                <w:spacing w:val="-9"/>
                <w:sz w:val="20"/>
              </w:rPr>
              <w:t> </w:t>
            </w:r>
            <w:r>
              <w:rPr>
                <w:sz w:val="20"/>
              </w:rPr>
              <w:t>di</w:t>
            </w:r>
            <w:r>
              <w:rPr>
                <w:spacing w:val="-7"/>
                <w:sz w:val="20"/>
              </w:rPr>
              <w:t> </w:t>
            </w:r>
            <w:r>
              <w:rPr>
                <w:sz w:val="20"/>
              </w:rPr>
              <w:t>riferimento</w:t>
            </w:r>
            <w:r>
              <w:rPr>
                <w:spacing w:val="-8"/>
                <w:sz w:val="20"/>
              </w:rPr>
              <w:t> </w:t>
            </w:r>
            <w:r>
              <w:rPr>
                <w:sz w:val="20"/>
              </w:rPr>
              <w:t>sono</w:t>
            </w:r>
            <w:r>
              <w:rPr>
                <w:spacing w:val="-8"/>
                <w:sz w:val="20"/>
              </w:rPr>
              <w:t> </w:t>
            </w:r>
            <w:r>
              <w:rPr>
                <w:sz w:val="20"/>
              </w:rPr>
              <w:t>riportati</w:t>
            </w:r>
            <w:r>
              <w:rPr>
                <w:spacing w:val="-7"/>
                <w:sz w:val="20"/>
              </w:rPr>
              <w:t> </w:t>
            </w:r>
            <w:r>
              <w:rPr>
                <w:sz w:val="20"/>
              </w:rPr>
              <w:t>nella</w:t>
            </w:r>
            <w:r>
              <w:rPr>
                <w:spacing w:val="-5"/>
                <w:sz w:val="20"/>
              </w:rPr>
              <w:t> </w:t>
            </w:r>
            <w:r>
              <w:rPr>
                <w:sz w:val="20"/>
              </w:rPr>
              <w:t>Tavola</w:t>
            </w:r>
            <w:r>
              <w:rPr>
                <w:spacing w:val="-8"/>
                <w:sz w:val="20"/>
              </w:rPr>
              <w:t> </w:t>
            </w:r>
            <w:r>
              <w:rPr>
                <w:sz w:val="20"/>
              </w:rPr>
              <w:t>R1.</w:t>
            </w:r>
            <w:r>
              <w:rPr>
                <w:spacing w:val="-6"/>
                <w:sz w:val="20"/>
              </w:rPr>
              <w:t> </w:t>
            </w:r>
            <w:r>
              <w:rPr>
                <w:sz w:val="20"/>
              </w:rPr>
              <w:t>La</w:t>
            </w:r>
            <w:r>
              <w:rPr>
                <w:spacing w:val="-8"/>
                <w:sz w:val="20"/>
              </w:rPr>
              <w:t> </w:t>
            </w:r>
            <w:r>
              <w:rPr>
                <w:sz w:val="20"/>
              </w:rPr>
              <w:t>minore</w:t>
            </w:r>
            <w:r>
              <w:rPr>
                <w:spacing w:val="-8"/>
                <w:sz w:val="20"/>
              </w:rPr>
              <w:t> </w:t>
            </w:r>
            <w:r>
              <w:rPr>
                <w:sz w:val="20"/>
              </w:rPr>
              <w:t>crescita</w:t>
            </w:r>
            <w:r>
              <w:rPr>
                <w:spacing w:val="-7"/>
                <w:sz w:val="20"/>
              </w:rPr>
              <w:t> </w:t>
            </w:r>
            <w:r>
              <w:rPr>
                <w:sz w:val="20"/>
              </w:rPr>
              <w:t>della domanda</w:t>
            </w:r>
            <w:r>
              <w:rPr>
                <w:spacing w:val="-15"/>
                <w:sz w:val="20"/>
              </w:rPr>
              <w:t> </w:t>
            </w:r>
            <w:r>
              <w:rPr>
                <w:sz w:val="20"/>
              </w:rPr>
              <w:t>mondiale</w:t>
            </w:r>
            <w:r>
              <w:rPr>
                <w:spacing w:val="-12"/>
                <w:sz w:val="20"/>
              </w:rPr>
              <w:t> </w:t>
            </w:r>
            <w:r>
              <w:rPr>
                <w:sz w:val="20"/>
              </w:rPr>
              <w:t>indebolirebbe</w:t>
            </w:r>
            <w:r>
              <w:rPr>
                <w:spacing w:val="-14"/>
                <w:sz w:val="20"/>
              </w:rPr>
              <w:t> </w:t>
            </w:r>
            <w:r>
              <w:rPr>
                <w:sz w:val="20"/>
              </w:rPr>
              <w:t>la</w:t>
            </w:r>
            <w:r>
              <w:rPr>
                <w:spacing w:val="-13"/>
                <w:sz w:val="20"/>
              </w:rPr>
              <w:t> </w:t>
            </w:r>
            <w:r>
              <w:rPr>
                <w:sz w:val="20"/>
              </w:rPr>
              <w:t>dinamica</w:t>
            </w:r>
            <w:r>
              <w:rPr>
                <w:spacing w:val="-14"/>
                <w:sz w:val="20"/>
              </w:rPr>
              <w:t> </w:t>
            </w:r>
            <w:r>
              <w:rPr>
                <w:sz w:val="20"/>
              </w:rPr>
              <w:t>delle</w:t>
            </w:r>
            <w:r>
              <w:rPr>
                <w:spacing w:val="-15"/>
                <w:sz w:val="20"/>
              </w:rPr>
              <w:t> </w:t>
            </w:r>
            <w:r>
              <w:rPr>
                <w:sz w:val="20"/>
              </w:rPr>
              <w:t>esportazioni</w:t>
            </w:r>
            <w:r>
              <w:rPr>
                <w:spacing w:val="-14"/>
                <w:sz w:val="20"/>
              </w:rPr>
              <w:t> </w:t>
            </w:r>
            <w:r>
              <w:rPr>
                <w:sz w:val="20"/>
              </w:rPr>
              <w:t>italiane</w:t>
            </w:r>
            <w:r>
              <w:rPr>
                <w:spacing w:val="-15"/>
                <w:sz w:val="20"/>
              </w:rPr>
              <w:t> </w:t>
            </w:r>
            <w:r>
              <w:rPr>
                <w:sz w:val="20"/>
              </w:rPr>
              <w:t>e</w:t>
            </w:r>
            <w:r>
              <w:rPr>
                <w:spacing w:val="-13"/>
                <w:sz w:val="20"/>
              </w:rPr>
              <w:t> </w:t>
            </w:r>
            <w:r>
              <w:rPr>
                <w:sz w:val="20"/>
              </w:rPr>
              <w:t>porterebbe</w:t>
            </w:r>
            <w:r>
              <w:rPr>
                <w:spacing w:val="-14"/>
                <w:sz w:val="20"/>
              </w:rPr>
              <w:t> </w:t>
            </w:r>
            <w:r>
              <w:rPr>
                <w:sz w:val="20"/>
              </w:rPr>
              <w:t>ad</w:t>
            </w:r>
            <w:r>
              <w:rPr>
                <w:spacing w:val="-14"/>
                <w:sz w:val="20"/>
              </w:rPr>
              <w:t> </w:t>
            </w:r>
            <w:r>
              <w:rPr>
                <w:sz w:val="20"/>
              </w:rPr>
              <w:t>una minore crescita del prodotto nel triennio 2020-2022. In particolare, nel caso di una prolungata guerra commerciale gli effetti maggiori si manifesterebbero nel 2021 e 2022, con una riduzione del tasso di crescita, rispettivamente, dello 0,5 e 0,4 per cento. Nel caso di limitazioni agli scambi internazionali derivanti da uno scenario di Hard Brexit, vi sarebbe un impatto negativo sul livello del PIL di 0,4 punti percentuali nel 2020. Anche l’apprezzamento dell’euro (in particolare del tasso di cambio nominale effettivo per l’economia italiana) e l’aumento del prezzo del petrolio costituirebbero elementi di possibile freno alla crescita dei prossimi anni. Per quanto attiene alle condizioni finanziarie dell’economia,</w:t>
            </w:r>
            <w:r>
              <w:rPr>
                <w:spacing w:val="-10"/>
                <w:sz w:val="20"/>
              </w:rPr>
              <w:t> </w:t>
            </w:r>
            <w:r>
              <w:rPr>
                <w:sz w:val="20"/>
              </w:rPr>
              <w:t>l’ipotesi</w:t>
            </w:r>
            <w:r>
              <w:rPr>
                <w:spacing w:val="-8"/>
                <w:sz w:val="20"/>
              </w:rPr>
              <w:t> </w:t>
            </w:r>
            <w:r>
              <w:rPr>
                <w:sz w:val="20"/>
              </w:rPr>
              <w:t>di</w:t>
            </w:r>
            <w:r>
              <w:rPr>
                <w:spacing w:val="-9"/>
                <w:sz w:val="20"/>
              </w:rPr>
              <w:t> </w:t>
            </w:r>
            <w:r>
              <w:rPr>
                <w:sz w:val="20"/>
              </w:rPr>
              <w:t>scenario</w:t>
            </w:r>
            <w:r>
              <w:rPr>
                <w:spacing w:val="-9"/>
                <w:sz w:val="20"/>
              </w:rPr>
              <w:t> </w:t>
            </w:r>
            <w:r>
              <w:rPr>
                <w:sz w:val="20"/>
              </w:rPr>
              <w:t>meno</w:t>
            </w:r>
            <w:r>
              <w:rPr>
                <w:spacing w:val="-10"/>
                <w:sz w:val="20"/>
              </w:rPr>
              <w:t> </w:t>
            </w:r>
            <w:r>
              <w:rPr>
                <w:sz w:val="20"/>
              </w:rPr>
              <w:t>favorevole</w:t>
            </w:r>
            <w:r>
              <w:rPr>
                <w:spacing w:val="-10"/>
                <w:sz w:val="20"/>
              </w:rPr>
              <w:t> </w:t>
            </w:r>
            <w:r>
              <w:rPr>
                <w:sz w:val="20"/>
              </w:rPr>
              <w:t>si</w:t>
            </w:r>
            <w:r>
              <w:rPr>
                <w:spacing w:val="-9"/>
                <w:sz w:val="20"/>
              </w:rPr>
              <w:t> </w:t>
            </w:r>
            <w:r>
              <w:rPr>
                <w:sz w:val="20"/>
              </w:rPr>
              <w:t>tradurrebbe</w:t>
            </w:r>
            <w:r>
              <w:rPr>
                <w:spacing w:val="-10"/>
                <w:sz w:val="20"/>
              </w:rPr>
              <w:t> </w:t>
            </w:r>
            <w:r>
              <w:rPr>
                <w:sz w:val="20"/>
              </w:rPr>
              <w:t>in</w:t>
            </w:r>
            <w:r>
              <w:rPr>
                <w:spacing w:val="-9"/>
                <w:sz w:val="20"/>
              </w:rPr>
              <w:t> </w:t>
            </w:r>
            <w:r>
              <w:rPr>
                <w:sz w:val="20"/>
              </w:rPr>
              <w:t>effetti</w:t>
            </w:r>
            <w:r>
              <w:rPr>
                <w:spacing w:val="-10"/>
                <w:sz w:val="20"/>
              </w:rPr>
              <w:t> </w:t>
            </w:r>
            <w:r>
              <w:rPr>
                <w:sz w:val="20"/>
              </w:rPr>
              <w:t>di</w:t>
            </w:r>
            <w:r>
              <w:rPr>
                <w:spacing w:val="-9"/>
                <w:sz w:val="20"/>
              </w:rPr>
              <w:t> </w:t>
            </w:r>
            <w:r>
              <w:rPr>
                <w:sz w:val="20"/>
              </w:rPr>
              <w:t>minor</w:t>
            </w:r>
            <w:r>
              <w:rPr>
                <w:spacing w:val="-11"/>
                <w:sz w:val="20"/>
              </w:rPr>
              <w:t> </w:t>
            </w:r>
            <w:r>
              <w:rPr>
                <w:sz w:val="20"/>
              </w:rPr>
              <w:t>crescita per il PIL, i consumi e gli investimenti: nel 2022, il PIL risulterebbe inferiore dello 0,9 per cento rispetto al corrispondente livello dello scenario</w:t>
            </w:r>
            <w:r>
              <w:rPr>
                <w:spacing w:val="-7"/>
                <w:sz w:val="20"/>
              </w:rPr>
              <w:t> </w:t>
            </w:r>
            <w:r>
              <w:rPr>
                <w:sz w:val="20"/>
              </w:rPr>
              <w:t>tendenziale.</w:t>
            </w:r>
          </w:p>
          <w:p>
            <w:pPr>
              <w:pStyle w:val="TableParagraph"/>
              <w:spacing w:line="254" w:lineRule="auto" w:before="56"/>
              <w:ind w:left="474" w:right="-15"/>
              <w:jc w:val="both"/>
              <w:rPr>
                <w:sz w:val="20"/>
              </w:rPr>
            </w:pPr>
            <w:r>
              <w:rPr>
                <w:sz w:val="20"/>
              </w:rPr>
              <w:t>Nel complesso, l’esercizio evidenzia che se i fattori di rischio più significativi dovessero manifestarsi nel corso del prossimo anno, partendo dal modesto tasso di crescita tendenziale</w:t>
            </w:r>
            <w:r>
              <w:rPr>
                <w:spacing w:val="-8"/>
                <w:sz w:val="20"/>
              </w:rPr>
              <w:t> </w:t>
            </w:r>
            <w:r>
              <w:rPr>
                <w:sz w:val="20"/>
              </w:rPr>
              <w:t>proiettato</w:t>
            </w:r>
            <w:r>
              <w:rPr>
                <w:spacing w:val="-7"/>
                <w:sz w:val="20"/>
              </w:rPr>
              <w:t> </w:t>
            </w:r>
            <w:r>
              <w:rPr>
                <w:sz w:val="20"/>
              </w:rPr>
              <w:t>nella</w:t>
            </w:r>
            <w:r>
              <w:rPr>
                <w:spacing w:val="-5"/>
                <w:sz w:val="20"/>
              </w:rPr>
              <w:t> </w:t>
            </w:r>
            <w:r>
              <w:rPr>
                <w:sz w:val="20"/>
              </w:rPr>
              <w:t>previsione</w:t>
            </w:r>
            <w:r>
              <w:rPr>
                <w:spacing w:val="-7"/>
                <w:sz w:val="20"/>
              </w:rPr>
              <w:t> </w:t>
            </w:r>
            <w:r>
              <w:rPr>
                <w:sz w:val="20"/>
              </w:rPr>
              <w:t>si</w:t>
            </w:r>
            <w:r>
              <w:rPr>
                <w:spacing w:val="-7"/>
                <w:sz w:val="20"/>
              </w:rPr>
              <w:t> </w:t>
            </w:r>
            <w:r>
              <w:rPr>
                <w:sz w:val="20"/>
              </w:rPr>
              <w:t>arriverebbe</w:t>
            </w:r>
            <w:r>
              <w:rPr>
                <w:spacing w:val="-8"/>
                <w:sz w:val="20"/>
              </w:rPr>
              <w:t> </w:t>
            </w:r>
            <w:r>
              <w:rPr>
                <w:sz w:val="20"/>
              </w:rPr>
              <w:t>ad</w:t>
            </w:r>
            <w:r>
              <w:rPr>
                <w:spacing w:val="-4"/>
                <w:sz w:val="20"/>
              </w:rPr>
              <w:t> </w:t>
            </w:r>
            <w:r>
              <w:rPr>
                <w:sz w:val="20"/>
              </w:rPr>
              <w:t>una</w:t>
            </w:r>
            <w:r>
              <w:rPr>
                <w:spacing w:val="-7"/>
                <w:sz w:val="20"/>
              </w:rPr>
              <w:t> </w:t>
            </w:r>
            <w:r>
              <w:rPr>
                <w:sz w:val="20"/>
              </w:rPr>
              <w:t>significativa</w:t>
            </w:r>
            <w:r>
              <w:rPr>
                <w:spacing w:val="-7"/>
                <w:sz w:val="20"/>
              </w:rPr>
              <w:t> </w:t>
            </w:r>
            <w:r>
              <w:rPr>
                <w:sz w:val="20"/>
              </w:rPr>
              <w:t>contrazione</w:t>
            </w:r>
            <w:r>
              <w:rPr>
                <w:spacing w:val="-5"/>
                <w:sz w:val="20"/>
              </w:rPr>
              <w:t> </w:t>
            </w:r>
            <w:r>
              <w:rPr>
                <w:sz w:val="20"/>
              </w:rPr>
              <w:t>del</w:t>
            </w:r>
            <w:r>
              <w:rPr>
                <w:spacing w:val="-9"/>
                <w:sz w:val="20"/>
              </w:rPr>
              <w:t> </w:t>
            </w:r>
            <w:r>
              <w:rPr>
                <w:sz w:val="20"/>
              </w:rPr>
              <w:t>PIL reale, ovvero ad una vera e propria</w:t>
            </w:r>
            <w:r>
              <w:rPr>
                <w:spacing w:val="-2"/>
                <w:sz w:val="20"/>
              </w:rPr>
              <w:t> </w:t>
            </w:r>
            <w:r>
              <w:rPr>
                <w:sz w:val="20"/>
              </w:rPr>
              <w:t>recessione.</w:t>
            </w:r>
          </w:p>
        </w:tc>
      </w:tr>
      <w:tr>
        <w:trPr>
          <w:trHeight w:val="231" w:hRule="atLeast"/>
        </w:trPr>
        <w:tc>
          <w:tcPr>
            <w:tcW w:w="545" w:type="dxa"/>
            <w:tcBorders>
              <w:left w:val="single" w:sz="12" w:space="0" w:color="086D44"/>
            </w:tcBorders>
            <w:shd w:val="clear" w:color="auto" w:fill="EFEFEF"/>
          </w:tcPr>
          <w:p>
            <w:pPr>
              <w:pStyle w:val="TableParagraph"/>
              <w:jc w:val="left"/>
              <w:rPr>
                <w:rFonts w:ascii="Times New Roman"/>
                <w:sz w:val="16"/>
              </w:rPr>
            </w:pPr>
          </w:p>
        </w:tc>
        <w:tc>
          <w:tcPr>
            <w:tcW w:w="7661" w:type="dxa"/>
            <w:gridSpan w:val="5"/>
            <w:shd w:val="clear" w:color="auto" w:fill="086D44"/>
          </w:tcPr>
          <w:p>
            <w:pPr>
              <w:pStyle w:val="TableParagraph"/>
              <w:spacing w:line="168" w:lineRule="exact" w:before="43"/>
              <w:ind w:left="42"/>
              <w:jc w:val="left"/>
              <w:rPr>
                <w:rFonts w:ascii="Franklin Gothic Heavy"/>
                <w:b/>
                <w:sz w:val="17"/>
              </w:rPr>
            </w:pPr>
            <w:r>
              <w:rPr>
                <w:rFonts w:ascii="Franklin Gothic Heavy"/>
                <w:b/>
                <w:color w:val="EFEFEF"/>
                <w:sz w:val="17"/>
              </w:rPr>
              <w:t>TAVOLA R1: EFFETTI SUL PIL DEGLI SCENARI DI RISCHIO (impatto sui tassi di crescita )</w:t>
            </w:r>
          </w:p>
        </w:tc>
      </w:tr>
      <w:tr>
        <w:trPr>
          <w:trHeight w:val="286" w:hRule="atLeast"/>
        </w:trPr>
        <w:tc>
          <w:tcPr>
            <w:tcW w:w="545" w:type="dxa"/>
            <w:vMerge w:val="restart"/>
            <w:tcBorders>
              <w:left w:val="single" w:sz="12" w:space="0" w:color="086D44"/>
            </w:tcBorders>
            <w:shd w:val="clear" w:color="auto" w:fill="EFEFEF"/>
          </w:tcPr>
          <w:p>
            <w:pPr>
              <w:pStyle w:val="TableParagraph"/>
              <w:jc w:val="left"/>
              <w:rPr>
                <w:rFonts w:ascii="Times New Roman"/>
                <w:sz w:val="20"/>
              </w:rPr>
            </w:pPr>
          </w:p>
        </w:tc>
        <w:tc>
          <w:tcPr>
            <w:tcW w:w="4305" w:type="dxa"/>
            <w:tcBorders>
              <w:top w:val="single" w:sz="24" w:space="0" w:color="086D44"/>
              <w:bottom w:val="single" w:sz="2" w:space="0" w:color="000000"/>
            </w:tcBorders>
            <w:shd w:val="clear" w:color="auto" w:fill="EFEFEF"/>
          </w:tcPr>
          <w:p>
            <w:pPr>
              <w:pStyle w:val="TableParagraph"/>
              <w:jc w:val="left"/>
              <w:rPr>
                <w:rFonts w:ascii="Times New Roman"/>
                <w:sz w:val="20"/>
              </w:rPr>
            </w:pPr>
          </w:p>
        </w:tc>
        <w:tc>
          <w:tcPr>
            <w:tcW w:w="1425" w:type="dxa"/>
            <w:tcBorders>
              <w:top w:val="single" w:sz="24" w:space="0" w:color="086D44"/>
              <w:bottom w:val="single" w:sz="2" w:space="0" w:color="000000"/>
            </w:tcBorders>
            <w:shd w:val="clear" w:color="auto" w:fill="EFEFEF"/>
          </w:tcPr>
          <w:p>
            <w:pPr>
              <w:pStyle w:val="TableParagraph"/>
              <w:spacing w:before="34"/>
              <w:ind w:right="115"/>
              <w:rPr>
                <w:sz w:val="16"/>
              </w:rPr>
            </w:pPr>
            <w:r>
              <w:rPr>
                <w:sz w:val="16"/>
              </w:rPr>
              <w:t>2019</w:t>
            </w:r>
          </w:p>
        </w:tc>
        <w:tc>
          <w:tcPr>
            <w:tcW w:w="642" w:type="dxa"/>
            <w:tcBorders>
              <w:top w:val="single" w:sz="24" w:space="0" w:color="086D44"/>
              <w:bottom w:val="single" w:sz="2" w:space="0" w:color="000000"/>
            </w:tcBorders>
            <w:shd w:val="clear" w:color="auto" w:fill="EFEFEF"/>
          </w:tcPr>
          <w:p>
            <w:pPr>
              <w:pStyle w:val="TableParagraph"/>
              <w:spacing w:before="34"/>
              <w:ind w:left="125" w:right="98"/>
              <w:jc w:val="center"/>
              <w:rPr>
                <w:sz w:val="16"/>
              </w:rPr>
            </w:pPr>
            <w:r>
              <w:rPr>
                <w:sz w:val="16"/>
              </w:rPr>
              <w:t>2020</w:t>
            </w:r>
          </w:p>
        </w:tc>
        <w:tc>
          <w:tcPr>
            <w:tcW w:w="642" w:type="dxa"/>
            <w:tcBorders>
              <w:top w:val="single" w:sz="24" w:space="0" w:color="086D44"/>
              <w:bottom w:val="single" w:sz="2" w:space="0" w:color="000000"/>
            </w:tcBorders>
            <w:shd w:val="clear" w:color="auto" w:fill="EFEFEF"/>
          </w:tcPr>
          <w:p>
            <w:pPr>
              <w:pStyle w:val="TableParagraph"/>
              <w:spacing w:before="34"/>
              <w:ind w:left="126" w:right="96"/>
              <w:jc w:val="center"/>
              <w:rPr>
                <w:sz w:val="16"/>
              </w:rPr>
            </w:pPr>
            <w:r>
              <w:rPr>
                <w:sz w:val="16"/>
              </w:rPr>
              <w:t>2021</w:t>
            </w:r>
          </w:p>
        </w:tc>
        <w:tc>
          <w:tcPr>
            <w:tcW w:w="647" w:type="dxa"/>
            <w:tcBorders>
              <w:top w:val="single" w:sz="24" w:space="0" w:color="086D44"/>
              <w:bottom w:val="single" w:sz="2" w:space="0" w:color="000000"/>
            </w:tcBorders>
            <w:shd w:val="clear" w:color="auto" w:fill="EFEFEF"/>
          </w:tcPr>
          <w:p>
            <w:pPr>
              <w:pStyle w:val="TableParagraph"/>
              <w:spacing w:before="34"/>
              <w:ind w:left="127" w:right="104"/>
              <w:jc w:val="center"/>
              <w:rPr>
                <w:sz w:val="16"/>
              </w:rPr>
            </w:pPr>
            <w:r>
              <w:rPr>
                <w:sz w:val="16"/>
              </w:rPr>
              <w:t>2022</w:t>
            </w:r>
          </w:p>
        </w:tc>
      </w:tr>
      <w:tr>
        <w:trPr>
          <w:trHeight w:val="209" w:hRule="atLeast"/>
        </w:trPr>
        <w:tc>
          <w:tcPr>
            <w:tcW w:w="545" w:type="dxa"/>
            <w:vMerge/>
            <w:tcBorders>
              <w:top w:val="nil"/>
              <w:left w:val="single" w:sz="12" w:space="0" w:color="086D44"/>
            </w:tcBorders>
            <w:shd w:val="clear" w:color="auto" w:fill="EFEFEF"/>
          </w:tcPr>
          <w:p>
            <w:pPr>
              <w:rPr>
                <w:sz w:val="2"/>
                <w:szCs w:val="2"/>
              </w:rPr>
            </w:pPr>
          </w:p>
        </w:tc>
        <w:tc>
          <w:tcPr>
            <w:tcW w:w="4305" w:type="dxa"/>
            <w:tcBorders>
              <w:top w:val="single" w:sz="2" w:space="0" w:color="000000"/>
            </w:tcBorders>
            <w:shd w:val="clear" w:color="auto" w:fill="EFEFEF"/>
          </w:tcPr>
          <w:p>
            <w:pPr>
              <w:pStyle w:val="TableParagraph"/>
              <w:spacing w:line="189" w:lineRule="exact"/>
              <w:ind w:left="42"/>
              <w:jc w:val="left"/>
              <w:rPr>
                <w:sz w:val="17"/>
              </w:rPr>
            </w:pPr>
            <w:r>
              <w:rPr>
                <w:sz w:val="17"/>
              </w:rPr>
              <w:t>1a. Commercio mondiale - guerra commerciale</w:t>
            </w:r>
          </w:p>
        </w:tc>
        <w:tc>
          <w:tcPr>
            <w:tcW w:w="1425" w:type="dxa"/>
            <w:tcBorders>
              <w:top w:val="single" w:sz="2" w:space="0" w:color="000000"/>
            </w:tcBorders>
            <w:shd w:val="clear" w:color="auto" w:fill="EFEFEF"/>
          </w:tcPr>
          <w:p>
            <w:pPr>
              <w:pStyle w:val="TableParagraph"/>
              <w:spacing w:before="7"/>
              <w:ind w:right="189"/>
              <w:rPr>
                <w:sz w:val="16"/>
              </w:rPr>
            </w:pPr>
            <w:r>
              <w:rPr>
                <w:sz w:val="16"/>
              </w:rPr>
              <w:t>0,0</w:t>
            </w:r>
          </w:p>
        </w:tc>
        <w:tc>
          <w:tcPr>
            <w:tcW w:w="642" w:type="dxa"/>
            <w:tcBorders>
              <w:top w:val="single" w:sz="2" w:space="0" w:color="000000"/>
            </w:tcBorders>
            <w:shd w:val="clear" w:color="auto" w:fill="EFEFEF"/>
          </w:tcPr>
          <w:p>
            <w:pPr>
              <w:pStyle w:val="TableParagraph"/>
              <w:spacing w:before="7"/>
              <w:ind w:left="126" w:right="97"/>
              <w:jc w:val="center"/>
              <w:rPr>
                <w:sz w:val="16"/>
              </w:rPr>
            </w:pPr>
            <w:r>
              <w:rPr>
                <w:sz w:val="16"/>
              </w:rPr>
              <w:t>-0,2</w:t>
            </w:r>
          </w:p>
        </w:tc>
        <w:tc>
          <w:tcPr>
            <w:tcW w:w="642" w:type="dxa"/>
            <w:tcBorders>
              <w:top w:val="single" w:sz="2" w:space="0" w:color="000000"/>
            </w:tcBorders>
            <w:shd w:val="clear" w:color="auto" w:fill="EFEFEF"/>
          </w:tcPr>
          <w:p>
            <w:pPr>
              <w:pStyle w:val="TableParagraph"/>
              <w:spacing w:before="7"/>
              <w:ind w:left="126" w:right="93"/>
              <w:jc w:val="center"/>
              <w:rPr>
                <w:sz w:val="16"/>
              </w:rPr>
            </w:pPr>
            <w:r>
              <w:rPr>
                <w:sz w:val="16"/>
              </w:rPr>
              <w:t>-0,5</w:t>
            </w:r>
          </w:p>
        </w:tc>
        <w:tc>
          <w:tcPr>
            <w:tcW w:w="647" w:type="dxa"/>
            <w:tcBorders>
              <w:top w:val="single" w:sz="2" w:space="0" w:color="000000"/>
            </w:tcBorders>
            <w:shd w:val="clear" w:color="auto" w:fill="EFEFEF"/>
          </w:tcPr>
          <w:p>
            <w:pPr>
              <w:pStyle w:val="TableParagraph"/>
              <w:spacing w:before="7"/>
              <w:ind w:left="127" w:right="102"/>
              <w:jc w:val="center"/>
              <w:rPr>
                <w:sz w:val="16"/>
              </w:rPr>
            </w:pPr>
            <w:r>
              <w:rPr>
                <w:sz w:val="16"/>
              </w:rPr>
              <w:t>-0,4</w:t>
            </w:r>
          </w:p>
        </w:tc>
      </w:tr>
      <w:tr>
        <w:trPr>
          <w:trHeight w:val="226" w:hRule="atLeast"/>
        </w:trPr>
        <w:tc>
          <w:tcPr>
            <w:tcW w:w="545" w:type="dxa"/>
            <w:vMerge/>
            <w:tcBorders>
              <w:top w:val="nil"/>
              <w:left w:val="single" w:sz="12" w:space="0" w:color="086D44"/>
            </w:tcBorders>
            <w:shd w:val="clear" w:color="auto" w:fill="EFEFEF"/>
          </w:tcPr>
          <w:p>
            <w:pPr>
              <w:rPr>
                <w:sz w:val="2"/>
                <w:szCs w:val="2"/>
              </w:rPr>
            </w:pPr>
          </w:p>
        </w:tc>
        <w:tc>
          <w:tcPr>
            <w:tcW w:w="4305" w:type="dxa"/>
            <w:shd w:val="clear" w:color="auto" w:fill="EFEFEF"/>
          </w:tcPr>
          <w:p>
            <w:pPr>
              <w:pStyle w:val="TableParagraph"/>
              <w:spacing w:line="190" w:lineRule="exact" w:before="16"/>
              <w:ind w:left="42"/>
              <w:jc w:val="left"/>
              <w:rPr>
                <w:sz w:val="17"/>
              </w:rPr>
            </w:pPr>
            <w:r>
              <w:rPr>
                <w:sz w:val="17"/>
              </w:rPr>
              <w:t>1b. Commercio mondiale - Hard Brexit</w:t>
            </w:r>
          </w:p>
        </w:tc>
        <w:tc>
          <w:tcPr>
            <w:tcW w:w="1425" w:type="dxa"/>
            <w:shd w:val="clear" w:color="auto" w:fill="EFEFEF"/>
          </w:tcPr>
          <w:p>
            <w:pPr>
              <w:pStyle w:val="TableParagraph"/>
              <w:spacing w:before="23"/>
              <w:ind w:right="189"/>
              <w:rPr>
                <w:sz w:val="16"/>
              </w:rPr>
            </w:pPr>
            <w:r>
              <w:rPr>
                <w:sz w:val="16"/>
              </w:rPr>
              <w:t>0,0</w:t>
            </w:r>
          </w:p>
        </w:tc>
        <w:tc>
          <w:tcPr>
            <w:tcW w:w="642" w:type="dxa"/>
            <w:shd w:val="clear" w:color="auto" w:fill="EFEFEF"/>
          </w:tcPr>
          <w:p>
            <w:pPr>
              <w:pStyle w:val="TableParagraph"/>
              <w:spacing w:before="23"/>
              <w:ind w:left="126" w:right="97"/>
              <w:jc w:val="center"/>
              <w:rPr>
                <w:sz w:val="16"/>
              </w:rPr>
            </w:pPr>
            <w:r>
              <w:rPr>
                <w:sz w:val="16"/>
              </w:rPr>
              <w:t>-0,4</w:t>
            </w:r>
          </w:p>
        </w:tc>
        <w:tc>
          <w:tcPr>
            <w:tcW w:w="642" w:type="dxa"/>
            <w:shd w:val="clear" w:color="auto" w:fill="EFEFEF"/>
          </w:tcPr>
          <w:p>
            <w:pPr>
              <w:pStyle w:val="TableParagraph"/>
              <w:spacing w:before="23"/>
              <w:ind w:left="126" w:right="93"/>
              <w:jc w:val="center"/>
              <w:rPr>
                <w:sz w:val="16"/>
              </w:rPr>
            </w:pPr>
            <w:r>
              <w:rPr>
                <w:sz w:val="16"/>
              </w:rPr>
              <w:t>-0,1</w:t>
            </w:r>
          </w:p>
        </w:tc>
        <w:tc>
          <w:tcPr>
            <w:tcW w:w="647" w:type="dxa"/>
            <w:shd w:val="clear" w:color="auto" w:fill="EFEFEF"/>
          </w:tcPr>
          <w:p>
            <w:pPr>
              <w:pStyle w:val="TableParagraph"/>
              <w:spacing w:before="23"/>
              <w:ind w:left="127" w:right="104"/>
              <w:jc w:val="center"/>
              <w:rPr>
                <w:sz w:val="16"/>
              </w:rPr>
            </w:pPr>
            <w:r>
              <w:rPr>
                <w:sz w:val="16"/>
              </w:rPr>
              <w:t>0,1</w:t>
            </w:r>
          </w:p>
        </w:tc>
      </w:tr>
      <w:tr>
        <w:trPr>
          <w:trHeight w:val="228" w:hRule="atLeast"/>
        </w:trPr>
        <w:tc>
          <w:tcPr>
            <w:tcW w:w="545" w:type="dxa"/>
            <w:vMerge/>
            <w:tcBorders>
              <w:top w:val="nil"/>
              <w:left w:val="single" w:sz="12" w:space="0" w:color="086D44"/>
            </w:tcBorders>
            <w:shd w:val="clear" w:color="auto" w:fill="EFEFEF"/>
          </w:tcPr>
          <w:p>
            <w:pPr>
              <w:rPr>
                <w:sz w:val="2"/>
                <w:szCs w:val="2"/>
              </w:rPr>
            </w:pPr>
          </w:p>
        </w:tc>
        <w:tc>
          <w:tcPr>
            <w:tcW w:w="4305" w:type="dxa"/>
            <w:shd w:val="clear" w:color="auto" w:fill="EFEFEF"/>
          </w:tcPr>
          <w:p>
            <w:pPr>
              <w:pStyle w:val="TableParagraph"/>
              <w:spacing w:line="190" w:lineRule="exact" w:before="17"/>
              <w:ind w:left="42"/>
              <w:jc w:val="left"/>
              <w:rPr>
                <w:sz w:val="17"/>
              </w:rPr>
            </w:pPr>
            <w:r>
              <w:rPr>
                <w:sz w:val="17"/>
              </w:rPr>
              <w:t>2. Tasso di cambio nominale effettivo</w:t>
            </w:r>
          </w:p>
        </w:tc>
        <w:tc>
          <w:tcPr>
            <w:tcW w:w="1425" w:type="dxa"/>
            <w:shd w:val="clear" w:color="auto" w:fill="EFEFEF"/>
          </w:tcPr>
          <w:p>
            <w:pPr>
              <w:pStyle w:val="TableParagraph"/>
              <w:spacing w:before="24"/>
              <w:ind w:right="189"/>
              <w:rPr>
                <w:sz w:val="16"/>
              </w:rPr>
            </w:pPr>
            <w:r>
              <w:rPr>
                <w:sz w:val="16"/>
              </w:rPr>
              <w:t>0,0</w:t>
            </w:r>
          </w:p>
        </w:tc>
        <w:tc>
          <w:tcPr>
            <w:tcW w:w="642" w:type="dxa"/>
            <w:shd w:val="clear" w:color="auto" w:fill="EFEFEF"/>
          </w:tcPr>
          <w:p>
            <w:pPr>
              <w:pStyle w:val="TableParagraph"/>
              <w:spacing w:before="24"/>
              <w:ind w:left="126" w:right="97"/>
              <w:jc w:val="center"/>
              <w:rPr>
                <w:sz w:val="16"/>
              </w:rPr>
            </w:pPr>
            <w:r>
              <w:rPr>
                <w:sz w:val="16"/>
              </w:rPr>
              <w:t>-0,2</w:t>
            </w:r>
          </w:p>
        </w:tc>
        <w:tc>
          <w:tcPr>
            <w:tcW w:w="642" w:type="dxa"/>
            <w:shd w:val="clear" w:color="auto" w:fill="EFEFEF"/>
          </w:tcPr>
          <w:p>
            <w:pPr>
              <w:pStyle w:val="TableParagraph"/>
              <w:spacing w:before="24"/>
              <w:ind w:left="126" w:right="93"/>
              <w:jc w:val="center"/>
              <w:rPr>
                <w:sz w:val="16"/>
              </w:rPr>
            </w:pPr>
            <w:r>
              <w:rPr>
                <w:sz w:val="16"/>
              </w:rPr>
              <w:t>-0,4</w:t>
            </w:r>
          </w:p>
        </w:tc>
        <w:tc>
          <w:tcPr>
            <w:tcW w:w="647" w:type="dxa"/>
            <w:shd w:val="clear" w:color="auto" w:fill="EFEFEF"/>
          </w:tcPr>
          <w:p>
            <w:pPr>
              <w:pStyle w:val="TableParagraph"/>
              <w:spacing w:before="24"/>
              <w:ind w:left="127" w:right="102"/>
              <w:jc w:val="center"/>
              <w:rPr>
                <w:sz w:val="16"/>
              </w:rPr>
            </w:pPr>
            <w:r>
              <w:rPr>
                <w:sz w:val="16"/>
              </w:rPr>
              <w:t>-0,4</w:t>
            </w:r>
          </w:p>
        </w:tc>
      </w:tr>
      <w:tr>
        <w:trPr>
          <w:trHeight w:val="226" w:hRule="atLeast"/>
        </w:trPr>
        <w:tc>
          <w:tcPr>
            <w:tcW w:w="545" w:type="dxa"/>
            <w:vMerge/>
            <w:tcBorders>
              <w:top w:val="nil"/>
              <w:left w:val="single" w:sz="12" w:space="0" w:color="086D44"/>
            </w:tcBorders>
            <w:shd w:val="clear" w:color="auto" w:fill="EFEFEF"/>
          </w:tcPr>
          <w:p>
            <w:pPr>
              <w:rPr>
                <w:sz w:val="2"/>
                <w:szCs w:val="2"/>
              </w:rPr>
            </w:pPr>
          </w:p>
        </w:tc>
        <w:tc>
          <w:tcPr>
            <w:tcW w:w="4305" w:type="dxa"/>
            <w:shd w:val="clear" w:color="auto" w:fill="EFEFEF"/>
          </w:tcPr>
          <w:p>
            <w:pPr>
              <w:pStyle w:val="TableParagraph"/>
              <w:spacing w:line="189" w:lineRule="exact" w:before="17"/>
              <w:ind w:left="42"/>
              <w:jc w:val="left"/>
              <w:rPr>
                <w:sz w:val="17"/>
              </w:rPr>
            </w:pPr>
            <w:r>
              <w:rPr>
                <w:sz w:val="17"/>
              </w:rPr>
              <w:t>3. Prezzo del Petrolio</w:t>
            </w:r>
          </w:p>
        </w:tc>
        <w:tc>
          <w:tcPr>
            <w:tcW w:w="1425" w:type="dxa"/>
            <w:shd w:val="clear" w:color="auto" w:fill="EFEFEF"/>
          </w:tcPr>
          <w:p>
            <w:pPr>
              <w:pStyle w:val="TableParagraph"/>
              <w:spacing w:before="24"/>
              <w:ind w:right="189"/>
              <w:rPr>
                <w:sz w:val="16"/>
              </w:rPr>
            </w:pPr>
            <w:r>
              <w:rPr>
                <w:sz w:val="16"/>
              </w:rPr>
              <w:t>0,0</w:t>
            </w:r>
          </w:p>
        </w:tc>
        <w:tc>
          <w:tcPr>
            <w:tcW w:w="642" w:type="dxa"/>
            <w:shd w:val="clear" w:color="auto" w:fill="EFEFEF"/>
          </w:tcPr>
          <w:p>
            <w:pPr>
              <w:pStyle w:val="TableParagraph"/>
              <w:spacing w:before="24"/>
              <w:ind w:left="126" w:right="97"/>
              <w:jc w:val="center"/>
              <w:rPr>
                <w:sz w:val="16"/>
              </w:rPr>
            </w:pPr>
            <w:r>
              <w:rPr>
                <w:sz w:val="16"/>
              </w:rPr>
              <w:t>-0,4</w:t>
            </w:r>
          </w:p>
        </w:tc>
        <w:tc>
          <w:tcPr>
            <w:tcW w:w="642" w:type="dxa"/>
            <w:shd w:val="clear" w:color="auto" w:fill="EFEFEF"/>
          </w:tcPr>
          <w:p>
            <w:pPr>
              <w:pStyle w:val="TableParagraph"/>
              <w:spacing w:before="24"/>
              <w:ind w:left="126" w:right="93"/>
              <w:jc w:val="center"/>
              <w:rPr>
                <w:sz w:val="16"/>
              </w:rPr>
            </w:pPr>
            <w:r>
              <w:rPr>
                <w:sz w:val="16"/>
              </w:rPr>
              <w:t>-0,5</w:t>
            </w:r>
          </w:p>
        </w:tc>
        <w:tc>
          <w:tcPr>
            <w:tcW w:w="647" w:type="dxa"/>
            <w:shd w:val="clear" w:color="auto" w:fill="EFEFEF"/>
          </w:tcPr>
          <w:p>
            <w:pPr>
              <w:pStyle w:val="TableParagraph"/>
              <w:spacing w:before="24"/>
              <w:ind w:left="127" w:right="102"/>
              <w:jc w:val="center"/>
              <w:rPr>
                <w:sz w:val="16"/>
              </w:rPr>
            </w:pPr>
            <w:r>
              <w:rPr>
                <w:sz w:val="16"/>
              </w:rPr>
              <w:t>-0,1</w:t>
            </w:r>
          </w:p>
        </w:tc>
      </w:tr>
      <w:tr>
        <w:trPr>
          <w:trHeight w:val="243" w:hRule="atLeast"/>
        </w:trPr>
        <w:tc>
          <w:tcPr>
            <w:tcW w:w="545" w:type="dxa"/>
            <w:vMerge/>
            <w:tcBorders>
              <w:top w:val="nil"/>
              <w:left w:val="single" w:sz="12" w:space="0" w:color="086D44"/>
            </w:tcBorders>
            <w:shd w:val="clear" w:color="auto" w:fill="EFEFEF"/>
          </w:tcPr>
          <w:p>
            <w:pPr>
              <w:rPr>
                <w:sz w:val="2"/>
                <w:szCs w:val="2"/>
              </w:rPr>
            </w:pPr>
          </w:p>
        </w:tc>
        <w:tc>
          <w:tcPr>
            <w:tcW w:w="4305" w:type="dxa"/>
            <w:tcBorders>
              <w:bottom w:val="single" w:sz="12" w:space="0" w:color="086D44"/>
            </w:tcBorders>
            <w:shd w:val="clear" w:color="auto" w:fill="EFEFEF"/>
          </w:tcPr>
          <w:p>
            <w:pPr>
              <w:pStyle w:val="TableParagraph"/>
              <w:spacing w:before="16"/>
              <w:ind w:left="42"/>
              <w:jc w:val="left"/>
              <w:rPr>
                <w:sz w:val="17"/>
              </w:rPr>
            </w:pPr>
            <w:r>
              <w:rPr>
                <w:sz w:val="17"/>
              </w:rPr>
              <w:t>4. Ipotesi peggiori condizioni finanziarie</w:t>
            </w:r>
          </w:p>
        </w:tc>
        <w:tc>
          <w:tcPr>
            <w:tcW w:w="1425" w:type="dxa"/>
            <w:tcBorders>
              <w:bottom w:val="single" w:sz="12" w:space="0" w:color="086D44"/>
            </w:tcBorders>
            <w:shd w:val="clear" w:color="auto" w:fill="EFEFEF"/>
          </w:tcPr>
          <w:p>
            <w:pPr>
              <w:pStyle w:val="TableParagraph"/>
              <w:spacing w:before="23"/>
              <w:ind w:right="189"/>
              <w:rPr>
                <w:sz w:val="16"/>
              </w:rPr>
            </w:pPr>
            <w:r>
              <w:rPr>
                <w:sz w:val="16"/>
              </w:rPr>
              <w:t>0,0</w:t>
            </w:r>
          </w:p>
        </w:tc>
        <w:tc>
          <w:tcPr>
            <w:tcW w:w="642" w:type="dxa"/>
            <w:tcBorders>
              <w:bottom w:val="single" w:sz="12" w:space="0" w:color="086D44"/>
            </w:tcBorders>
            <w:shd w:val="clear" w:color="auto" w:fill="EFEFEF"/>
          </w:tcPr>
          <w:p>
            <w:pPr>
              <w:pStyle w:val="TableParagraph"/>
              <w:spacing w:before="23"/>
              <w:ind w:left="126" w:right="97"/>
              <w:jc w:val="center"/>
              <w:rPr>
                <w:sz w:val="16"/>
              </w:rPr>
            </w:pPr>
            <w:r>
              <w:rPr>
                <w:sz w:val="16"/>
              </w:rPr>
              <w:t>-0,1</w:t>
            </w:r>
          </w:p>
        </w:tc>
        <w:tc>
          <w:tcPr>
            <w:tcW w:w="642" w:type="dxa"/>
            <w:tcBorders>
              <w:bottom w:val="single" w:sz="12" w:space="0" w:color="086D44"/>
            </w:tcBorders>
            <w:shd w:val="clear" w:color="auto" w:fill="EFEFEF"/>
          </w:tcPr>
          <w:p>
            <w:pPr>
              <w:pStyle w:val="TableParagraph"/>
              <w:spacing w:before="23"/>
              <w:ind w:left="126" w:right="93"/>
              <w:jc w:val="center"/>
              <w:rPr>
                <w:sz w:val="16"/>
              </w:rPr>
            </w:pPr>
            <w:r>
              <w:rPr>
                <w:sz w:val="16"/>
              </w:rPr>
              <w:t>-0,3</w:t>
            </w:r>
          </w:p>
        </w:tc>
        <w:tc>
          <w:tcPr>
            <w:tcW w:w="647" w:type="dxa"/>
            <w:tcBorders>
              <w:bottom w:val="single" w:sz="12" w:space="0" w:color="086D44"/>
            </w:tcBorders>
            <w:shd w:val="clear" w:color="auto" w:fill="EFEFEF"/>
          </w:tcPr>
          <w:p>
            <w:pPr>
              <w:pStyle w:val="TableParagraph"/>
              <w:spacing w:before="23"/>
              <w:ind w:left="127" w:right="102"/>
              <w:jc w:val="center"/>
              <w:rPr>
                <w:sz w:val="16"/>
              </w:rPr>
            </w:pPr>
            <w:r>
              <w:rPr>
                <w:sz w:val="16"/>
              </w:rPr>
              <w:t>-0,5</w:t>
            </w:r>
          </w:p>
        </w:tc>
      </w:tr>
    </w:tbl>
    <w:p>
      <w:pPr>
        <w:pStyle w:val="BodyText"/>
        <w:rPr>
          <w:sz w:val="24"/>
        </w:rPr>
      </w:pPr>
    </w:p>
    <w:p>
      <w:pPr>
        <w:pStyle w:val="Heading3"/>
        <w:spacing w:before="100"/>
        <w:ind w:left="1128"/>
      </w:pPr>
      <w:r>
        <w:rPr>
          <w:color w:val="585858"/>
        </w:rPr>
        <w:t>Scenario programmatico</w:t>
      </w:r>
    </w:p>
    <w:p>
      <w:pPr>
        <w:pStyle w:val="BodyText"/>
        <w:spacing w:line="252" w:lineRule="auto" w:before="152"/>
        <w:ind w:left="1128" w:right="1413" w:firstLine="453"/>
        <w:jc w:val="both"/>
      </w:pPr>
      <w:r>
        <w:rPr/>
        <w:t>Il quadro macroeconomico programmatico incorpora gli effetti sull’economia delle misure che il Governo intende presentare al Parlamento nel disegno di legge di bilancio 2020. La manovra di finanza pubblica per il 2020 comprenderà la disattivazione dell’aumento dell’IVA, il finanziamento delle politiche invariate e il rinnovo di altre politiche in scadenza (fra cui gli incentivi Industria 4.0).</w:t>
      </w:r>
    </w:p>
    <w:p>
      <w:pPr>
        <w:pStyle w:val="BodyText"/>
        <w:spacing w:line="252" w:lineRule="auto"/>
        <w:ind w:left="1128" w:right="1411" w:firstLine="453"/>
        <w:jc w:val="both"/>
      </w:pPr>
      <w:r>
        <w:rPr/>
        <w:t>Il Governo intende inoltre adottare nuove politiche che costituiranno il primo passo di un programma più vasto volto a rilanciare la crescita, lo sviluppo del Mezzogiorno e la sostenibilità ambientale. Tra queste, il Governo si è impegnato a ridurre il cuneo fiscale sul lavoro, a rilanciare gli investimenti pubblici, ad aumentare</w:t>
      </w:r>
      <w:r>
        <w:rPr>
          <w:spacing w:val="-5"/>
        </w:rPr>
        <w:t> </w:t>
      </w:r>
      <w:r>
        <w:rPr/>
        <w:t>le</w:t>
      </w:r>
      <w:r>
        <w:rPr>
          <w:spacing w:val="-5"/>
        </w:rPr>
        <w:t> </w:t>
      </w:r>
      <w:r>
        <w:rPr/>
        <w:t>risorse</w:t>
      </w:r>
      <w:r>
        <w:rPr>
          <w:spacing w:val="-7"/>
        </w:rPr>
        <w:t> </w:t>
      </w:r>
      <w:r>
        <w:rPr/>
        <w:t>per</w:t>
      </w:r>
      <w:r>
        <w:rPr>
          <w:spacing w:val="-6"/>
        </w:rPr>
        <w:t> </w:t>
      </w:r>
      <w:r>
        <w:rPr/>
        <w:t>istruzione</w:t>
      </w:r>
      <w:r>
        <w:rPr>
          <w:spacing w:val="-6"/>
        </w:rPr>
        <w:t> </w:t>
      </w:r>
      <w:r>
        <w:rPr/>
        <w:t>e</w:t>
      </w:r>
      <w:r>
        <w:rPr>
          <w:spacing w:val="-9"/>
        </w:rPr>
        <w:t> </w:t>
      </w:r>
      <w:r>
        <w:rPr/>
        <w:t>ricerca</w:t>
      </w:r>
      <w:r>
        <w:rPr>
          <w:spacing w:val="-7"/>
        </w:rPr>
        <w:t> </w:t>
      </w:r>
      <w:r>
        <w:rPr/>
        <w:t>scientifica</w:t>
      </w:r>
      <w:r>
        <w:rPr>
          <w:spacing w:val="-5"/>
        </w:rPr>
        <w:t> </w:t>
      </w:r>
      <w:r>
        <w:rPr/>
        <w:t>e</w:t>
      </w:r>
      <w:r>
        <w:rPr>
          <w:spacing w:val="-4"/>
        </w:rPr>
        <w:t> </w:t>
      </w:r>
      <w:r>
        <w:rPr/>
        <w:t>tecnologica</w:t>
      </w:r>
      <w:r>
        <w:rPr>
          <w:spacing w:val="-4"/>
        </w:rPr>
        <w:t> </w:t>
      </w:r>
      <w:r>
        <w:rPr/>
        <w:t>e</w:t>
      </w:r>
      <w:r>
        <w:rPr>
          <w:spacing w:val="-7"/>
        </w:rPr>
        <w:t> </w:t>
      </w:r>
      <w:r>
        <w:rPr/>
        <w:t>a</w:t>
      </w:r>
      <w:r>
        <w:rPr>
          <w:spacing w:val="-9"/>
        </w:rPr>
        <w:t> </w:t>
      </w:r>
      <w:r>
        <w:rPr/>
        <w:t>sostenere e rafforzare il sistema sanitario</w:t>
      </w:r>
      <w:r>
        <w:rPr>
          <w:spacing w:val="-5"/>
        </w:rPr>
        <w:t> </w:t>
      </w:r>
      <w:r>
        <w:rPr/>
        <w:t>universale.</w:t>
      </w:r>
    </w:p>
    <w:p>
      <w:pPr>
        <w:pStyle w:val="BodyText"/>
        <w:spacing w:line="255" w:lineRule="exact"/>
        <w:ind w:left="278" w:right="1415"/>
        <w:jc w:val="right"/>
      </w:pPr>
      <w:r>
        <w:rPr/>
        <w:t>La</w:t>
      </w:r>
      <w:r>
        <w:rPr>
          <w:spacing w:val="9"/>
        </w:rPr>
        <w:t> </w:t>
      </w:r>
      <w:r>
        <w:rPr/>
        <w:t>manovra</w:t>
      </w:r>
      <w:r>
        <w:rPr>
          <w:spacing w:val="10"/>
        </w:rPr>
        <w:t> </w:t>
      </w:r>
      <w:r>
        <w:rPr/>
        <w:t>di</w:t>
      </w:r>
      <w:r>
        <w:rPr>
          <w:spacing w:val="8"/>
        </w:rPr>
        <w:t> </w:t>
      </w:r>
      <w:r>
        <w:rPr/>
        <w:t>finanza</w:t>
      </w:r>
      <w:r>
        <w:rPr>
          <w:spacing w:val="9"/>
        </w:rPr>
        <w:t> </w:t>
      </w:r>
      <w:r>
        <w:rPr/>
        <w:t>pubblica</w:t>
      </w:r>
      <w:r>
        <w:rPr>
          <w:spacing w:val="9"/>
        </w:rPr>
        <w:t> </w:t>
      </w:r>
      <w:r>
        <w:rPr/>
        <w:t>programmata</w:t>
      </w:r>
      <w:r>
        <w:rPr>
          <w:spacing w:val="10"/>
        </w:rPr>
        <w:t> </w:t>
      </w:r>
      <w:r>
        <w:rPr/>
        <w:t>per</w:t>
      </w:r>
      <w:r>
        <w:rPr>
          <w:spacing w:val="10"/>
        </w:rPr>
        <w:t> </w:t>
      </w:r>
      <w:r>
        <w:rPr/>
        <w:t>il</w:t>
      </w:r>
      <w:r>
        <w:rPr>
          <w:spacing w:val="9"/>
        </w:rPr>
        <w:t> </w:t>
      </w:r>
      <w:r>
        <w:rPr/>
        <w:t>2020-2022</w:t>
      </w:r>
      <w:r>
        <w:rPr>
          <w:spacing w:val="9"/>
        </w:rPr>
        <w:t> </w:t>
      </w:r>
      <w:r>
        <w:rPr/>
        <w:t>è</w:t>
      </w:r>
      <w:r>
        <w:rPr>
          <w:spacing w:val="9"/>
        </w:rPr>
        <w:t> </w:t>
      </w:r>
      <w:r>
        <w:rPr/>
        <w:t>descritta</w:t>
      </w:r>
      <w:r>
        <w:rPr>
          <w:spacing w:val="10"/>
        </w:rPr>
        <w:t> </w:t>
      </w:r>
      <w:r>
        <w:rPr/>
        <w:t>nel</w:t>
      </w:r>
    </w:p>
    <w:p>
      <w:pPr>
        <w:pStyle w:val="BodyText"/>
        <w:spacing w:before="14"/>
        <w:ind w:left="278" w:right="1415"/>
        <w:jc w:val="right"/>
      </w:pPr>
      <w:r>
        <w:rPr/>
        <w:t>Capitolo  III  del  presente  documento.  L’intonazione  della  politica  fiscale</w:t>
      </w:r>
      <w:r>
        <w:rPr>
          <w:spacing w:val="-4"/>
        </w:rPr>
        <w:t> </w:t>
      </w:r>
      <w:r>
        <w:rPr/>
        <w:t>dello</w:t>
      </w:r>
    </w:p>
    <w:p>
      <w:pPr>
        <w:spacing w:after="0"/>
        <w:jc w:val="right"/>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278" w:right="2264"/>
        <w:jc w:val="both"/>
      </w:pPr>
      <w:r>
        <w:rPr/>
        <w:t>scenario programmatico è meno restrittiva nel 2020 e 2021 in confronto al tendenziale. La disattivazione dell’aumento IVA previsto dalla legislazione vigente porta da un lato ad una maggiore crescita della domanda interna e, dall’altro, ad un incremento più contenuto dei deflatori dei consumi e del PIL. L’effetto netto è positivo sul PIL reale e altre variabili macroeconomiche quali l’occupazione, ma riduce lievemente il PIL nominale. La crescita del PIL reale nel 2020 è prevista allo 0,6</w:t>
      </w:r>
      <w:r>
        <w:rPr>
          <w:spacing w:val="-10"/>
        </w:rPr>
        <w:t> </w:t>
      </w:r>
      <w:r>
        <w:rPr/>
        <w:t>per</w:t>
      </w:r>
      <w:r>
        <w:rPr>
          <w:spacing w:val="-12"/>
        </w:rPr>
        <w:t> </w:t>
      </w:r>
      <w:r>
        <w:rPr/>
        <w:t>cento,</w:t>
      </w:r>
      <w:r>
        <w:rPr>
          <w:spacing w:val="-8"/>
        </w:rPr>
        <w:t> </w:t>
      </w:r>
      <w:r>
        <w:rPr/>
        <w:t>mentre</w:t>
      </w:r>
      <w:r>
        <w:rPr>
          <w:spacing w:val="-12"/>
        </w:rPr>
        <w:t> </w:t>
      </w:r>
      <w:r>
        <w:rPr/>
        <w:t>il</w:t>
      </w:r>
      <w:r>
        <w:rPr>
          <w:spacing w:val="-13"/>
        </w:rPr>
        <w:t> </w:t>
      </w:r>
      <w:r>
        <w:rPr/>
        <w:t>PIL</w:t>
      </w:r>
      <w:r>
        <w:rPr>
          <w:spacing w:val="-8"/>
        </w:rPr>
        <w:t> </w:t>
      </w:r>
      <w:r>
        <w:rPr/>
        <w:t>nominale</w:t>
      </w:r>
      <w:r>
        <w:rPr>
          <w:spacing w:val="-12"/>
        </w:rPr>
        <w:t> </w:t>
      </w:r>
      <w:r>
        <w:rPr/>
        <w:t>crescerebbe</w:t>
      </w:r>
      <w:r>
        <w:rPr>
          <w:spacing w:val="-10"/>
        </w:rPr>
        <w:t> </w:t>
      </w:r>
      <w:r>
        <w:rPr/>
        <w:t>del</w:t>
      </w:r>
      <w:r>
        <w:rPr>
          <w:spacing w:val="-9"/>
        </w:rPr>
        <w:t> </w:t>
      </w:r>
      <w:r>
        <w:rPr/>
        <w:t>2,0</w:t>
      </w:r>
      <w:r>
        <w:rPr>
          <w:spacing w:val="-13"/>
        </w:rPr>
        <w:t> </w:t>
      </w:r>
      <w:r>
        <w:rPr/>
        <w:t>per</w:t>
      </w:r>
      <w:r>
        <w:rPr>
          <w:spacing w:val="-11"/>
        </w:rPr>
        <w:t> </w:t>
      </w:r>
      <w:r>
        <w:rPr/>
        <w:t>cento.</w:t>
      </w:r>
      <w:r>
        <w:rPr>
          <w:spacing w:val="-12"/>
        </w:rPr>
        <w:t> </w:t>
      </w:r>
      <w:r>
        <w:rPr/>
        <w:t>L’occupazione crescerebbe di un decimo di punto in più rispetto al tendenziale, sia in termini di occupati che di ore lavorate. Il surplus di partite correnti sarebbe leggermente inferiore a causa del migliore andamento della domanda</w:t>
      </w:r>
      <w:r>
        <w:rPr>
          <w:spacing w:val="-11"/>
        </w:rPr>
        <w:t> </w:t>
      </w:r>
      <w:r>
        <w:rPr/>
        <w:t>interna.</w:t>
      </w:r>
    </w:p>
    <w:p>
      <w:pPr>
        <w:pStyle w:val="BodyText"/>
        <w:spacing w:line="252" w:lineRule="auto" w:before="1"/>
        <w:ind w:left="278" w:right="2262" w:firstLine="453"/>
        <w:jc w:val="both"/>
      </w:pPr>
      <w:r>
        <w:rPr/>
        <w:t>Nei due anni successivi, in corrispondenza di una riduzione dell’indebitamento netto di maggiore entità in confronto al tendenziale, ma distribuita in misura più equilibrata su ciascun anno, il tasso di crescita del PIL reale si attesterebbe all’1,0 per</w:t>
      </w:r>
      <w:r>
        <w:rPr>
          <w:spacing w:val="-7"/>
        </w:rPr>
        <w:t> </w:t>
      </w:r>
      <w:r>
        <w:rPr/>
        <w:t>cento,</w:t>
      </w:r>
      <w:r>
        <w:rPr>
          <w:spacing w:val="-4"/>
        </w:rPr>
        <w:t> </w:t>
      </w:r>
      <w:r>
        <w:rPr/>
        <w:t>grazie</w:t>
      </w:r>
      <w:r>
        <w:rPr>
          <w:spacing w:val="-8"/>
        </w:rPr>
        <w:t> </w:t>
      </w:r>
      <w:r>
        <w:rPr/>
        <w:t>ad</w:t>
      </w:r>
      <w:r>
        <w:rPr>
          <w:spacing w:val="-6"/>
        </w:rPr>
        <w:t> </w:t>
      </w:r>
      <w:r>
        <w:rPr/>
        <w:t>un</w:t>
      </w:r>
      <w:r>
        <w:rPr>
          <w:spacing w:val="-10"/>
        </w:rPr>
        <w:t> </w:t>
      </w:r>
      <w:r>
        <w:rPr/>
        <w:t>contributo</w:t>
      </w:r>
      <w:r>
        <w:rPr>
          <w:spacing w:val="-6"/>
        </w:rPr>
        <w:t> </w:t>
      </w:r>
      <w:r>
        <w:rPr/>
        <w:t>complessivo</w:t>
      </w:r>
      <w:r>
        <w:rPr>
          <w:spacing w:val="-8"/>
        </w:rPr>
        <w:t> </w:t>
      </w:r>
      <w:r>
        <w:rPr/>
        <w:t>della</w:t>
      </w:r>
      <w:r>
        <w:rPr>
          <w:spacing w:val="-5"/>
        </w:rPr>
        <w:t> </w:t>
      </w:r>
      <w:r>
        <w:rPr/>
        <w:t>domanda</w:t>
      </w:r>
      <w:r>
        <w:rPr>
          <w:spacing w:val="-6"/>
        </w:rPr>
        <w:t> </w:t>
      </w:r>
      <w:r>
        <w:rPr/>
        <w:t>interna</w:t>
      </w:r>
      <w:r>
        <w:rPr>
          <w:spacing w:val="-6"/>
        </w:rPr>
        <w:t> </w:t>
      </w:r>
      <w:r>
        <w:rPr/>
        <w:t>leggermente più elevato in confronto al 2020 e ad una ripresa più decisa della produzione (e quindi un apporto della variazione delle scorte leggermente positivo) nel 2021. Le previsioni programmatiche sono fondate su simulazioni effettuate con il modello econometrico del Tesoro</w:t>
      </w:r>
      <w:r>
        <w:rPr>
          <w:spacing w:val="-5"/>
        </w:rPr>
        <w:t> </w:t>
      </w:r>
      <w:r>
        <w:rPr/>
        <w:t>(ITEM).</w:t>
      </w:r>
    </w:p>
    <w:p>
      <w:pPr>
        <w:pStyle w:val="BodyText"/>
        <w:spacing w:line="252" w:lineRule="auto" w:before="1"/>
        <w:ind w:left="278" w:right="2261" w:firstLine="453"/>
        <w:jc w:val="both"/>
      </w:pPr>
      <w:r>
        <w:rPr/>
        <w:t>La tavola seguente mostra l’impatto sul PIL delle misure della manovra raggruppate</w:t>
      </w:r>
      <w:r>
        <w:rPr>
          <w:spacing w:val="-20"/>
        </w:rPr>
        <w:t> </w:t>
      </w:r>
      <w:r>
        <w:rPr/>
        <w:t>per</w:t>
      </w:r>
      <w:r>
        <w:rPr>
          <w:spacing w:val="-19"/>
        </w:rPr>
        <w:t> </w:t>
      </w:r>
      <w:r>
        <w:rPr/>
        <w:t>tipologia</w:t>
      </w:r>
      <w:r>
        <w:rPr>
          <w:spacing w:val="-20"/>
        </w:rPr>
        <w:t> </w:t>
      </w:r>
      <w:r>
        <w:rPr/>
        <w:t>di</w:t>
      </w:r>
      <w:r>
        <w:rPr>
          <w:spacing w:val="-21"/>
        </w:rPr>
        <w:t> </w:t>
      </w:r>
      <w:r>
        <w:rPr/>
        <w:t>intervento.</w:t>
      </w:r>
      <w:r>
        <w:rPr>
          <w:spacing w:val="-19"/>
        </w:rPr>
        <w:t> </w:t>
      </w:r>
      <w:r>
        <w:rPr/>
        <w:t>Rispetto</w:t>
      </w:r>
      <w:r>
        <w:rPr>
          <w:spacing w:val="-18"/>
        </w:rPr>
        <w:t> </w:t>
      </w:r>
      <w:r>
        <w:rPr/>
        <w:t>allo</w:t>
      </w:r>
      <w:r>
        <w:rPr>
          <w:spacing w:val="-19"/>
        </w:rPr>
        <w:t> </w:t>
      </w:r>
      <w:r>
        <w:rPr/>
        <w:t>scenario</w:t>
      </w:r>
      <w:r>
        <w:rPr>
          <w:spacing w:val="-20"/>
        </w:rPr>
        <w:t> </w:t>
      </w:r>
      <w:r>
        <w:rPr/>
        <w:t>tendenziale,</w:t>
      </w:r>
      <w:r>
        <w:rPr>
          <w:spacing w:val="-19"/>
        </w:rPr>
        <w:t> </w:t>
      </w:r>
      <w:r>
        <w:rPr/>
        <w:t>si</w:t>
      </w:r>
      <w:r>
        <w:rPr>
          <w:spacing w:val="-20"/>
        </w:rPr>
        <w:t> </w:t>
      </w:r>
      <w:r>
        <w:rPr/>
        <w:t>profila un incremento del tasso di crescita del PIL di 0,2 punti percentuali nel 2020 e nel 2021,</w:t>
      </w:r>
      <w:r>
        <w:rPr>
          <w:spacing w:val="-4"/>
        </w:rPr>
        <w:t> </w:t>
      </w:r>
      <w:r>
        <w:rPr/>
        <w:t>mentre</w:t>
      </w:r>
      <w:r>
        <w:rPr>
          <w:spacing w:val="-4"/>
        </w:rPr>
        <w:t> </w:t>
      </w:r>
      <w:r>
        <w:rPr/>
        <w:t>l’impatto</w:t>
      </w:r>
      <w:r>
        <w:rPr>
          <w:spacing w:val="-5"/>
        </w:rPr>
        <w:t> </w:t>
      </w:r>
      <w:r>
        <w:rPr/>
        <w:t>netto</w:t>
      </w:r>
      <w:r>
        <w:rPr>
          <w:spacing w:val="-6"/>
        </w:rPr>
        <w:t> </w:t>
      </w:r>
      <w:r>
        <w:rPr/>
        <w:t>della</w:t>
      </w:r>
      <w:r>
        <w:rPr>
          <w:spacing w:val="-5"/>
        </w:rPr>
        <w:t> </w:t>
      </w:r>
      <w:r>
        <w:rPr/>
        <w:t>manovra</w:t>
      </w:r>
      <w:r>
        <w:rPr>
          <w:spacing w:val="-4"/>
        </w:rPr>
        <w:t> </w:t>
      </w:r>
      <w:r>
        <w:rPr/>
        <w:t>sulla</w:t>
      </w:r>
      <w:r>
        <w:rPr>
          <w:spacing w:val="-5"/>
        </w:rPr>
        <w:t> </w:t>
      </w:r>
      <w:r>
        <w:rPr/>
        <w:t>crescita</w:t>
      </w:r>
      <w:r>
        <w:rPr>
          <w:spacing w:val="-6"/>
        </w:rPr>
        <w:t> </w:t>
      </w:r>
      <w:r>
        <w:rPr/>
        <w:t>del</w:t>
      </w:r>
      <w:r>
        <w:rPr>
          <w:spacing w:val="-4"/>
        </w:rPr>
        <w:t> </w:t>
      </w:r>
      <w:r>
        <w:rPr/>
        <w:t>PIL</w:t>
      </w:r>
      <w:r>
        <w:rPr>
          <w:spacing w:val="-3"/>
        </w:rPr>
        <w:t> </w:t>
      </w:r>
      <w:r>
        <w:rPr/>
        <w:t>sarebbe</w:t>
      </w:r>
      <w:r>
        <w:rPr>
          <w:spacing w:val="-5"/>
        </w:rPr>
        <w:t> </w:t>
      </w:r>
      <w:r>
        <w:rPr/>
        <w:t>nullo</w:t>
      </w:r>
      <w:r>
        <w:rPr>
          <w:spacing w:val="-5"/>
        </w:rPr>
        <w:t> </w:t>
      </w:r>
      <w:r>
        <w:rPr/>
        <w:t>nel 2022, anno in cui l’intonazione della politica di bilancio sarebbe più restrittiva in confronto allo scenario</w:t>
      </w:r>
      <w:r>
        <w:rPr>
          <w:spacing w:val="-4"/>
        </w:rPr>
        <w:t> </w:t>
      </w:r>
      <w:r>
        <w:rPr/>
        <w:t>tendenziale.</w:t>
      </w:r>
    </w:p>
    <w:p>
      <w:pPr>
        <w:pStyle w:val="BodyText"/>
        <w:spacing w:before="10"/>
        <w:rPr>
          <w:sz w:val="23"/>
        </w:rPr>
      </w:pP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78"/>
        <w:gridCol w:w="1369"/>
        <w:gridCol w:w="1193"/>
        <w:gridCol w:w="1193"/>
      </w:tblGrid>
      <w:tr>
        <w:trPr>
          <w:trHeight w:val="453" w:hRule="atLeast"/>
        </w:trPr>
        <w:tc>
          <w:tcPr>
            <w:tcW w:w="8233" w:type="dxa"/>
            <w:gridSpan w:val="4"/>
            <w:shd w:val="clear" w:color="auto" w:fill="086D44"/>
          </w:tcPr>
          <w:p>
            <w:pPr>
              <w:pStyle w:val="TableParagraph"/>
              <w:spacing w:line="186" w:lineRule="exact" w:before="36"/>
              <w:ind w:left="105"/>
              <w:jc w:val="left"/>
              <w:rPr>
                <w:rFonts w:ascii="Franklin Gothic Heavy"/>
                <w:b/>
                <w:sz w:val="17"/>
              </w:rPr>
            </w:pPr>
            <w:r>
              <w:rPr>
                <w:rFonts w:ascii="Franklin Gothic Heavy"/>
                <w:b/>
                <w:color w:val="EFEFEF"/>
                <w:sz w:val="17"/>
              </w:rPr>
              <w:t>TAVOLA II.3: IMPATTO MACROECONOMICO DELLE MISURE PROGRAMMATICHE RISPETTO ALLO</w:t>
            </w:r>
          </w:p>
          <w:p>
            <w:pPr>
              <w:pStyle w:val="TableParagraph"/>
              <w:spacing w:line="186" w:lineRule="exact"/>
              <w:ind w:left="105"/>
              <w:jc w:val="left"/>
              <w:rPr>
                <w:rFonts w:ascii="Franklin Gothic Heavy"/>
                <w:b/>
                <w:sz w:val="17"/>
              </w:rPr>
            </w:pPr>
            <w:r>
              <w:rPr>
                <w:rFonts w:ascii="Franklin Gothic Heavy"/>
                <w:b/>
                <w:color w:val="EFEFEF"/>
                <w:sz w:val="17"/>
              </w:rPr>
              <w:t>SCENARIO TENDENZIALE (differenze tra i tassi di variazione del PIL)</w:t>
            </w:r>
          </w:p>
        </w:tc>
      </w:tr>
      <w:tr>
        <w:trPr>
          <w:trHeight w:val="282" w:hRule="atLeast"/>
        </w:trPr>
        <w:tc>
          <w:tcPr>
            <w:tcW w:w="4478" w:type="dxa"/>
            <w:tcBorders>
              <w:bottom w:val="single" w:sz="8" w:space="0" w:color="000000"/>
            </w:tcBorders>
          </w:tcPr>
          <w:p>
            <w:pPr>
              <w:pStyle w:val="TableParagraph"/>
              <w:jc w:val="left"/>
              <w:rPr>
                <w:rFonts w:ascii="Times New Roman"/>
                <w:sz w:val="20"/>
              </w:rPr>
            </w:pPr>
          </w:p>
        </w:tc>
        <w:tc>
          <w:tcPr>
            <w:tcW w:w="1369" w:type="dxa"/>
            <w:tcBorders>
              <w:bottom w:val="single" w:sz="8" w:space="0" w:color="000000"/>
            </w:tcBorders>
          </w:tcPr>
          <w:p>
            <w:pPr>
              <w:pStyle w:val="TableParagraph"/>
              <w:spacing w:before="41"/>
              <w:ind w:right="394"/>
              <w:rPr>
                <w:sz w:val="17"/>
              </w:rPr>
            </w:pPr>
            <w:r>
              <w:rPr>
                <w:sz w:val="17"/>
              </w:rPr>
              <w:t>2020</w:t>
            </w:r>
          </w:p>
        </w:tc>
        <w:tc>
          <w:tcPr>
            <w:tcW w:w="1193" w:type="dxa"/>
            <w:tcBorders>
              <w:bottom w:val="single" w:sz="8" w:space="0" w:color="000000"/>
            </w:tcBorders>
          </w:tcPr>
          <w:p>
            <w:pPr>
              <w:pStyle w:val="TableParagraph"/>
              <w:spacing w:before="41"/>
              <w:ind w:left="375" w:right="378"/>
              <w:jc w:val="center"/>
              <w:rPr>
                <w:sz w:val="17"/>
              </w:rPr>
            </w:pPr>
            <w:r>
              <w:rPr>
                <w:sz w:val="17"/>
              </w:rPr>
              <w:t>2021</w:t>
            </w:r>
          </w:p>
        </w:tc>
        <w:tc>
          <w:tcPr>
            <w:tcW w:w="1193" w:type="dxa"/>
            <w:tcBorders>
              <w:bottom w:val="single" w:sz="8" w:space="0" w:color="000000"/>
            </w:tcBorders>
          </w:tcPr>
          <w:p>
            <w:pPr>
              <w:pStyle w:val="TableParagraph"/>
              <w:spacing w:before="41"/>
              <w:ind w:left="375" w:right="378"/>
              <w:jc w:val="center"/>
              <w:rPr>
                <w:sz w:val="17"/>
              </w:rPr>
            </w:pPr>
            <w:r>
              <w:rPr>
                <w:sz w:val="17"/>
              </w:rPr>
              <w:t>2022</w:t>
            </w:r>
          </w:p>
        </w:tc>
      </w:tr>
      <w:tr>
        <w:trPr>
          <w:trHeight w:val="266" w:hRule="atLeast"/>
        </w:trPr>
        <w:tc>
          <w:tcPr>
            <w:tcW w:w="4478" w:type="dxa"/>
            <w:tcBorders>
              <w:top w:val="single" w:sz="8" w:space="0" w:color="000000"/>
            </w:tcBorders>
          </w:tcPr>
          <w:p>
            <w:pPr>
              <w:pStyle w:val="TableParagraph"/>
              <w:spacing w:before="29"/>
              <w:ind w:left="76"/>
              <w:jc w:val="left"/>
              <w:rPr>
                <w:sz w:val="17"/>
              </w:rPr>
            </w:pPr>
            <w:r>
              <w:rPr>
                <w:sz w:val="17"/>
              </w:rPr>
              <w:t>Rimodulazione imposte indirette</w:t>
            </w:r>
          </w:p>
        </w:tc>
        <w:tc>
          <w:tcPr>
            <w:tcW w:w="1369" w:type="dxa"/>
            <w:tcBorders>
              <w:top w:val="single" w:sz="8" w:space="0" w:color="000000"/>
            </w:tcBorders>
          </w:tcPr>
          <w:p>
            <w:pPr>
              <w:pStyle w:val="TableParagraph"/>
              <w:spacing w:before="29"/>
              <w:ind w:right="473"/>
              <w:rPr>
                <w:sz w:val="17"/>
              </w:rPr>
            </w:pPr>
            <w:r>
              <w:rPr>
                <w:sz w:val="17"/>
              </w:rPr>
              <w:t>0,3</w:t>
            </w:r>
          </w:p>
        </w:tc>
        <w:tc>
          <w:tcPr>
            <w:tcW w:w="1193" w:type="dxa"/>
            <w:tcBorders>
              <w:top w:val="single" w:sz="8" w:space="0" w:color="000000"/>
            </w:tcBorders>
          </w:tcPr>
          <w:p>
            <w:pPr>
              <w:pStyle w:val="TableParagraph"/>
              <w:spacing w:before="29"/>
              <w:ind w:left="373" w:right="378"/>
              <w:jc w:val="center"/>
              <w:rPr>
                <w:sz w:val="17"/>
              </w:rPr>
            </w:pPr>
            <w:r>
              <w:rPr>
                <w:sz w:val="17"/>
              </w:rPr>
              <w:t>0,2</w:t>
            </w:r>
          </w:p>
        </w:tc>
        <w:tc>
          <w:tcPr>
            <w:tcW w:w="1193" w:type="dxa"/>
            <w:tcBorders>
              <w:top w:val="single" w:sz="8" w:space="0" w:color="000000"/>
            </w:tcBorders>
          </w:tcPr>
          <w:p>
            <w:pPr>
              <w:pStyle w:val="TableParagraph"/>
              <w:spacing w:before="29"/>
              <w:ind w:left="373" w:right="378"/>
              <w:jc w:val="center"/>
              <w:rPr>
                <w:sz w:val="17"/>
              </w:rPr>
            </w:pPr>
            <w:r>
              <w:rPr>
                <w:sz w:val="17"/>
              </w:rPr>
              <w:t>-0,2</w:t>
            </w:r>
          </w:p>
        </w:tc>
      </w:tr>
      <w:tr>
        <w:trPr>
          <w:trHeight w:val="283" w:hRule="atLeast"/>
        </w:trPr>
        <w:tc>
          <w:tcPr>
            <w:tcW w:w="4478" w:type="dxa"/>
          </w:tcPr>
          <w:p>
            <w:pPr>
              <w:pStyle w:val="TableParagraph"/>
              <w:spacing w:before="45"/>
              <w:ind w:left="76"/>
              <w:jc w:val="left"/>
              <w:rPr>
                <w:sz w:val="17"/>
              </w:rPr>
            </w:pPr>
            <w:r>
              <w:rPr>
                <w:sz w:val="17"/>
              </w:rPr>
              <w:t>Riduzione cuneo fiscale</w:t>
            </w:r>
          </w:p>
        </w:tc>
        <w:tc>
          <w:tcPr>
            <w:tcW w:w="1369" w:type="dxa"/>
          </w:tcPr>
          <w:p>
            <w:pPr>
              <w:pStyle w:val="TableParagraph"/>
              <w:spacing w:before="45"/>
              <w:ind w:right="473"/>
              <w:rPr>
                <w:sz w:val="17"/>
              </w:rPr>
            </w:pPr>
            <w:r>
              <w:rPr>
                <w:sz w:val="17"/>
              </w:rPr>
              <w:t>0,1</w:t>
            </w:r>
          </w:p>
        </w:tc>
        <w:tc>
          <w:tcPr>
            <w:tcW w:w="1193" w:type="dxa"/>
          </w:tcPr>
          <w:p>
            <w:pPr>
              <w:pStyle w:val="TableParagraph"/>
              <w:spacing w:before="45"/>
              <w:ind w:left="373" w:right="378"/>
              <w:jc w:val="center"/>
              <w:rPr>
                <w:sz w:val="17"/>
              </w:rPr>
            </w:pPr>
            <w:r>
              <w:rPr>
                <w:sz w:val="17"/>
              </w:rPr>
              <w:t>0,1</w:t>
            </w:r>
          </w:p>
        </w:tc>
        <w:tc>
          <w:tcPr>
            <w:tcW w:w="1193" w:type="dxa"/>
          </w:tcPr>
          <w:p>
            <w:pPr>
              <w:pStyle w:val="TableParagraph"/>
              <w:spacing w:before="45"/>
              <w:ind w:left="373" w:right="378"/>
              <w:jc w:val="center"/>
              <w:rPr>
                <w:sz w:val="17"/>
              </w:rPr>
            </w:pPr>
            <w:r>
              <w:rPr>
                <w:sz w:val="17"/>
              </w:rPr>
              <w:t>0,1</w:t>
            </w:r>
          </w:p>
        </w:tc>
      </w:tr>
      <w:tr>
        <w:trPr>
          <w:trHeight w:val="283" w:hRule="atLeast"/>
        </w:trPr>
        <w:tc>
          <w:tcPr>
            <w:tcW w:w="4478" w:type="dxa"/>
          </w:tcPr>
          <w:p>
            <w:pPr>
              <w:pStyle w:val="TableParagraph"/>
              <w:spacing w:before="45"/>
              <w:ind w:left="76"/>
              <w:jc w:val="left"/>
              <w:rPr>
                <w:sz w:val="17"/>
              </w:rPr>
            </w:pPr>
            <w:r>
              <w:rPr>
                <w:sz w:val="17"/>
              </w:rPr>
              <w:t>Politiche invariate e proroghe interventi in scadenza</w:t>
            </w:r>
          </w:p>
        </w:tc>
        <w:tc>
          <w:tcPr>
            <w:tcW w:w="1369" w:type="dxa"/>
          </w:tcPr>
          <w:p>
            <w:pPr>
              <w:pStyle w:val="TableParagraph"/>
              <w:spacing w:before="45"/>
              <w:ind w:right="473"/>
              <w:rPr>
                <w:sz w:val="17"/>
              </w:rPr>
            </w:pPr>
            <w:r>
              <w:rPr>
                <w:sz w:val="17"/>
              </w:rPr>
              <w:t>0,1</w:t>
            </w:r>
          </w:p>
        </w:tc>
        <w:tc>
          <w:tcPr>
            <w:tcW w:w="1193" w:type="dxa"/>
          </w:tcPr>
          <w:p>
            <w:pPr>
              <w:pStyle w:val="TableParagraph"/>
              <w:spacing w:before="45"/>
              <w:ind w:left="373" w:right="378"/>
              <w:jc w:val="center"/>
              <w:rPr>
                <w:sz w:val="17"/>
              </w:rPr>
            </w:pPr>
            <w:r>
              <w:rPr>
                <w:sz w:val="17"/>
              </w:rPr>
              <w:t>0,2</w:t>
            </w:r>
          </w:p>
        </w:tc>
        <w:tc>
          <w:tcPr>
            <w:tcW w:w="1193" w:type="dxa"/>
          </w:tcPr>
          <w:p>
            <w:pPr>
              <w:pStyle w:val="TableParagraph"/>
              <w:spacing w:before="45"/>
              <w:ind w:left="373" w:right="378"/>
              <w:jc w:val="center"/>
              <w:rPr>
                <w:sz w:val="17"/>
              </w:rPr>
            </w:pPr>
            <w:r>
              <w:rPr>
                <w:sz w:val="17"/>
              </w:rPr>
              <w:t>0,1</w:t>
            </w:r>
          </w:p>
        </w:tc>
      </w:tr>
      <w:tr>
        <w:trPr>
          <w:trHeight w:val="283" w:hRule="atLeast"/>
        </w:trPr>
        <w:tc>
          <w:tcPr>
            <w:tcW w:w="4478" w:type="dxa"/>
          </w:tcPr>
          <w:p>
            <w:pPr>
              <w:pStyle w:val="TableParagraph"/>
              <w:spacing w:before="45"/>
              <w:ind w:left="76"/>
              <w:jc w:val="left"/>
              <w:rPr>
                <w:sz w:val="17"/>
              </w:rPr>
            </w:pPr>
            <w:r>
              <w:rPr>
                <w:sz w:val="17"/>
              </w:rPr>
              <w:t>Maggiori entrate</w:t>
            </w:r>
          </w:p>
        </w:tc>
        <w:tc>
          <w:tcPr>
            <w:tcW w:w="1369" w:type="dxa"/>
          </w:tcPr>
          <w:p>
            <w:pPr>
              <w:pStyle w:val="TableParagraph"/>
              <w:spacing w:before="45"/>
              <w:ind w:right="452"/>
              <w:rPr>
                <w:sz w:val="17"/>
              </w:rPr>
            </w:pPr>
            <w:r>
              <w:rPr>
                <w:sz w:val="17"/>
              </w:rPr>
              <w:t>-0,1</w:t>
            </w:r>
          </w:p>
        </w:tc>
        <w:tc>
          <w:tcPr>
            <w:tcW w:w="1193" w:type="dxa"/>
          </w:tcPr>
          <w:p>
            <w:pPr>
              <w:pStyle w:val="TableParagraph"/>
              <w:spacing w:before="45"/>
              <w:ind w:left="373" w:right="378"/>
              <w:jc w:val="center"/>
              <w:rPr>
                <w:sz w:val="17"/>
              </w:rPr>
            </w:pPr>
            <w:r>
              <w:rPr>
                <w:sz w:val="17"/>
              </w:rPr>
              <w:t>-0,2</w:t>
            </w:r>
          </w:p>
        </w:tc>
        <w:tc>
          <w:tcPr>
            <w:tcW w:w="1193" w:type="dxa"/>
          </w:tcPr>
          <w:p>
            <w:pPr>
              <w:pStyle w:val="TableParagraph"/>
              <w:spacing w:before="45"/>
              <w:ind w:left="373" w:right="378"/>
              <w:jc w:val="center"/>
              <w:rPr>
                <w:sz w:val="17"/>
              </w:rPr>
            </w:pPr>
            <w:r>
              <w:rPr>
                <w:sz w:val="17"/>
              </w:rPr>
              <w:t>-0,1</w:t>
            </w:r>
          </w:p>
        </w:tc>
      </w:tr>
      <w:tr>
        <w:trPr>
          <w:trHeight w:val="299" w:hRule="atLeast"/>
        </w:trPr>
        <w:tc>
          <w:tcPr>
            <w:tcW w:w="4478" w:type="dxa"/>
            <w:tcBorders>
              <w:bottom w:val="single" w:sz="2" w:space="0" w:color="000000"/>
            </w:tcBorders>
          </w:tcPr>
          <w:p>
            <w:pPr>
              <w:pStyle w:val="TableParagraph"/>
              <w:spacing w:before="45"/>
              <w:ind w:left="76"/>
              <w:jc w:val="left"/>
              <w:rPr>
                <w:sz w:val="17"/>
              </w:rPr>
            </w:pPr>
            <w:r>
              <w:rPr>
                <w:sz w:val="17"/>
              </w:rPr>
              <w:t>Riduzioni di spesa</w:t>
            </w:r>
          </w:p>
        </w:tc>
        <w:tc>
          <w:tcPr>
            <w:tcW w:w="1369" w:type="dxa"/>
            <w:tcBorders>
              <w:bottom w:val="single" w:sz="2" w:space="0" w:color="000000"/>
            </w:tcBorders>
          </w:tcPr>
          <w:p>
            <w:pPr>
              <w:pStyle w:val="TableParagraph"/>
              <w:spacing w:before="45"/>
              <w:ind w:right="452"/>
              <w:rPr>
                <w:sz w:val="17"/>
              </w:rPr>
            </w:pPr>
            <w:r>
              <w:rPr>
                <w:sz w:val="17"/>
              </w:rPr>
              <w:t>-0,1</w:t>
            </w:r>
          </w:p>
        </w:tc>
        <w:tc>
          <w:tcPr>
            <w:tcW w:w="1193" w:type="dxa"/>
            <w:tcBorders>
              <w:bottom w:val="single" w:sz="2" w:space="0" w:color="000000"/>
            </w:tcBorders>
          </w:tcPr>
          <w:p>
            <w:pPr>
              <w:pStyle w:val="TableParagraph"/>
              <w:spacing w:before="45"/>
              <w:ind w:left="373" w:right="378"/>
              <w:jc w:val="center"/>
              <w:rPr>
                <w:sz w:val="17"/>
              </w:rPr>
            </w:pPr>
            <w:r>
              <w:rPr>
                <w:sz w:val="17"/>
              </w:rPr>
              <w:t>0,0</w:t>
            </w:r>
          </w:p>
        </w:tc>
        <w:tc>
          <w:tcPr>
            <w:tcW w:w="1193" w:type="dxa"/>
            <w:tcBorders>
              <w:bottom w:val="single" w:sz="2" w:space="0" w:color="000000"/>
            </w:tcBorders>
          </w:tcPr>
          <w:p>
            <w:pPr>
              <w:pStyle w:val="TableParagraph"/>
              <w:spacing w:before="45"/>
              <w:ind w:left="373" w:right="378"/>
              <w:jc w:val="center"/>
              <w:rPr>
                <w:sz w:val="17"/>
              </w:rPr>
            </w:pPr>
            <w:r>
              <w:rPr>
                <w:sz w:val="17"/>
              </w:rPr>
              <w:t>0,0</w:t>
            </w:r>
          </w:p>
        </w:tc>
      </w:tr>
      <w:tr>
        <w:trPr>
          <w:trHeight w:val="282" w:hRule="atLeast"/>
        </w:trPr>
        <w:tc>
          <w:tcPr>
            <w:tcW w:w="4478" w:type="dxa"/>
            <w:tcBorders>
              <w:top w:val="single" w:sz="2" w:space="0" w:color="000000"/>
              <w:bottom w:val="single" w:sz="2" w:space="0" w:color="000000"/>
            </w:tcBorders>
          </w:tcPr>
          <w:p>
            <w:pPr>
              <w:pStyle w:val="TableParagraph"/>
              <w:spacing w:before="29"/>
              <w:ind w:left="76"/>
              <w:jc w:val="left"/>
              <w:rPr>
                <w:sz w:val="17"/>
              </w:rPr>
            </w:pPr>
            <w:r>
              <w:rPr>
                <w:sz w:val="17"/>
              </w:rPr>
              <w:t>Totale (*)</w:t>
            </w:r>
          </w:p>
        </w:tc>
        <w:tc>
          <w:tcPr>
            <w:tcW w:w="1369" w:type="dxa"/>
            <w:tcBorders>
              <w:top w:val="single" w:sz="2" w:space="0" w:color="000000"/>
              <w:bottom w:val="single" w:sz="2" w:space="0" w:color="000000"/>
            </w:tcBorders>
          </w:tcPr>
          <w:p>
            <w:pPr>
              <w:pStyle w:val="TableParagraph"/>
              <w:spacing w:before="29"/>
              <w:ind w:right="473"/>
              <w:rPr>
                <w:sz w:val="17"/>
              </w:rPr>
            </w:pPr>
            <w:r>
              <w:rPr>
                <w:sz w:val="17"/>
              </w:rPr>
              <w:t>0,2</w:t>
            </w:r>
          </w:p>
        </w:tc>
        <w:tc>
          <w:tcPr>
            <w:tcW w:w="1193" w:type="dxa"/>
            <w:tcBorders>
              <w:top w:val="single" w:sz="2" w:space="0" w:color="000000"/>
              <w:bottom w:val="single" w:sz="2" w:space="0" w:color="000000"/>
            </w:tcBorders>
          </w:tcPr>
          <w:p>
            <w:pPr>
              <w:pStyle w:val="TableParagraph"/>
              <w:spacing w:before="29"/>
              <w:ind w:left="373" w:right="378"/>
              <w:jc w:val="center"/>
              <w:rPr>
                <w:sz w:val="17"/>
              </w:rPr>
            </w:pPr>
            <w:r>
              <w:rPr>
                <w:sz w:val="17"/>
              </w:rPr>
              <w:t>0,2</w:t>
            </w:r>
          </w:p>
        </w:tc>
        <w:tc>
          <w:tcPr>
            <w:tcW w:w="1193" w:type="dxa"/>
            <w:tcBorders>
              <w:top w:val="single" w:sz="2" w:space="0" w:color="000000"/>
              <w:bottom w:val="single" w:sz="2" w:space="0" w:color="000000"/>
            </w:tcBorders>
          </w:tcPr>
          <w:p>
            <w:pPr>
              <w:pStyle w:val="TableParagraph"/>
              <w:spacing w:before="29"/>
              <w:ind w:left="373" w:right="378"/>
              <w:jc w:val="center"/>
              <w:rPr>
                <w:sz w:val="17"/>
              </w:rPr>
            </w:pPr>
            <w:r>
              <w:rPr>
                <w:sz w:val="17"/>
              </w:rPr>
              <w:t>0,0</w:t>
            </w:r>
          </w:p>
        </w:tc>
      </w:tr>
      <w:tr>
        <w:trPr>
          <w:trHeight w:val="227" w:hRule="atLeast"/>
        </w:trPr>
        <w:tc>
          <w:tcPr>
            <w:tcW w:w="4478" w:type="dxa"/>
            <w:tcBorders>
              <w:top w:val="single" w:sz="2" w:space="0" w:color="000000"/>
              <w:bottom w:val="single" w:sz="12" w:space="0" w:color="086D44"/>
            </w:tcBorders>
          </w:tcPr>
          <w:p>
            <w:pPr>
              <w:pStyle w:val="TableParagraph"/>
              <w:spacing w:before="7"/>
              <w:ind w:left="76"/>
              <w:jc w:val="left"/>
              <w:rPr>
                <w:sz w:val="16"/>
              </w:rPr>
            </w:pPr>
            <w:r>
              <w:rPr>
                <w:sz w:val="16"/>
              </w:rPr>
              <w:t>(*) Eventuali imprecisioni derivano dagli arrotondamenti.</w:t>
            </w:r>
          </w:p>
        </w:tc>
        <w:tc>
          <w:tcPr>
            <w:tcW w:w="1369" w:type="dxa"/>
            <w:tcBorders>
              <w:top w:val="single" w:sz="2" w:space="0" w:color="000000"/>
              <w:bottom w:val="single" w:sz="12" w:space="0" w:color="086D44"/>
            </w:tcBorders>
          </w:tcPr>
          <w:p>
            <w:pPr>
              <w:pStyle w:val="TableParagraph"/>
              <w:jc w:val="left"/>
              <w:rPr>
                <w:rFonts w:ascii="Times New Roman"/>
                <w:sz w:val="16"/>
              </w:rPr>
            </w:pPr>
          </w:p>
        </w:tc>
        <w:tc>
          <w:tcPr>
            <w:tcW w:w="1193" w:type="dxa"/>
            <w:tcBorders>
              <w:top w:val="single" w:sz="2" w:space="0" w:color="000000"/>
              <w:bottom w:val="single" w:sz="12" w:space="0" w:color="086D44"/>
            </w:tcBorders>
          </w:tcPr>
          <w:p>
            <w:pPr>
              <w:pStyle w:val="TableParagraph"/>
              <w:jc w:val="left"/>
              <w:rPr>
                <w:rFonts w:ascii="Times New Roman"/>
                <w:sz w:val="16"/>
              </w:rPr>
            </w:pPr>
          </w:p>
        </w:tc>
        <w:tc>
          <w:tcPr>
            <w:tcW w:w="1193" w:type="dxa"/>
            <w:tcBorders>
              <w:top w:val="single" w:sz="2" w:space="0" w:color="000000"/>
              <w:bottom w:val="single" w:sz="12" w:space="0" w:color="086D44"/>
            </w:tcBorders>
          </w:tcPr>
          <w:p>
            <w:pPr>
              <w:pStyle w:val="TableParagraph"/>
              <w:jc w:val="left"/>
              <w:rPr>
                <w:rFonts w:ascii="Times New Roman"/>
                <w:sz w:val="16"/>
              </w:rPr>
            </w:pPr>
          </w:p>
        </w:tc>
      </w:tr>
    </w:tbl>
    <w:p>
      <w:pPr>
        <w:spacing w:after="0"/>
        <w:jc w:val="left"/>
        <w:rPr>
          <w:rFonts w:ascii="Times New Roman"/>
          <w:sz w:val="16"/>
        </w:rPr>
        <w:sectPr>
          <w:pgSz w:w="11910" w:h="16840"/>
          <w:pgMar w:header="838" w:footer="866" w:top="1100" w:bottom="1060" w:left="1140" w:right="0"/>
        </w:sectPr>
      </w:pPr>
    </w:p>
    <w:p>
      <w:pPr>
        <w:pStyle w:val="BodyText"/>
        <w:rPr>
          <w:sz w:val="20"/>
        </w:rPr>
      </w:pPr>
    </w:p>
    <w:p>
      <w:pPr>
        <w:pStyle w:val="BodyText"/>
        <w:rPr>
          <w:sz w:val="20"/>
        </w:rPr>
      </w:pPr>
    </w:p>
    <w:p>
      <w:pPr>
        <w:pStyle w:val="BodyText"/>
        <w:rPr>
          <w:sz w:val="20"/>
        </w:rPr>
      </w:pPr>
    </w:p>
    <w:p>
      <w:pPr>
        <w:pStyle w:val="BodyText"/>
        <w:spacing w:before="9" w:after="1"/>
        <w:rPr>
          <w:sz w:val="14"/>
        </w:rPr>
      </w:pPr>
    </w:p>
    <w:tbl>
      <w:tblPr>
        <w:tblW w:w="0" w:type="auto"/>
        <w:jc w:val="left"/>
        <w:tblInd w:w="1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79"/>
        <w:gridCol w:w="789"/>
        <w:gridCol w:w="715"/>
        <w:gridCol w:w="715"/>
        <w:gridCol w:w="715"/>
        <w:gridCol w:w="715"/>
      </w:tblGrid>
      <w:tr>
        <w:trPr>
          <w:trHeight w:val="453" w:hRule="atLeast"/>
        </w:trPr>
        <w:tc>
          <w:tcPr>
            <w:tcW w:w="8228" w:type="dxa"/>
            <w:gridSpan w:val="6"/>
            <w:shd w:val="clear" w:color="auto" w:fill="006247"/>
          </w:tcPr>
          <w:p>
            <w:pPr>
              <w:pStyle w:val="TableParagraph"/>
              <w:spacing w:line="223" w:lineRule="auto" w:before="47"/>
              <w:ind w:left="57"/>
              <w:jc w:val="left"/>
              <w:rPr>
                <w:rFonts w:ascii="Franklin Gothic Heavy"/>
                <w:b/>
                <w:sz w:val="17"/>
              </w:rPr>
            </w:pPr>
            <w:r>
              <w:rPr>
                <w:rFonts w:ascii="Franklin Gothic Heavy"/>
                <w:b/>
                <w:color w:val="EFEFEF"/>
                <w:sz w:val="17"/>
              </w:rPr>
              <w:t>TAVOLA II.4: QUADRO MACROECONOMICO PROGRAMMATICO (var. perc. salvo ove non diversamente indicato)</w:t>
            </w:r>
          </w:p>
        </w:tc>
      </w:tr>
      <w:tr>
        <w:trPr>
          <w:trHeight w:val="283" w:hRule="atLeast"/>
        </w:trPr>
        <w:tc>
          <w:tcPr>
            <w:tcW w:w="4579" w:type="dxa"/>
            <w:tcBorders>
              <w:bottom w:val="single" w:sz="2" w:space="0" w:color="000000"/>
            </w:tcBorders>
          </w:tcPr>
          <w:p>
            <w:pPr>
              <w:pStyle w:val="TableParagraph"/>
              <w:jc w:val="left"/>
              <w:rPr>
                <w:rFonts w:ascii="Times New Roman"/>
                <w:sz w:val="16"/>
              </w:rPr>
            </w:pPr>
          </w:p>
        </w:tc>
        <w:tc>
          <w:tcPr>
            <w:tcW w:w="789" w:type="dxa"/>
            <w:tcBorders>
              <w:bottom w:val="single" w:sz="2" w:space="0" w:color="000000"/>
            </w:tcBorders>
          </w:tcPr>
          <w:p>
            <w:pPr>
              <w:pStyle w:val="TableParagraph"/>
              <w:spacing w:before="41"/>
              <w:ind w:left="190" w:right="117"/>
              <w:jc w:val="center"/>
              <w:rPr>
                <w:sz w:val="17"/>
              </w:rPr>
            </w:pPr>
            <w:r>
              <w:rPr>
                <w:sz w:val="17"/>
              </w:rPr>
              <w:t>2018</w:t>
            </w:r>
          </w:p>
        </w:tc>
        <w:tc>
          <w:tcPr>
            <w:tcW w:w="715" w:type="dxa"/>
            <w:tcBorders>
              <w:bottom w:val="single" w:sz="2" w:space="0" w:color="000000"/>
            </w:tcBorders>
          </w:tcPr>
          <w:p>
            <w:pPr>
              <w:pStyle w:val="TableParagraph"/>
              <w:spacing w:before="41"/>
              <w:ind w:left="114" w:right="116"/>
              <w:jc w:val="center"/>
              <w:rPr>
                <w:sz w:val="17"/>
              </w:rPr>
            </w:pPr>
            <w:r>
              <w:rPr>
                <w:sz w:val="17"/>
              </w:rPr>
              <w:t>2019</w:t>
            </w:r>
          </w:p>
        </w:tc>
        <w:tc>
          <w:tcPr>
            <w:tcW w:w="715" w:type="dxa"/>
            <w:tcBorders>
              <w:bottom w:val="single" w:sz="2" w:space="0" w:color="000000"/>
            </w:tcBorders>
          </w:tcPr>
          <w:p>
            <w:pPr>
              <w:pStyle w:val="TableParagraph"/>
              <w:spacing w:before="41"/>
              <w:ind w:left="114" w:right="116"/>
              <w:jc w:val="center"/>
              <w:rPr>
                <w:sz w:val="17"/>
              </w:rPr>
            </w:pPr>
            <w:r>
              <w:rPr>
                <w:sz w:val="17"/>
              </w:rPr>
              <w:t>2020</w:t>
            </w:r>
          </w:p>
        </w:tc>
        <w:tc>
          <w:tcPr>
            <w:tcW w:w="715" w:type="dxa"/>
            <w:tcBorders>
              <w:bottom w:val="single" w:sz="2" w:space="0" w:color="000000"/>
            </w:tcBorders>
          </w:tcPr>
          <w:p>
            <w:pPr>
              <w:pStyle w:val="TableParagraph"/>
              <w:spacing w:before="41"/>
              <w:ind w:left="112" w:right="117"/>
              <w:jc w:val="center"/>
              <w:rPr>
                <w:sz w:val="17"/>
              </w:rPr>
            </w:pPr>
            <w:r>
              <w:rPr>
                <w:sz w:val="17"/>
              </w:rPr>
              <w:t>2021</w:t>
            </w:r>
          </w:p>
        </w:tc>
        <w:tc>
          <w:tcPr>
            <w:tcW w:w="715" w:type="dxa"/>
            <w:tcBorders>
              <w:bottom w:val="single" w:sz="2" w:space="0" w:color="000000"/>
            </w:tcBorders>
          </w:tcPr>
          <w:p>
            <w:pPr>
              <w:pStyle w:val="TableParagraph"/>
              <w:spacing w:before="41"/>
              <w:ind w:left="113" w:right="117"/>
              <w:jc w:val="center"/>
              <w:rPr>
                <w:sz w:val="17"/>
              </w:rPr>
            </w:pPr>
            <w:r>
              <w:rPr>
                <w:sz w:val="17"/>
              </w:rPr>
              <w:t>2022</w:t>
            </w:r>
          </w:p>
        </w:tc>
      </w:tr>
      <w:tr>
        <w:trPr>
          <w:trHeight w:val="476" w:hRule="atLeast"/>
        </w:trPr>
        <w:tc>
          <w:tcPr>
            <w:tcW w:w="4579" w:type="dxa"/>
            <w:tcBorders>
              <w:top w:val="single" w:sz="2" w:space="0" w:color="000000"/>
            </w:tcBorders>
          </w:tcPr>
          <w:p>
            <w:pPr>
              <w:pStyle w:val="TableParagraph"/>
              <w:spacing w:before="41"/>
              <w:ind w:left="28"/>
              <w:jc w:val="left"/>
              <w:rPr>
                <w:sz w:val="17"/>
              </w:rPr>
            </w:pPr>
            <w:r>
              <w:rPr>
                <w:sz w:val="17"/>
              </w:rPr>
              <w:t>ESOGENE INTERNAZIONALI</w:t>
            </w:r>
          </w:p>
          <w:p>
            <w:pPr>
              <w:pStyle w:val="TableParagraph"/>
              <w:spacing w:line="190" w:lineRule="exact" w:before="32"/>
              <w:ind w:left="28"/>
              <w:jc w:val="left"/>
              <w:rPr>
                <w:sz w:val="17"/>
              </w:rPr>
            </w:pPr>
            <w:r>
              <w:rPr>
                <w:sz w:val="17"/>
              </w:rPr>
              <w:t>Commercio internazionale</w:t>
            </w:r>
          </w:p>
        </w:tc>
        <w:tc>
          <w:tcPr>
            <w:tcW w:w="789" w:type="dxa"/>
            <w:tcBorders>
              <w:top w:val="single" w:sz="2" w:space="0" w:color="000000"/>
            </w:tcBorders>
          </w:tcPr>
          <w:p>
            <w:pPr>
              <w:pStyle w:val="TableParagraph"/>
              <w:spacing w:before="11"/>
              <w:jc w:val="left"/>
              <w:rPr>
                <w:rFonts w:ascii="Trebuchet MS"/>
                <w:sz w:val="22"/>
              </w:rPr>
            </w:pPr>
          </w:p>
          <w:p>
            <w:pPr>
              <w:pStyle w:val="TableParagraph"/>
              <w:spacing w:line="190" w:lineRule="exact"/>
              <w:ind w:left="188" w:right="117"/>
              <w:jc w:val="center"/>
              <w:rPr>
                <w:sz w:val="17"/>
              </w:rPr>
            </w:pPr>
            <w:r>
              <w:rPr>
                <w:sz w:val="17"/>
              </w:rPr>
              <w:t>3,7</w:t>
            </w:r>
          </w:p>
        </w:tc>
        <w:tc>
          <w:tcPr>
            <w:tcW w:w="715" w:type="dxa"/>
            <w:tcBorders>
              <w:top w:val="single" w:sz="2" w:space="0" w:color="000000"/>
            </w:tcBorders>
          </w:tcPr>
          <w:p>
            <w:pPr>
              <w:pStyle w:val="TableParagraph"/>
              <w:spacing w:before="11"/>
              <w:jc w:val="left"/>
              <w:rPr>
                <w:rFonts w:ascii="Trebuchet MS"/>
                <w:sz w:val="22"/>
              </w:rPr>
            </w:pPr>
          </w:p>
          <w:p>
            <w:pPr>
              <w:pStyle w:val="TableParagraph"/>
              <w:spacing w:line="190" w:lineRule="exact"/>
              <w:ind w:left="113" w:right="117"/>
              <w:jc w:val="center"/>
              <w:rPr>
                <w:sz w:val="17"/>
              </w:rPr>
            </w:pPr>
            <w:r>
              <w:rPr>
                <w:sz w:val="17"/>
              </w:rPr>
              <w:t>0,6</w:t>
            </w:r>
          </w:p>
        </w:tc>
        <w:tc>
          <w:tcPr>
            <w:tcW w:w="715" w:type="dxa"/>
            <w:tcBorders>
              <w:top w:val="single" w:sz="2" w:space="0" w:color="000000"/>
            </w:tcBorders>
          </w:tcPr>
          <w:p>
            <w:pPr>
              <w:pStyle w:val="TableParagraph"/>
              <w:spacing w:before="11"/>
              <w:jc w:val="left"/>
              <w:rPr>
                <w:rFonts w:ascii="Trebuchet MS"/>
                <w:sz w:val="22"/>
              </w:rPr>
            </w:pPr>
          </w:p>
          <w:p>
            <w:pPr>
              <w:pStyle w:val="TableParagraph"/>
              <w:spacing w:line="190" w:lineRule="exact"/>
              <w:ind w:left="113" w:right="117"/>
              <w:jc w:val="center"/>
              <w:rPr>
                <w:sz w:val="17"/>
              </w:rPr>
            </w:pPr>
            <w:r>
              <w:rPr>
                <w:sz w:val="17"/>
              </w:rPr>
              <w:t>1,7</w:t>
            </w:r>
          </w:p>
        </w:tc>
        <w:tc>
          <w:tcPr>
            <w:tcW w:w="715" w:type="dxa"/>
            <w:tcBorders>
              <w:top w:val="single" w:sz="2" w:space="0" w:color="000000"/>
            </w:tcBorders>
          </w:tcPr>
          <w:p>
            <w:pPr>
              <w:pStyle w:val="TableParagraph"/>
              <w:spacing w:before="11"/>
              <w:jc w:val="left"/>
              <w:rPr>
                <w:rFonts w:ascii="Trebuchet MS"/>
                <w:sz w:val="22"/>
              </w:rPr>
            </w:pPr>
          </w:p>
          <w:p>
            <w:pPr>
              <w:pStyle w:val="TableParagraph"/>
              <w:spacing w:line="190" w:lineRule="exact"/>
              <w:ind w:left="110" w:right="117"/>
              <w:jc w:val="center"/>
              <w:rPr>
                <w:sz w:val="17"/>
              </w:rPr>
            </w:pPr>
            <w:r>
              <w:rPr>
                <w:sz w:val="17"/>
              </w:rPr>
              <w:t>3,0</w:t>
            </w:r>
          </w:p>
        </w:tc>
        <w:tc>
          <w:tcPr>
            <w:tcW w:w="715" w:type="dxa"/>
            <w:tcBorders>
              <w:top w:val="single" w:sz="2" w:space="0" w:color="000000"/>
            </w:tcBorders>
          </w:tcPr>
          <w:p>
            <w:pPr>
              <w:pStyle w:val="TableParagraph"/>
              <w:spacing w:before="11"/>
              <w:jc w:val="left"/>
              <w:rPr>
                <w:rFonts w:ascii="Trebuchet MS"/>
                <w:sz w:val="22"/>
              </w:rPr>
            </w:pPr>
          </w:p>
          <w:p>
            <w:pPr>
              <w:pStyle w:val="TableParagraph"/>
              <w:spacing w:line="190" w:lineRule="exact"/>
              <w:ind w:left="110" w:right="117"/>
              <w:jc w:val="center"/>
              <w:rPr>
                <w:sz w:val="17"/>
              </w:rPr>
            </w:pPr>
            <w:r>
              <w:rPr>
                <w:sz w:val="17"/>
              </w:rPr>
              <w:t>3,6</w:t>
            </w:r>
          </w:p>
        </w:tc>
      </w:tr>
      <w:tr>
        <w:trPr>
          <w:trHeight w:val="226" w:hRule="atLeast"/>
        </w:trPr>
        <w:tc>
          <w:tcPr>
            <w:tcW w:w="4579" w:type="dxa"/>
          </w:tcPr>
          <w:p>
            <w:pPr>
              <w:pStyle w:val="TableParagraph"/>
              <w:spacing w:line="189" w:lineRule="exact" w:before="17"/>
              <w:ind w:left="28"/>
              <w:jc w:val="left"/>
              <w:rPr>
                <w:sz w:val="17"/>
              </w:rPr>
            </w:pPr>
            <w:r>
              <w:rPr>
                <w:sz w:val="17"/>
              </w:rPr>
              <w:t>Prezzo del petrolio (Brent, futures)</w:t>
            </w:r>
          </w:p>
        </w:tc>
        <w:tc>
          <w:tcPr>
            <w:tcW w:w="789" w:type="dxa"/>
          </w:tcPr>
          <w:p>
            <w:pPr>
              <w:pStyle w:val="TableParagraph"/>
              <w:spacing w:line="189" w:lineRule="exact" w:before="17"/>
              <w:ind w:left="190" w:right="117"/>
              <w:jc w:val="center"/>
              <w:rPr>
                <w:sz w:val="17"/>
              </w:rPr>
            </w:pPr>
            <w:r>
              <w:rPr>
                <w:sz w:val="17"/>
              </w:rPr>
              <w:t>71,3</w:t>
            </w:r>
          </w:p>
        </w:tc>
        <w:tc>
          <w:tcPr>
            <w:tcW w:w="715" w:type="dxa"/>
          </w:tcPr>
          <w:p>
            <w:pPr>
              <w:pStyle w:val="TableParagraph"/>
              <w:spacing w:line="189" w:lineRule="exact" w:before="17"/>
              <w:ind w:left="114" w:right="116"/>
              <w:jc w:val="center"/>
              <w:rPr>
                <w:sz w:val="17"/>
              </w:rPr>
            </w:pPr>
            <w:r>
              <w:rPr>
                <w:sz w:val="17"/>
              </w:rPr>
              <w:t>63,3</w:t>
            </w:r>
          </w:p>
        </w:tc>
        <w:tc>
          <w:tcPr>
            <w:tcW w:w="715" w:type="dxa"/>
          </w:tcPr>
          <w:p>
            <w:pPr>
              <w:pStyle w:val="TableParagraph"/>
              <w:spacing w:line="189" w:lineRule="exact" w:before="17"/>
              <w:ind w:left="114" w:right="116"/>
              <w:jc w:val="center"/>
              <w:rPr>
                <w:sz w:val="17"/>
              </w:rPr>
            </w:pPr>
            <w:r>
              <w:rPr>
                <w:sz w:val="17"/>
              </w:rPr>
              <w:t>57,3</w:t>
            </w:r>
          </w:p>
        </w:tc>
        <w:tc>
          <w:tcPr>
            <w:tcW w:w="715" w:type="dxa"/>
          </w:tcPr>
          <w:p>
            <w:pPr>
              <w:pStyle w:val="TableParagraph"/>
              <w:spacing w:line="189" w:lineRule="exact" w:before="17"/>
              <w:ind w:left="112" w:right="117"/>
              <w:jc w:val="center"/>
              <w:rPr>
                <w:sz w:val="17"/>
              </w:rPr>
            </w:pPr>
            <w:r>
              <w:rPr>
                <w:sz w:val="17"/>
              </w:rPr>
              <w:t>56,2</w:t>
            </w:r>
          </w:p>
        </w:tc>
        <w:tc>
          <w:tcPr>
            <w:tcW w:w="715" w:type="dxa"/>
          </w:tcPr>
          <w:p>
            <w:pPr>
              <w:pStyle w:val="TableParagraph"/>
              <w:spacing w:line="189" w:lineRule="exact" w:before="17"/>
              <w:ind w:left="113" w:right="117"/>
              <w:jc w:val="center"/>
              <w:rPr>
                <w:sz w:val="17"/>
              </w:rPr>
            </w:pPr>
            <w:r>
              <w:rPr>
                <w:sz w:val="17"/>
              </w:rPr>
              <w:t>56,4</w:t>
            </w:r>
          </w:p>
        </w:tc>
      </w:tr>
      <w:tr>
        <w:trPr>
          <w:trHeight w:val="453" w:hRule="atLeast"/>
        </w:trPr>
        <w:tc>
          <w:tcPr>
            <w:tcW w:w="4579" w:type="dxa"/>
            <w:tcBorders>
              <w:bottom w:val="single" w:sz="2" w:space="0" w:color="000000"/>
            </w:tcBorders>
          </w:tcPr>
          <w:p>
            <w:pPr>
              <w:pStyle w:val="TableParagraph"/>
              <w:spacing w:before="16"/>
              <w:ind w:left="28"/>
              <w:jc w:val="left"/>
              <w:rPr>
                <w:sz w:val="17"/>
              </w:rPr>
            </w:pPr>
            <w:r>
              <w:rPr>
                <w:sz w:val="17"/>
              </w:rPr>
              <w:t>Cambio dollaro/euro</w:t>
            </w:r>
          </w:p>
        </w:tc>
        <w:tc>
          <w:tcPr>
            <w:tcW w:w="789" w:type="dxa"/>
            <w:tcBorders>
              <w:bottom w:val="single" w:sz="2" w:space="0" w:color="000000"/>
            </w:tcBorders>
          </w:tcPr>
          <w:p>
            <w:pPr>
              <w:pStyle w:val="TableParagraph"/>
              <w:spacing w:before="16"/>
              <w:ind w:left="190" w:right="117"/>
              <w:jc w:val="center"/>
              <w:rPr>
                <w:sz w:val="17"/>
              </w:rPr>
            </w:pPr>
            <w:r>
              <w:rPr>
                <w:sz w:val="17"/>
              </w:rPr>
              <w:t>1,181</w:t>
            </w:r>
          </w:p>
        </w:tc>
        <w:tc>
          <w:tcPr>
            <w:tcW w:w="715" w:type="dxa"/>
            <w:tcBorders>
              <w:bottom w:val="single" w:sz="2" w:space="0" w:color="000000"/>
            </w:tcBorders>
          </w:tcPr>
          <w:p>
            <w:pPr>
              <w:pStyle w:val="TableParagraph"/>
              <w:spacing w:before="16"/>
              <w:ind w:left="114" w:right="116"/>
              <w:jc w:val="center"/>
              <w:rPr>
                <w:sz w:val="17"/>
              </w:rPr>
            </w:pPr>
            <w:r>
              <w:rPr>
                <w:sz w:val="17"/>
              </w:rPr>
              <w:t>1,120</w:t>
            </w:r>
          </w:p>
        </w:tc>
        <w:tc>
          <w:tcPr>
            <w:tcW w:w="715" w:type="dxa"/>
            <w:tcBorders>
              <w:bottom w:val="single" w:sz="2" w:space="0" w:color="000000"/>
            </w:tcBorders>
          </w:tcPr>
          <w:p>
            <w:pPr>
              <w:pStyle w:val="TableParagraph"/>
              <w:spacing w:before="16"/>
              <w:ind w:left="114" w:right="116"/>
              <w:jc w:val="center"/>
              <w:rPr>
                <w:sz w:val="17"/>
              </w:rPr>
            </w:pPr>
            <w:r>
              <w:rPr>
                <w:sz w:val="17"/>
              </w:rPr>
              <w:t>1,108</w:t>
            </w:r>
          </w:p>
        </w:tc>
        <w:tc>
          <w:tcPr>
            <w:tcW w:w="715" w:type="dxa"/>
            <w:tcBorders>
              <w:bottom w:val="single" w:sz="2" w:space="0" w:color="000000"/>
            </w:tcBorders>
          </w:tcPr>
          <w:p>
            <w:pPr>
              <w:pStyle w:val="TableParagraph"/>
              <w:spacing w:before="16"/>
              <w:ind w:left="112" w:right="117"/>
              <w:jc w:val="center"/>
              <w:rPr>
                <w:sz w:val="17"/>
              </w:rPr>
            </w:pPr>
            <w:r>
              <w:rPr>
                <w:sz w:val="17"/>
              </w:rPr>
              <w:t>1,108</w:t>
            </w:r>
          </w:p>
        </w:tc>
        <w:tc>
          <w:tcPr>
            <w:tcW w:w="715" w:type="dxa"/>
            <w:tcBorders>
              <w:bottom w:val="single" w:sz="2" w:space="0" w:color="000000"/>
            </w:tcBorders>
          </w:tcPr>
          <w:p>
            <w:pPr>
              <w:pStyle w:val="TableParagraph"/>
              <w:spacing w:before="16"/>
              <w:ind w:left="112" w:right="117"/>
              <w:jc w:val="center"/>
              <w:rPr>
                <w:sz w:val="17"/>
              </w:rPr>
            </w:pPr>
            <w:r>
              <w:rPr>
                <w:sz w:val="17"/>
              </w:rPr>
              <w:t>1,108</w:t>
            </w:r>
          </w:p>
        </w:tc>
      </w:tr>
      <w:tr>
        <w:trPr>
          <w:trHeight w:val="455" w:hRule="atLeast"/>
        </w:trPr>
        <w:tc>
          <w:tcPr>
            <w:tcW w:w="4579" w:type="dxa"/>
            <w:tcBorders>
              <w:top w:val="single" w:sz="2" w:space="0" w:color="000000"/>
            </w:tcBorders>
          </w:tcPr>
          <w:p>
            <w:pPr>
              <w:pStyle w:val="TableParagraph"/>
              <w:spacing w:before="19"/>
              <w:ind w:left="28"/>
              <w:jc w:val="left"/>
              <w:rPr>
                <w:sz w:val="17"/>
              </w:rPr>
            </w:pPr>
            <w:r>
              <w:rPr>
                <w:sz w:val="17"/>
              </w:rPr>
              <w:t>MACRO ITALIA (VOLUMI)</w:t>
            </w:r>
          </w:p>
          <w:p>
            <w:pPr>
              <w:pStyle w:val="TableParagraph"/>
              <w:spacing w:line="190" w:lineRule="exact" w:before="33"/>
              <w:ind w:left="28"/>
              <w:jc w:val="left"/>
              <w:rPr>
                <w:sz w:val="17"/>
              </w:rPr>
            </w:pPr>
            <w:r>
              <w:rPr>
                <w:sz w:val="17"/>
              </w:rPr>
              <w:t>PIL</w:t>
            </w:r>
          </w:p>
        </w:tc>
        <w:tc>
          <w:tcPr>
            <w:tcW w:w="789" w:type="dxa"/>
            <w:tcBorders>
              <w:top w:val="single" w:sz="2" w:space="0" w:color="000000"/>
            </w:tcBorders>
          </w:tcPr>
          <w:p>
            <w:pPr>
              <w:pStyle w:val="TableParagraph"/>
              <w:spacing w:before="1"/>
              <w:jc w:val="left"/>
              <w:rPr>
                <w:rFonts w:ascii="Trebuchet MS"/>
                <w:sz w:val="21"/>
              </w:rPr>
            </w:pPr>
          </w:p>
          <w:p>
            <w:pPr>
              <w:pStyle w:val="TableParagraph"/>
              <w:spacing w:line="190" w:lineRule="exact"/>
              <w:ind w:left="188" w:right="117"/>
              <w:jc w:val="center"/>
              <w:rPr>
                <w:sz w:val="17"/>
              </w:rPr>
            </w:pPr>
            <w:r>
              <w:rPr>
                <w:sz w:val="17"/>
              </w:rPr>
              <w:t>0,8</w:t>
            </w:r>
          </w:p>
        </w:tc>
        <w:tc>
          <w:tcPr>
            <w:tcW w:w="715" w:type="dxa"/>
            <w:tcBorders>
              <w:top w:val="single" w:sz="2" w:space="0" w:color="000000"/>
            </w:tcBorders>
          </w:tcPr>
          <w:p>
            <w:pPr>
              <w:pStyle w:val="TableParagraph"/>
              <w:spacing w:before="1"/>
              <w:jc w:val="left"/>
              <w:rPr>
                <w:rFonts w:ascii="Trebuchet MS"/>
                <w:sz w:val="21"/>
              </w:rPr>
            </w:pPr>
          </w:p>
          <w:p>
            <w:pPr>
              <w:pStyle w:val="TableParagraph"/>
              <w:spacing w:line="190" w:lineRule="exact"/>
              <w:ind w:left="113" w:right="117"/>
              <w:jc w:val="center"/>
              <w:rPr>
                <w:sz w:val="17"/>
              </w:rPr>
            </w:pPr>
            <w:r>
              <w:rPr>
                <w:sz w:val="17"/>
              </w:rPr>
              <w:t>0,1</w:t>
            </w:r>
          </w:p>
        </w:tc>
        <w:tc>
          <w:tcPr>
            <w:tcW w:w="715" w:type="dxa"/>
            <w:tcBorders>
              <w:top w:val="single" w:sz="2" w:space="0" w:color="000000"/>
            </w:tcBorders>
          </w:tcPr>
          <w:p>
            <w:pPr>
              <w:pStyle w:val="TableParagraph"/>
              <w:spacing w:before="1"/>
              <w:jc w:val="left"/>
              <w:rPr>
                <w:rFonts w:ascii="Trebuchet MS"/>
                <w:sz w:val="21"/>
              </w:rPr>
            </w:pPr>
          </w:p>
          <w:p>
            <w:pPr>
              <w:pStyle w:val="TableParagraph"/>
              <w:spacing w:line="190" w:lineRule="exact"/>
              <w:ind w:left="113" w:right="117"/>
              <w:jc w:val="center"/>
              <w:rPr>
                <w:sz w:val="17"/>
              </w:rPr>
            </w:pPr>
            <w:r>
              <w:rPr>
                <w:sz w:val="17"/>
              </w:rPr>
              <w:t>0,6</w:t>
            </w:r>
          </w:p>
        </w:tc>
        <w:tc>
          <w:tcPr>
            <w:tcW w:w="715" w:type="dxa"/>
            <w:tcBorders>
              <w:top w:val="single" w:sz="2" w:space="0" w:color="000000"/>
            </w:tcBorders>
          </w:tcPr>
          <w:p>
            <w:pPr>
              <w:pStyle w:val="TableParagraph"/>
              <w:spacing w:before="1"/>
              <w:jc w:val="left"/>
              <w:rPr>
                <w:rFonts w:ascii="Trebuchet MS"/>
                <w:sz w:val="21"/>
              </w:rPr>
            </w:pPr>
          </w:p>
          <w:p>
            <w:pPr>
              <w:pStyle w:val="TableParagraph"/>
              <w:spacing w:line="190" w:lineRule="exact"/>
              <w:ind w:left="110" w:right="117"/>
              <w:jc w:val="center"/>
              <w:rPr>
                <w:sz w:val="17"/>
              </w:rPr>
            </w:pPr>
            <w:r>
              <w:rPr>
                <w:sz w:val="17"/>
              </w:rPr>
              <w:t>1,0</w:t>
            </w:r>
          </w:p>
        </w:tc>
        <w:tc>
          <w:tcPr>
            <w:tcW w:w="715" w:type="dxa"/>
            <w:tcBorders>
              <w:top w:val="single" w:sz="2" w:space="0" w:color="000000"/>
            </w:tcBorders>
          </w:tcPr>
          <w:p>
            <w:pPr>
              <w:pStyle w:val="TableParagraph"/>
              <w:spacing w:before="1"/>
              <w:jc w:val="left"/>
              <w:rPr>
                <w:rFonts w:ascii="Trebuchet MS"/>
                <w:sz w:val="21"/>
              </w:rPr>
            </w:pPr>
          </w:p>
          <w:p>
            <w:pPr>
              <w:pStyle w:val="TableParagraph"/>
              <w:spacing w:line="190" w:lineRule="exact"/>
              <w:ind w:left="110" w:right="117"/>
              <w:jc w:val="center"/>
              <w:rPr>
                <w:sz w:val="17"/>
              </w:rPr>
            </w:pPr>
            <w:r>
              <w:rPr>
                <w:sz w:val="17"/>
              </w:rPr>
              <w:t>1,0</w:t>
            </w:r>
          </w:p>
        </w:tc>
      </w:tr>
      <w:tr>
        <w:trPr>
          <w:trHeight w:val="226" w:hRule="atLeast"/>
        </w:trPr>
        <w:tc>
          <w:tcPr>
            <w:tcW w:w="4579" w:type="dxa"/>
          </w:tcPr>
          <w:p>
            <w:pPr>
              <w:pStyle w:val="TableParagraph"/>
              <w:spacing w:line="189" w:lineRule="exact" w:before="17"/>
              <w:ind w:left="28"/>
              <w:jc w:val="left"/>
              <w:rPr>
                <w:sz w:val="17"/>
              </w:rPr>
            </w:pPr>
            <w:r>
              <w:rPr>
                <w:sz w:val="17"/>
              </w:rPr>
              <w:t>Importazioni</w:t>
            </w:r>
          </w:p>
        </w:tc>
        <w:tc>
          <w:tcPr>
            <w:tcW w:w="789" w:type="dxa"/>
          </w:tcPr>
          <w:p>
            <w:pPr>
              <w:pStyle w:val="TableParagraph"/>
              <w:spacing w:line="189" w:lineRule="exact" w:before="17"/>
              <w:ind w:left="188" w:right="117"/>
              <w:jc w:val="center"/>
              <w:rPr>
                <w:sz w:val="17"/>
              </w:rPr>
            </w:pPr>
            <w:r>
              <w:rPr>
                <w:sz w:val="17"/>
              </w:rPr>
              <w:t>3,0</w:t>
            </w:r>
          </w:p>
        </w:tc>
        <w:tc>
          <w:tcPr>
            <w:tcW w:w="715" w:type="dxa"/>
          </w:tcPr>
          <w:p>
            <w:pPr>
              <w:pStyle w:val="TableParagraph"/>
              <w:spacing w:line="189" w:lineRule="exact" w:before="17"/>
              <w:ind w:left="113" w:right="117"/>
              <w:jc w:val="center"/>
              <w:rPr>
                <w:sz w:val="17"/>
              </w:rPr>
            </w:pPr>
            <w:r>
              <w:rPr>
                <w:sz w:val="17"/>
              </w:rPr>
              <w:t>0,7</w:t>
            </w:r>
          </w:p>
        </w:tc>
        <w:tc>
          <w:tcPr>
            <w:tcW w:w="715" w:type="dxa"/>
          </w:tcPr>
          <w:p>
            <w:pPr>
              <w:pStyle w:val="TableParagraph"/>
              <w:spacing w:line="189" w:lineRule="exact" w:before="17"/>
              <w:ind w:left="113" w:right="117"/>
              <w:jc w:val="center"/>
              <w:rPr>
                <w:sz w:val="17"/>
              </w:rPr>
            </w:pPr>
            <w:r>
              <w:rPr>
                <w:sz w:val="17"/>
              </w:rPr>
              <w:t>2,3</w:t>
            </w:r>
          </w:p>
        </w:tc>
        <w:tc>
          <w:tcPr>
            <w:tcW w:w="715" w:type="dxa"/>
          </w:tcPr>
          <w:p>
            <w:pPr>
              <w:pStyle w:val="TableParagraph"/>
              <w:spacing w:line="189" w:lineRule="exact" w:before="17"/>
              <w:ind w:left="110" w:right="117"/>
              <w:jc w:val="center"/>
              <w:rPr>
                <w:sz w:val="17"/>
              </w:rPr>
            </w:pPr>
            <w:r>
              <w:rPr>
                <w:sz w:val="17"/>
              </w:rPr>
              <w:t>3,3</w:t>
            </w:r>
          </w:p>
        </w:tc>
        <w:tc>
          <w:tcPr>
            <w:tcW w:w="715" w:type="dxa"/>
          </w:tcPr>
          <w:p>
            <w:pPr>
              <w:pStyle w:val="TableParagraph"/>
              <w:spacing w:line="189" w:lineRule="exact" w:before="17"/>
              <w:ind w:left="110" w:right="117"/>
              <w:jc w:val="center"/>
              <w:rPr>
                <w:sz w:val="17"/>
              </w:rPr>
            </w:pPr>
            <w:r>
              <w:rPr>
                <w:sz w:val="17"/>
              </w:rPr>
              <w:t>3,4</w:t>
            </w:r>
          </w:p>
        </w:tc>
      </w:tr>
      <w:tr>
        <w:trPr>
          <w:trHeight w:val="226" w:hRule="atLeast"/>
        </w:trPr>
        <w:tc>
          <w:tcPr>
            <w:tcW w:w="4579" w:type="dxa"/>
          </w:tcPr>
          <w:p>
            <w:pPr>
              <w:pStyle w:val="TableParagraph"/>
              <w:spacing w:line="190" w:lineRule="exact" w:before="16"/>
              <w:ind w:left="28"/>
              <w:jc w:val="left"/>
              <w:rPr>
                <w:sz w:val="17"/>
              </w:rPr>
            </w:pPr>
            <w:r>
              <w:rPr>
                <w:sz w:val="17"/>
              </w:rPr>
              <w:t>Consumi finali nazionali</w:t>
            </w:r>
          </w:p>
        </w:tc>
        <w:tc>
          <w:tcPr>
            <w:tcW w:w="789" w:type="dxa"/>
          </w:tcPr>
          <w:p>
            <w:pPr>
              <w:pStyle w:val="TableParagraph"/>
              <w:spacing w:line="190" w:lineRule="exact" w:before="16"/>
              <w:ind w:left="188" w:right="117"/>
              <w:jc w:val="center"/>
              <w:rPr>
                <w:sz w:val="17"/>
              </w:rPr>
            </w:pPr>
            <w:r>
              <w:rPr>
                <w:sz w:val="17"/>
              </w:rPr>
              <w:t>0,7</w:t>
            </w:r>
          </w:p>
        </w:tc>
        <w:tc>
          <w:tcPr>
            <w:tcW w:w="715" w:type="dxa"/>
          </w:tcPr>
          <w:p>
            <w:pPr>
              <w:pStyle w:val="TableParagraph"/>
              <w:spacing w:line="190" w:lineRule="exact" w:before="16"/>
              <w:ind w:left="113" w:right="117"/>
              <w:jc w:val="center"/>
              <w:rPr>
                <w:sz w:val="17"/>
              </w:rPr>
            </w:pPr>
            <w:r>
              <w:rPr>
                <w:sz w:val="17"/>
              </w:rPr>
              <w:t>0,3</w:t>
            </w:r>
          </w:p>
        </w:tc>
        <w:tc>
          <w:tcPr>
            <w:tcW w:w="715" w:type="dxa"/>
          </w:tcPr>
          <w:p>
            <w:pPr>
              <w:pStyle w:val="TableParagraph"/>
              <w:spacing w:line="190" w:lineRule="exact" w:before="16"/>
              <w:ind w:left="113" w:right="117"/>
              <w:jc w:val="center"/>
              <w:rPr>
                <w:sz w:val="17"/>
              </w:rPr>
            </w:pPr>
            <w:r>
              <w:rPr>
                <w:sz w:val="17"/>
              </w:rPr>
              <w:t>0,5</w:t>
            </w:r>
          </w:p>
        </w:tc>
        <w:tc>
          <w:tcPr>
            <w:tcW w:w="715" w:type="dxa"/>
          </w:tcPr>
          <w:p>
            <w:pPr>
              <w:pStyle w:val="TableParagraph"/>
              <w:spacing w:line="190" w:lineRule="exact" w:before="16"/>
              <w:ind w:left="110" w:right="117"/>
              <w:jc w:val="center"/>
              <w:rPr>
                <w:sz w:val="17"/>
              </w:rPr>
            </w:pPr>
            <w:r>
              <w:rPr>
                <w:sz w:val="17"/>
              </w:rPr>
              <w:t>0,7</w:t>
            </w:r>
          </w:p>
        </w:tc>
        <w:tc>
          <w:tcPr>
            <w:tcW w:w="715" w:type="dxa"/>
          </w:tcPr>
          <w:p>
            <w:pPr>
              <w:pStyle w:val="TableParagraph"/>
              <w:spacing w:line="190" w:lineRule="exact" w:before="16"/>
              <w:ind w:left="110" w:right="117"/>
              <w:jc w:val="center"/>
              <w:rPr>
                <w:sz w:val="17"/>
              </w:rPr>
            </w:pPr>
            <w:r>
              <w:rPr>
                <w:sz w:val="17"/>
              </w:rPr>
              <w:t>0,5</w:t>
            </w:r>
          </w:p>
        </w:tc>
      </w:tr>
      <w:tr>
        <w:trPr>
          <w:trHeight w:val="228" w:hRule="atLeast"/>
        </w:trPr>
        <w:tc>
          <w:tcPr>
            <w:tcW w:w="4579" w:type="dxa"/>
          </w:tcPr>
          <w:p>
            <w:pPr>
              <w:pStyle w:val="TableParagraph"/>
              <w:spacing w:line="190" w:lineRule="exact" w:before="17"/>
              <w:ind w:left="28"/>
              <w:jc w:val="left"/>
              <w:rPr>
                <w:sz w:val="17"/>
              </w:rPr>
            </w:pPr>
            <w:r>
              <w:rPr>
                <w:sz w:val="17"/>
              </w:rPr>
              <w:t>Consumi famiglie e ISP</w:t>
            </w:r>
          </w:p>
        </w:tc>
        <w:tc>
          <w:tcPr>
            <w:tcW w:w="789" w:type="dxa"/>
          </w:tcPr>
          <w:p>
            <w:pPr>
              <w:pStyle w:val="TableParagraph"/>
              <w:spacing w:line="190" w:lineRule="exact" w:before="17"/>
              <w:ind w:left="188" w:right="117"/>
              <w:jc w:val="center"/>
              <w:rPr>
                <w:sz w:val="17"/>
              </w:rPr>
            </w:pPr>
            <w:r>
              <w:rPr>
                <w:sz w:val="17"/>
              </w:rPr>
              <w:t>0,8</w:t>
            </w:r>
          </w:p>
        </w:tc>
        <w:tc>
          <w:tcPr>
            <w:tcW w:w="715" w:type="dxa"/>
          </w:tcPr>
          <w:p>
            <w:pPr>
              <w:pStyle w:val="TableParagraph"/>
              <w:spacing w:line="190" w:lineRule="exact" w:before="17"/>
              <w:ind w:left="113" w:right="117"/>
              <w:jc w:val="center"/>
              <w:rPr>
                <w:sz w:val="17"/>
              </w:rPr>
            </w:pPr>
            <w:r>
              <w:rPr>
                <w:sz w:val="17"/>
              </w:rPr>
              <w:t>0,4</w:t>
            </w:r>
          </w:p>
        </w:tc>
        <w:tc>
          <w:tcPr>
            <w:tcW w:w="715" w:type="dxa"/>
          </w:tcPr>
          <w:p>
            <w:pPr>
              <w:pStyle w:val="TableParagraph"/>
              <w:spacing w:line="190" w:lineRule="exact" w:before="17"/>
              <w:ind w:left="113" w:right="117"/>
              <w:jc w:val="center"/>
              <w:rPr>
                <w:sz w:val="17"/>
              </w:rPr>
            </w:pPr>
            <w:r>
              <w:rPr>
                <w:sz w:val="17"/>
              </w:rPr>
              <w:t>0,7</w:t>
            </w:r>
          </w:p>
        </w:tc>
        <w:tc>
          <w:tcPr>
            <w:tcW w:w="715" w:type="dxa"/>
          </w:tcPr>
          <w:p>
            <w:pPr>
              <w:pStyle w:val="TableParagraph"/>
              <w:spacing w:line="190" w:lineRule="exact" w:before="17"/>
              <w:ind w:left="110" w:right="117"/>
              <w:jc w:val="center"/>
              <w:rPr>
                <w:sz w:val="17"/>
              </w:rPr>
            </w:pPr>
            <w:r>
              <w:rPr>
                <w:sz w:val="17"/>
              </w:rPr>
              <w:t>0,8</w:t>
            </w:r>
          </w:p>
        </w:tc>
        <w:tc>
          <w:tcPr>
            <w:tcW w:w="715" w:type="dxa"/>
          </w:tcPr>
          <w:p>
            <w:pPr>
              <w:pStyle w:val="TableParagraph"/>
              <w:spacing w:line="190" w:lineRule="exact" w:before="17"/>
              <w:ind w:left="110" w:right="117"/>
              <w:jc w:val="center"/>
              <w:rPr>
                <w:sz w:val="17"/>
              </w:rPr>
            </w:pPr>
            <w:r>
              <w:rPr>
                <w:sz w:val="17"/>
              </w:rPr>
              <w:t>0,6</w:t>
            </w:r>
          </w:p>
        </w:tc>
      </w:tr>
      <w:tr>
        <w:trPr>
          <w:trHeight w:val="226" w:hRule="atLeast"/>
        </w:trPr>
        <w:tc>
          <w:tcPr>
            <w:tcW w:w="4579" w:type="dxa"/>
          </w:tcPr>
          <w:p>
            <w:pPr>
              <w:pStyle w:val="TableParagraph"/>
              <w:spacing w:line="189" w:lineRule="exact" w:before="17"/>
              <w:ind w:left="28"/>
              <w:jc w:val="left"/>
              <w:rPr>
                <w:sz w:val="17"/>
              </w:rPr>
            </w:pPr>
            <w:r>
              <w:rPr>
                <w:sz w:val="17"/>
              </w:rPr>
              <w:t>Spesa della PA</w:t>
            </w:r>
          </w:p>
        </w:tc>
        <w:tc>
          <w:tcPr>
            <w:tcW w:w="789" w:type="dxa"/>
          </w:tcPr>
          <w:p>
            <w:pPr>
              <w:pStyle w:val="TableParagraph"/>
              <w:spacing w:line="189" w:lineRule="exact" w:before="17"/>
              <w:ind w:left="188" w:right="117"/>
              <w:jc w:val="center"/>
              <w:rPr>
                <w:sz w:val="17"/>
              </w:rPr>
            </w:pPr>
            <w:r>
              <w:rPr>
                <w:sz w:val="17"/>
              </w:rPr>
              <w:t>0,4</w:t>
            </w:r>
          </w:p>
        </w:tc>
        <w:tc>
          <w:tcPr>
            <w:tcW w:w="715" w:type="dxa"/>
          </w:tcPr>
          <w:p>
            <w:pPr>
              <w:pStyle w:val="TableParagraph"/>
              <w:spacing w:line="189" w:lineRule="exact" w:before="17"/>
              <w:ind w:left="113" w:right="117"/>
              <w:jc w:val="center"/>
              <w:rPr>
                <w:sz w:val="17"/>
              </w:rPr>
            </w:pPr>
            <w:r>
              <w:rPr>
                <w:sz w:val="17"/>
              </w:rPr>
              <w:t>-0,2</w:t>
            </w:r>
          </w:p>
        </w:tc>
        <w:tc>
          <w:tcPr>
            <w:tcW w:w="715" w:type="dxa"/>
          </w:tcPr>
          <w:p>
            <w:pPr>
              <w:pStyle w:val="TableParagraph"/>
              <w:spacing w:line="189" w:lineRule="exact" w:before="17"/>
              <w:ind w:left="113" w:right="117"/>
              <w:jc w:val="center"/>
              <w:rPr>
                <w:sz w:val="17"/>
              </w:rPr>
            </w:pPr>
            <w:r>
              <w:rPr>
                <w:sz w:val="17"/>
              </w:rPr>
              <w:t>-0,2</w:t>
            </w:r>
          </w:p>
        </w:tc>
        <w:tc>
          <w:tcPr>
            <w:tcW w:w="715" w:type="dxa"/>
          </w:tcPr>
          <w:p>
            <w:pPr>
              <w:pStyle w:val="TableParagraph"/>
              <w:spacing w:line="189" w:lineRule="exact" w:before="17"/>
              <w:ind w:left="110" w:right="117"/>
              <w:jc w:val="center"/>
              <w:rPr>
                <w:sz w:val="17"/>
              </w:rPr>
            </w:pPr>
            <w:r>
              <w:rPr>
                <w:sz w:val="17"/>
              </w:rPr>
              <w:t>0,3</w:t>
            </w:r>
          </w:p>
        </w:tc>
        <w:tc>
          <w:tcPr>
            <w:tcW w:w="715" w:type="dxa"/>
          </w:tcPr>
          <w:p>
            <w:pPr>
              <w:pStyle w:val="TableParagraph"/>
              <w:spacing w:line="189" w:lineRule="exact" w:before="17"/>
              <w:ind w:left="110" w:right="117"/>
              <w:jc w:val="center"/>
              <w:rPr>
                <w:sz w:val="17"/>
              </w:rPr>
            </w:pPr>
            <w:r>
              <w:rPr>
                <w:sz w:val="17"/>
              </w:rPr>
              <w:t>0,1</w:t>
            </w:r>
          </w:p>
        </w:tc>
      </w:tr>
      <w:tr>
        <w:trPr>
          <w:trHeight w:val="226" w:hRule="atLeast"/>
        </w:trPr>
        <w:tc>
          <w:tcPr>
            <w:tcW w:w="4579" w:type="dxa"/>
          </w:tcPr>
          <w:p>
            <w:pPr>
              <w:pStyle w:val="TableParagraph"/>
              <w:spacing w:line="190" w:lineRule="exact" w:before="16"/>
              <w:ind w:left="28"/>
              <w:jc w:val="left"/>
              <w:rPr>
                <w:sz w:val="17"/>
              </w:rPr>
            </w:pPr>
            <w:r>
              <w:rPr>
                <w:sz w:val="17"/>
              </w:rPr>
              <w:t>Investimenti</w:t>
            </w:r>
          </w:p>
        </w:tc>
        <w:tc>
          <w:tcPr>
            <w:tcW w:w="789" w:type="dxa"/>
          </w:tcPr>
          <w:p>
            <w:pPr>
              <w:pStyle w:val="TableParagraph"/>
              <w:spacing w:line="190" w:lineRule="exact" w:before="16"/>
              <w:ind w:left="188" w:right="117"/>
              <w:jc w:val="center"/>
              <w:rPr>
                <w:sz w:val="17"/>
              </w:rPr>
            </w:pPr>
            <w:r>
              <w:rPr>
                <w:sz w:val="17"/>
              </w:rPr>
              <w:t>3,2</w:t>
            </w:r>
          </w:p>
        </w:tc>
        <w:tc>
          <w:tcPr>
            <w:tcW w:w="715" w:type="dxa"/>
          </w:tcPr>
          <w:p>
            <w:pPr>
              <w:pStyle w:val="TableParagraph"/>
              <w:spacing w:line="190" w:lineRule="exact" w:before="16"/>
              <w:ind w:left="113" w:right="117"/>
              <w:jc w:val="center"/>
              <w:rPr>
                <w:sz w:val="17"/>
              </w:rPr>
            </w:pPr>
            <w:r>
              <w:rPr>
                <w:sz w:val="17"/>
              </w:rPr>
              <w:t>2,1</w:t>
            </w:r>
          </w:p>
        </w:tc>
        <w:tc>
          <w:tcPr>
            <w:tcW w:w="715" w:type="dxa"/>
          </w:tcPr>
          <w:p>
            <w:pPr>
              <w:pStyle w:val="TableParagraph"/>
              <w:spacing w:line="190" w:lineRule="exact" w:before="16"/>
              <w:ind w:left="113" w:right="117"/>
              <w:jc w:val="center"/>
              <w:rPr>
                <w:sz w:val="17"/>
              </w:rPr>
            </w:pPr>
            <w:r>
              <w:rPr>
                <w:sz w:val="17"/>
              </w:rPr>
              <w:t>2,2</w:t>
            </w:r>
          </w:p>
        </w:tc>
        <w:tc>
          <w:tcPr>
            <w:tcW w:w="715" w:type="dxa"/>
          </w:tcPr>
          <w:p>
            <w:pPr>
              <w:pStyle w:val="TableParagraph"/>
              <w:spacing w:line="190" w:lineRule="exact" w:before="16"/>
              <w:ind w:left="110" w:right="117"/>
              <w:jc w:val="center"/>
              <w:rPr>
                <w:sz w:val="17"/>
              </w:rPr>
            </w:pPr>
            <w:r>
              <w:rPr>
                <w:sz w:val="17"/>
              </w:rPr>
              <w:t>2,3</w:t>
            </w:r>
          </w:p>
        </w:tc>
        <w:tc>
          <w:tcPr>
            <w:tcW w:w="715" w:type="dxa"/>
          </w:tcPr>
          <w:p>
            <w:pPr>
              <w:pStyle w:val="TableParagraph"/>
              <w:spacing w:line="190" w:lineRule="exact" w:before="16"/>
              <w:ind w:left="110" w:right="117"/>
              <w:jc w:val="center"/>
              <w:rPr>
                <w:sz w:val="17"/>
              </w:rPr>
            </w:pPr>
            <w:r>
              <w:rPr>
                <w:sz w:val="17"/>
              </w:rPr>
              <w:t>2,2</w:t>
            </w:r>
          </w:p>
        </w:tc>
      </w:tr>
      <w:tr>
        <w:trPr>
          <w:trHeight w:val="227" w:hRule="atLeast"/>
        </w:trPr>
        <w:tc>
          <w:tcPr>
            <w:tcW w:w="4579" w:type="dxa"/>
          </w:tcPr>
          <w:p>
            <w:pPr>
              <w:pStyle w:val="TableParagraph"/>
              <w:spacing w:line="189" w:lineRule="exact" w:before="17"/>
              <w:ind w:left="71"/>
              <w:jc w:val="left"/>
              <w:rPr>
                <w:sz w:val="17"/>
              </w:rPr>
            </w:pPr>
            <w:r>
              <w:rPr>
                <w:sz w:val="17"/>
              </w:rPr>
              <w:t>- macchinari, attrezzature e vari</w:t>
            </w:r>
          </w:p>
        </w:tc>
        <w:tc>
          <w:tcPr>
            <w:tcW w:w="789" w:type="dxa"/>
          </w:tcPr>
          <w:p>
            <w:pPr>
              <w:pStyle w:val="TableParagraph"/>
              <w:spacing w:line="189" w:lineRule="exact" w:before="17"/>
              <w:ind w:left="188" w:right="117"/>
              <w:jc w:val="center"/>
              <w:rPr>
                <w:sz w:val="17"/>
              </w:rPr>
            </w:pPr>
            <w:r>
              <w:rPr>
                <w:sz w:val="17"/>
              </w:rPr>
              <w:t>2,6</w:t>
            </w:r>
          </w:p>
        </w:tc>
        <w:tc>
          <w:tcPr>
            <w:tcW w:w="715" w:type="dxa"/>
          </w:tcPr>
          <w:p>
            <w:pPr>
              <w:pStyle w:val="TableParagraph"/>
              <w:spacing w:line="189" w:lineRule="exact" w:before="17"/>
              <w:ind w:left="113" w:right="117"/>
              <w:jc w:val="center"/>
              <w:rPr>
                <w:sz w:val="17"/>
              </w:rPr>
            </w:pPr>
            <w:r>
              <w:rPr>
                <w:sz w:val="17"/>
              </w:rPr>
              <w:t>1,5</w:t>
            </w:r>
          </w:p>
        </w:tc>
        <w:tc>
          <w:tcPr>
            <w:tcW w:w="715" w:type="dxa"/>
          </w:tcPr>
          <w:p>
            <w:pPr>
              <w:pStyle w:val="TableParagraph"/>
              <w:spacing w:line="189" w:lineRule="exact" w:before="17"/>
              <w:ind w:left="113" w:right="117"/>
              <w:jc w:val="center"/>
              <w:rPr>
                <w:sz w:val="17"/>
              </w:rPr>
            </w:pPr>
            <w:r>
              <w:rPr>
                <w:sz w:val="17"/>
              </w:rPr>
              <w:t>2,0</w:t>
            </w:r>
          </w:p>
        </w:tc>
        <w:tc>
          <w:tcPr>
            <w:tcW w:w="715" w:type="dxa"/>
          </w:tcPr>
          <w:p>
            <w:pPr>
              <w:pStyle w:val="TableParagraph"/>
              <w:spacing w:line="189" w:lineRule="exact" w:before="17"/>
              <w:ind w:left="110" w:right="117"/>
              <w:jc w:val="center"/>
              <w:rPr>
                <w:sz w:val="17"/>
              </w:rPr>
            </w:pPr>
            <w:r>
              <w:rPr>
                <w:sz w:val="17"/>
              </w:rPr>
              <w:t>2,0</w:t>
            </w:r>
          </w:p>
        </w:tc>
        <w:tc>
          <w:tcPr>
            <w:tcW w:w="715" w:type="dxa"/>
          </w:tcPr>
          <w:p>
            <w:pPr>
              <w:pStyle w:val="TableParagraph"/>
              <w:spacing w:line="189" w:lineRule="exact" w:before="17"/>
              <w:ind w:left="110" w:right="117"/>
              <w:jc w:val="center"/>
              <w:rPr>
                <w:sz w:val="17"/>
              </w:rPr>
            </w:pPr>
            <w:r>
              <w:rPr>
                <w:sz w:val="17"/>
              </w:rPr>
              <w:t>2,3</w:t>
            </w:r>
          </w:p>
        </w:tc>
      </w:tr>
      <w:tr>
        <w:trPr>
          <w:trHeight w:val="227" w:hRule="atLeast"/>
        </w:trPr>
        <w:tc>
          <w:tcPr>
            <w:tcW w:w="4579" w:type="dxa"/>
          </w:tcPr>
          <w:p>
            <w:pPr>
              <w:pStyle w:val="TableParagraph"/>
              <w:spacing w:line="190" w:lineRule="exact" w:before="17"/>
              <w:ind w:left="71"/>
              <w:jc w:val="left"/>
              <w:rPr>
                <w:sz w:val="17"/>
              </w:rPr>
            </w:pPr>
            <w:r>
              <w:rPr>
                <w:sz w:val="17"/>
              </w:rPr>
              <w:t>- mezzi di trasporto</w:t>
            </w:r>
          </w:p>
        </w:tc>
        <w:tc>
          <w:tcPr>
            <w:tcW w:w="789" w:type="dxa"/>
          </w:tcPr>
          <w:p>
            <w:pPr>
              <w:pStyle w:val="TableParagraph"/>
              <w:spacing w:line="190" w:lineRule="exact" w:before="17"/>
              <w:ind w:left="188" w:right="117"/>
              <w:jc w:val="center"/>
              <w:rPr>
                <w:sz w:val="17"/>
              </w:rPr>
            </w:pPr>
            <w:r>
              <w:rPr>
                <w:sz w:val="17"/>
              </w:rPr>
              <w:t>8,8</w:t>
            </w:r>
          </w:p>
        </w:tc>
        <w:tc>
          <w:tcPr>
            <w:tcW w:w="715" w:type="dxa"/>
          </w:tcPr>
          <w:p>
            <w:pPr>
              <w:pStyle w:val="TableParagraph"/>
              <w:spacing w:line="190" w:lineRule="exact" w:before="17"/>
              <w:ind w:left="113" w:right="117"/>
              <w:jc w:val="center"/>
              <w:rPr>
                <w:sz w:val="17"/>
              </w:rPr>
            </w:pPr>
            <w:r>
              <w:rPr>
                <w:sz w:val="17"/>
              </w:rPr>
              <w:t>0,3</w:t>
            </w:r>
          </w:p>
        </w:tc>
        <w:tc>
          <w:tcPr>
            <w:tcW w:w="715" w:type="dxa"/>
          </w:tcPr>
          <w:p>
            <w:pPr>
              <w:pStyle w:val="TableParagraph"/>
              <w:spacing w:line="190" w:lineRule="exact" w:before="17"/>
              <w:ind w:left="113" w:right="117"/>
              <w:jc w:val="center"/>
              <w:rPr>
                <w:sz w:val="17"/>
              </w:rPr>
            </w:pPr>
            <w:r>
              <w:rPr>
                <w:sz w:val="17"/>
              </w:rPr>
              <w:t>2,2</w:t>
            </w:r>
          </w:p>
        </w:tc>
        <w:tc>
          <w:tcPr>
            <w:tcW w:w="715" w:type="dxa"/>
          </w:tcPr>
          <w:p>
            <w:pPr>
              <w:pStyle w:val="TableParagraph"/>
              <w:spacing w:line="190" w:lineRule="exact" w:before="17"/>
              <w:ind w:left="110" w:right="117"/>
              <w:jc w:val="center"/>
              <w:rPr>
                <w:sz w:val="17"/>
              </w:rPr>
            </w:pPr>
            <w:r>
              <w:rPr>
                <w:sz w:val="17"/>
              </w:rPr>
              <w:t>1,6</w:t>
            </w:r>
          </w:p>
        </w:tc>
        <w:tc>
          <w:tcPr>
            <w:tcW w:w="715" w:type="dxa"/>
          </w:tcPr>
          <w:p>
            <w:pPr>
              <w:pStyle w:val="TableParagraph"/>
              <w:spacing w:line="190" w:lineRule="exact" w:before="17"/>
              <w:ind w:left="110" w:right="117"/>
              <w:jc w:val="center"/>
              <w:rPr>
                <w:sz w:val="17"/>
              </w:rPr>
            </w:pPr>
            <w:r>
              <w:rPr>
                <w:sz w:val="17"/>
              </w:rPr>
              <w:t>1,5</w:t>
            </w:r>
          </w:p>
        </w:tc>
      </w:tr>
      <w:tr>
        <w:trPr>
          <w:trHeight w:val="228" w:hRule="atLeast"/>
        </w:trPr>
        <w:tc>
          <w:tcPr>
            <w:tcW w:w="4579" w:type="dxa"/>
          </w:tcPr>
          <w:p>
            <w:pPr>
              <w:pStyle w:val="TableParagraph"/>
              <w:spacing w:line="190" w:lineRule="exact" w:before="17"/>
              <w:ind w:left="71"/>
              <w:jc w:val="left"/>
              <w:rPr>
                <w:sz w:val="17"/>
              </w:rPr>
            </w:pPr>
            <w:r>
              <w:rPr>
                <w:sz w:val="17"/>
              </w:rPr>
              <w:t>- costruzioni</w:t>
            </w:r>
          </w:p>
        </w:tc>
        <w:tc>
          <w:tcPr>
            <w:tcW w:w="789" w:type="dxa"/>
          </w:tcPr>
          <w:p>
            <w:pPr>
              <w:pStyle w:val="TableParagraph"/>
              <w:spacing w:line="190" w:lineRule="exact" w:before="17"/>
              <w:ind w:left="188" w:right="117"/>
              <w:jc w:val="center"/>
              <w:rPr>
                <w:sz w:val="17"/>
              </w:rPr>
            </w:pPr>
            <w:r>
              <w:rPr>
                <w:sz w:val="17"/>
              </w:rPr>
              <w:t>2,9</w:t>
            </w:r>
          </w:p>
        </w:tc>
        <w:tc>
          <w:tcPr>
            <w:tcW w:w="715" w:type="dxa"/>
          </w:tcPr>
          <w:p>
            <w:pPr>
              <w:pStyle w:val="TableParagraph"/>
              <w:spacing w:line="190" w:lineRule="exact" w:before="17"/>
              <w:ind w:left="113" w:right="117"/>
              <w:jc w:val="center"/>
              <w:rPr>
                <w:sz w:val="17"/>
              </w:rPr>
            </w:pPr>
            <w:r>
              <w:rPr>
                <w:sz w:val="17"/>
              </w:rPr>
              <w:t>3,1</w:t>
            </w:r>
          </w:p>
        </w:tc>
        <w:tc>
          <w:tcPr>
            <w:tcW w:w="715" w:type="dxa"/>
          </w:tcPr>
          <w:p>
            <w:pPr>
              <w:pStyle w:val="TableParagraph"/>
              <w:spacing w:line="190" w:lineRule="exact" w:before="17"/>
              <w:ind w:left="113" w:right="117"/>
              <w:jc w:val="center"/>
              <w:rPr>
                <w:sz w:val="17"/>
              </w:rPr>
            </w:pPr>
            <w:r>
              <w:rPr>
                <w:sz w:val="17"/>
              </w:rPr>
              <w:t>2,3</w:t>
            </w:r>
          </w:p>
        </w:tc>
        <w:tc>
          <w:tcPr>
            <w:tcW w:w="715" w:type="dxa"/>
          </w:tcPr>
          <w:p>
            <w:pPr>
              <w:pStyle w:val="TableParagraph"/>
              <w:spacing w:line="190" w:lineRule="exact" w:before="17"/>
              <w:ind w:left="110" w:right="117"/>
              <w:jc w:val="center"/>
              <w:rPr>
                <w:sz w:val="17"/>
              </w:rPr>
            </w:pPr>
            <w:r>
              <w:rPr>
                <w:sz w:val="17"/>
              </w:rPr>
              <w:t>2,6</w:t>
            </w:r>
          </w:p>
        </w:tc>
        <w:tc>
          <w:tcPr>
            <w:tcW w:w="715" w:type="dxa"/>
          </w:tcPr>
          <w:p>
            <w:pPr>
              <w:pStyle w:val="TableParagraph"/>
              <w:spacing w:line="190" w:lineRule="exact" w:before="17"/>
              <w:ind w:left="110" w:right="117"/>
              <w:jc w:val="center"/>
              <w:rPr>
                <w:sz w:val="17"/>
              </w:rPr>
            </w:pPr>
            <w:r>
              <w:rPr>
                <w:sz w:val="17"/>
              </w:rPr>
              <w:t>2,2</w:t>
            </w:r>
          </w:p>
        </w:tc>
      </w:tr>
      <w:tr>
        <w:trPr>
          <w:trHeight w:val="295" w:hRule="atLeast"/>
        </w:trPr>
        <w:tc>
          <w:tcPr>
            <w:tcW w:w="4579" w:type="dxa"/>
          </w:tcPr>
          <w:p>
            <w:pPr>
              <w:pStyle w:val="TableParagraph"/>
              <w:spacing w:before="17"/>
              <w:ind w:left="28"/>
              <w:jc w:val="left"/>
              <w:rPr>
                <w:sz w:val="17"/>
              </w:rPr>
            </w:pPr>
            <w:r>
              <w:rPr>
                <w:sz w:val="17"/>
              </w:rPr>
              <w:t>Esportazioni</w:t>
            </w:r>
          </w:p>
        </w:tc>
        <w:tc>
          <w:tcPr>
            <w:tcW w:w="789" w:type="dxa"/>
          </w:tcPr>
          <w:p>
            <w:pPr>
              <w:pStyle w:val="TableParagraph"/>
              <w:spacing w:before="17"/>
              <w:ind w:left="188" w:right="117"/>
              <w:jc w:val="center"/>
              <w:rPr>
                <w:sz w:val="17"/>
              </w:rPr>
            </w:pPr>
            <w:r>
              <w:rPr>
                <w:sz w:val="17"/>
              </w:rPr>
              <w:t>1,8</w:t>
            </w:r>
          </w:p>
        </w:tc>
        <w:tc>
          <w:tcPr>
            <w:tcW w:w="715" w:type="dxa"/>
          </w:tcPr>
          <w:p>
            <w:pPr>
              <w:pStyle w:val="TableParagraph"/>
              <w:spacing w:before="17"/>
              <w:ind w:left="113" w:right="117"/>
              <w:jc w:val="center"/>
              <w:rPr>
                <w:sz w:val="17"/>
              </w:rPr>
            </w:pPr>
            <w:r>
              <w:rPr>
                <w:sz w:val="17"/>
              </w:rPr>
              <w:t>2,8</w:t>
            </w:r>
          </w:p>
        </w:tc>
        <w:tc>
          <w:tcPr>
            <w:tcW w:w="715" w:type="dxa"/>
          </w:tcPr>
          <w:p>
            <w:pPr>
              <w:pStyle w:val="TableParagraph"/>
              <w:spacing w:before="17"/>
              <w:ind w:left="113" w:right="117"/>
              <w:jc w:val="center"/>
              <w:rPr>
                <w:sz w:val="17"/>
              </w:rPr>
            </w:pPr>
            <w:r>
              <w:rPr>
                <w:sz w:val="17"/>
              </w:rPr>
              <w:t>2,2</w:t>
            </w:r>
          </w:p>
        </w:tc>
        <w:tc>
          <w:tcPr>
            <w:tcW w:w="715" w:type="dxa"/>
          </w:tcPr>
          <w:p>
            <w:pPr>
              <w:pStyle w:val="TableParagraph"/>
              <w:spacing w:before="17"/>
              <w:ind w:left="110" w:right="117"/>
              <w:jc w:val="center"/>
              <w:rPr>
                <w:sz w:val="17"/>
              </w:rPr>
            </w:pPr>
            <w:r>
              <w:rPr>
                <w:sz w:val="17"/>
              </w:rPr>
              <w:t>2,9</w:t>
            </w:r>
          </w:p>
        </w:tc>
        <w:tc>
          <w:tcPr>
            <w:tcW w:w="715" w:type="dxa"/>
          </w:tcPr>
          <w:p>
            <w:pPr>
              <w:pStyle w:val="TableParagraph"/>
              <w:spacing w:before="17"/>
              <w:ind w:left="110" w:right="117"/>
              <w:jc w:val="center"/>
              <w:rPr>
                <w:sz w:val="17"/>
              </w:rPr>
            </w:pPr>
            <w:r>
              <w:rPr>
                <w:sz w:val="17"/>
              </w:rPr>
              <w:t>3,1</w:t>
            </w:r>
          </w:p>
        </w:tc>
      </w:tr>
      <w:tr>
        <w:trPr>
          <w:trHeight w:val="353" w:hRule="atLeast"/>
        </w:trPr>
        <w:tc>
          <w:tcPr>
            <w:tcW w:w="4579" w:type="dxa"/>
            <w:tcBorders>
              <w:bottom w:val="single" w:sz="2" w:space="0" w:color="000000"/>
            </w:tcBorders>
          </w:tcPr>
          <w:p>
            <w:pPr>
              <w:pStyle w:val="TableParagraph"/>
              <w:spacing w:before="85"/>
              <w:ind w:left="28"/>
              <w:jc w:val="left"/>
              <w:rPr>
                <w:i/>
                <w:sz w:val="17"/>
              </w:rPr>
            </w:pPr>
            <w:r>
              <w:rPr>
                <w:i/>
                <w:sz w:val="17"/>
              </w:rPr>
              <w:t>pm. saldo corrente bil. pag.in % PIL</w:t>
            </w:r>
          </w:p>
        </w:tc>
        <w:tc>
          <w:tcPr>
            <w:tcW w:w="789" w:type="dxa"/>
            <w:tcBorders>
              <w:bottom w:val="single" w:sz="2" w:space="0" w:color="000000"/>
            </w:tcBorders>
          </w:tcPr>
          <w:p>
            <w:pPr>
              <w:pStyle w:val="TableParagraph"/>
              <w:spacing w:before="85"/>
              <w:ind w:left="188" w:right="117"/>
              <w:jc w:val="center"/>
              <w:rPr>
                <w:i/>
                <w:sz w:val="17"/>
              </w:rPr>
            </w:pPr>
            <w:r>
              <w:rPr>
                <w:i/>
                <w:sz w:val="17"/>
              </w:rPr>
              <w:t>2,5</w:t>
            </w:r>
          </w:p>
        </w:tc>
        <w:tc>
          <w:tcPr>
            <w:tcW w:w="715" w:type="dxa"/>
            <w:tcBorders>
              <w:bottom w:val="single" w:sz="2" w:space="0" w:color="000000"/>
            </w:tcBorders>
          </w:tcPr>
          <w:p>
            <w:pPr>
              <w:pStyle w:val="TableParagraph"/>
              <w:spacing w:before="85"/>
              <w:ind w:left="113" w:right="117"/>
              <w:jc w:val="center"/>
              <w:rPr>
                <w:i/>
                <w:sz w:val="17"/>
              </w:rPr>
            </w:pPr>
            <w:r>
              <w:rPr>
                <w:i/>
                <w:sz w:val="17"/>
              </w:rPr>
              <w:t>2,7</w:t>
            </w:r>
          </w:p>
        </w:tc>
        <w:tc>
          <w:tcPr>
            <w:tcW w:w="715" w:type="dxa"/>
            <w:tcBorders>
              <w:bottom w:val="single" w:sz="2" w:space="0" w:color="000000"/>
            </w:tcBorders>
          </w:tcPr>
          <w:p>
            <w:pPr>
              <w:pStyle w:val="TableParagraph"/>
              <w:spacing w:before="85"/>
              <w:ind w:left="113" w:right="117"/>
              <w:jc w:val="center"/>
              <w:rPr>
                <w:i/>
                <w:sz w:val="17"/>
              </w:rPr>
            </w:pPr>
            <w:r>
              <w:rPr>
                <w:i/>
                <w:sz w:val="17"/>
              </w:rPr>
              <w:t>2,7</w:t>
            </w:r>
          </w:p>
        </w:tc>
        <w:tc>
          <w:tcPr>
            <w:tcW w:w="715" w:type="dxa"/>
            <w:tcBorders>
              <w:bottom w:val="single" w:sz="2" w:space="0" w:color="000000"/>
            </w:tcBorders>
          </w:tcPr>
          <w:p>
            <w:pPr>
              <w:pStyle w:val="TableParagraph"/>
              <w:spacing w:before="85"/>
              <w:ind w:left="110" w:right="117"/>
              <w:jc w:val="center"/>
              <w:rPr>
                <w:i/>
                <w:sz w:val="17"/>
              </w:rPr>
            </w:pPr>
            <w:r>
              <w:rPr>
                <w:i/>
                <w:sz w:val="17"/>
              </w:rPr>
              <w:t>2,6</w:t>
            </w:r>
          </w:p>
        </w:tc>
        <w:tc>
          <w:tcPr>
            <w:tcW w:w="715" w:type="dxa"/>
            <w:tcBorders>
              <w:bottom w:val="single" w:sz="2" w:space="0" w:color="000000"/>
            </w:tcBorders>
          </w:tcPr>
          <w:p>
            <w:pPr>
              <w:pStyle w:val="TableParagraph"/>
              <w:spacing w:before="85"/>
              <w:ind w:left="110" w:right="117"/>
              <w:jc w:val="center"/>
              <w:rPr>
                <w:i/>
                <w:sz w:val="17"/>
              </w:rPr>
            </w:pPr>
            <w:r>
              <w:rPr>
                <w:i/>
                <w:sz w:val="17"/>
              </w:rPr>
              <w:t>2,5</w:t>
            </w:r>
          </w:p>
        </w:tc>
      </w:tr>
      <w:tr>
        <w:trPr>
          <w:trHeight w:val="455" w:hRule="atLeast"/>
        </w:trPr>
        <w:tc>
          <w:tcPr>
            <w:tcW w:w="4579" w:type="dxa"/>
            <w:tcBorders>
              <w:top w:val="single" w:sz="2" w:space="0" w:color="000000"/>
            </w:tcBorders>
          </w:tcPr>
          <w:p>
            <w:pPr>
              <w:pStyle w:val="TableParagraph"/>
              <w:spacing w:before="17"/>
              <w:ind w:left="28"/>
              <w:jc w:val="left"/>
              <w:rPr>
                <w:sz w:val="17"/>
              </w:rPr>
            </w:pPr>
            <w:r>
              <w:rPr>
                <w:sz w:val="17"/>
              </w:rPr>
              <w:t>CONTRIBUTI ALLA CRESCITA DEL PIL (*)</w:t>
            </w:r>
          </w:p>
          <w:p>
            <w:pPr>
              <w:pStyle w:val="TableParagraph"/>
              <w:spacing w:line="190" w:lineRule="exact" w:before="35"/>
              <w:ind w:left="28"/>
              <w:jc w:val="left"/>
              <w:rPr>
                <w:sz w:val="17"/>
              </w:rPr>
            </w:pPr>
            <w:r>
              <w:rPr>
                <w:sz w:val="17"/>
              </w:rPr>
              <w:t>Esportazioni nette</w:t>
            </w:r>
          </w:p>
        </w:tc>
        <w:tc>
          <w:tcPr>
            <w:tcW w:w="789" w:type="dxa"/>
            <w:tcBorders>
              <w:top w:val="single" w:sz="2" w:space="0" w:color="000000"/>
            </w:tcBorders>
          </w:tcPr>
          <w:p>
            <w:pPr>
              <w:pStyle w:val="TableParagraph"/>
              <w:spacing w:before="1"/>
              <w:jc w:val="left"/>
              <w:rPr>
                <w:rFonts w:ascii="Trebuchet MS"/>
                <w:sz w:val="21"/>
              </w:rPr>
            </w:pPr>
          </w:p>
          <w:p>
            <w:pPr>
              <w:pStyle w:val="TableParagraph"/>
              <w:spacing w:line="190" w:lineRule="exact"/>
              <w:ind w:left="188" w:right="117"/>
              <w:jc w:val="center"/>
              <w:rPr>
                <w:sz w:val="17"/>
              </w:rPr>
            </w:pPr>
            <w:r>
              <w:rPr>
                <w:sz w:val="17"/>
              </w:rPr>
              <w:t>-0,3</w:t>
            </w:r>
          </w:p>
        </w:tc>
        <w:tc>
          <w:tcPr>
            <w:tcW w:w="715" w:type="dxa"/>
            <w:tcBorders>
              <w:top w:val="single" w:sz="2" w:space="0" w:color="000000"/>
            </w:tcBorders>
          </w:tcPr>
          <w:p>
            <w:pPr>
              <w:pStyle w:val="TableParagraph"/>
              <w:spacing w:before="1"/>
              <w:jc w:val="left"/>
              <w:rPr>
                <w:rFonts w:ascii="Trebuchet MS"/>
                <w:sz w:val="21"/>
              </w:rPr>
            </w:pPr>
          </w:p>
          <w:p>
            <w:pPr>
              <w:pStyle w:val="TableParagraph"/>
              <w:spacing w:line="190" w:lineRule="exact"/>
              <w:ind w:left="113" w:right="117"/>
              <w:jc w:val="center"/>
              <w:rPr>
                <w:sz w:val="17"/>
              </w:rPr>
            </w:pPr>
            <w:r>
              <w:rPr>
                <w:sz w:val="17"/>
              </w:rPr>
              <w:t>0,6</w:t>
            </w:r>
          </w:p>
        </w:tc>
        <w:tc>
          <w:tcPr>
            <w:tcW w:w="715" w:type="dxa"/>
            <w:tcBorders>
              <w:top w:val="single" w:sz="2" w:space="0" w:color="000000"/>
            </w:tcBorders>
          </w:tcPr>
          <w:p>
            <w:pPr>
              <w:pStyle w:val="TableParagraph"/>
              <w:spacing w:before="1"/>
              <w:jc w:val="left"/>
              <w:rPr>
                <w:rFonts w:ascii="Trebuchet MS"/>
                <w:sz w:val="21"/>
              </w:rPr>
            </w:pPr>
          </w:p>
          <w:p>
            <w:pPr>
              <w:pStyle w:val="TableParagraph"/>
              <w:spacing w:line="190" w:lineRule="exact"/>
              <w:ind w:left="113" w:right="117"/>
              <w:jc w:val="center"/>
              <w:rPr>
                <w:sz w:val="17"/>
              </w:rPr>
            </w:pPr>
            <w:r>
              <w:rPr>
                <w:sz w:val="17"/>
              </w:rPr>
              <w:t>0,1</w:t>
            </w:r>
          </w:p>
        </w:tc>
        <w:tc>
          <w:tcPr>
            <w:tcW w:w="715" w:type="dxa"/>
            <w:tcBorders>
              <w:top w:val="single" w:sz="2" w:space="0" w:color="000000"/>
            </w:tcBorders>
          </w:tcPr>
          <w:p>
            <w:pPr>
              <w:pStyle w:val="TableParagraph"/>
              <w:spacing w:before="1"/>
              <w:jc w:val="left"/>
              <w:rPr>
                <w:rFonts w:ascii="Trebuchet MS"/>
                <w:sz w:val="21"/>
              </w:rPr>
            </w:pPr>
          </w:p>
          <w:p>
            <w:pPr>
              <w:pStyle w:val="TableParagraph"/>
              <w:spacing w:line="190" w:lineRule="exact"/>
              <w:ind w:left="110" w:right="117"/>
              <w:jc w:val="center"/>
              <w:rPr>
                <w:sz w:val="17"/>
              </w:rPr>
            </w:pPr>
            <w:r>
              <w:rPr>
                <w:sz w:val="17"/>
              </w:rPr>
              <w:t>-0,1</w:t>
            </w:r>
          </w:p>
        </w:tc>
        <w:tc>
          <w:tcPr>
            <w:tcW w:w="715" w:type="dxa"/>
            <w:tcBorders>
              <w:top w:val="single" w:sz="2" w:space="0" w:color="000000"/>
            </w:tcBorders>
          </w:tcPr>
          <w:p>
            <w:pPr>
              <w:pStyle w:val="TableParagraph"/>
              <w:spacing w:before="1"/>
              <w:jc w:val="left"/>
              <w:rPr>
                <w:rFonts w:ascii="Trebuchet MS"/>
                <w:sz w:val="21"/>
              </w:rPr>
            </w:pPr>
          </w:p>
          <w:p>
            <w:pPr>
              <w:pStyle w:val="TableParagraph"/>
              <w:spacing w:line="190" w:lineRule="exact"/>
              <w:ind w:left="110" w:right="117"/>
              <w:jc w:val="center"/>
              <w:rPr>
                <w:sz w:val="17"/>
              </w:rPr>
            </w:pPr>
            <w:r>
              <w:rPr>
                <w:sz w:val="17"/>
              </w:rPr>
              <w:t>0,0</w:t>
            </w:r>
          </w:p>
        </w:tc>
      </w:tr>
      <w:tr>
        <w:trPr>
          <w:trHeight w:val="226" w:hRule="atLeast"/>
        </w:trPr>
        <w:tc>
          <w:tcPr>
            <w:tcW w:w="4579" w:type="dxa"/>
          </w:tcPr>
          <w:p>
            <w:pPr>
              <w:pStyle w:val="TableParagraph"/>
              <w:spacing w:line="189" w:lineRule="exact" w:before="17"/>
              <w:ind w:left="28"/>
              <w:jc w:val="left"/>
              <w:rPr>
                <w:sz w:val="17"/>
              </w:rPr>
            </w:pPr>
            <w:r>
              <w:rPr>
                <w:sz w:val="17"/>
              </w:rPr>
              <w:t>Scorte</w:t>
            </w:r>
          </w:p>
        </w:tc>
        <w:tc>
          <w:tcPr>
            <w:tcW w:w="789" w:type="dxa"/>
          </w:tcPr>
          <w:p>
            <w:pPr>
              <w:pStyle w:val="TableParagraph"/>
              <w:spacing w:line="189" w:lineRule="exact" w:before="17"/>
              <w:ind w:left="188" w:right="117"/>
              <w:jc w:val="center"/>
              <w:rPr>
                <w:sz w:val="17"/>
              </w:rPr>
            </w:pPr>
            <w:r>
              <w:rPr>
                <w:sz w:val="17"/>
              </w:rPr>
              <w:t>-0,1</w:t>
            </w:r>
          </w:p>
        </w:tc>
        <w:tc>
          <w:tcPr>
            <w:tcW w:w="715" w:type="dxa"/>
          </w:tcPr>
          <w:p>
            <w:pPr>
              <w:pStyle w:val="TableParagraph"/>
              <w:spacing w:line="189" w:lineRule="exact" w:before="17"/>
              <w:ind w:left="113" w:right="117"/>
              <w:jc w:val="center"/>
              <w:rPr>
                <w:sz w:val="17"/>
              </w:rPr>
            </w:pPr>
            <w:r>
              <w:rPr>
                <w:sz w:val="17"/>
              </w:rPr>
              <w:t>-1,1</w:t>
            </w:r>
          </w:p>
        </w:tc>
        <w:tc>
          <w:tcPr>
            <w:tcW w:w="715" w:type="dxa"/>
          </w:tcPr>
          <w:p>
            <w:pPr>
              <w:pStyle w:val="TableParagraph"/>
              <w:spacing w:line="189" w:lineRule="exact" w:before="17"/>
              <w:ind w:left="113" w:right="117"/>
              <w:jc w:val="center"/>
              <w:rPr>
                <w:sz w:val="17"/>
              </w:rPr>
            </w:pPr>
            <w:r>
              <w:rPr>
                <w:sz w:val="17"/>
              </w:rPr>
              <w:t>-0,2</w:t>
            </w:r>
          </w:p>
        </w:tc>
        <w:tc>
          <w:tcPr>
            <w:tcW w:w="715" w:type="dxa"/>
          </w:tcPr>
          <w:p>
            <w:pPr>
              <w:pStyle w:val="TableParagraph"/>
              <w:spacing w:line="189" w:lineRule="exact" w:before="17"/>
              <w:ind w:left="110" w:right="117"/>
              <w:jc w:val="center"/>
              <w:rPr>
                <w:sz w:val="17"/>
              </w:rPr>
            </w:pPr>
            <w:r>
              <w:rPr>
                <w:sz w:val="17"/>
              </w:rPr>
              <w:t>0,1</w:t>
            </w:r>
          </w:p>
        </w:tc>
        <w:tc>
          <w:tcPr>
            <w:tcW w:w="715" w:type="dxa"/>
          </w:tcPr>
          <w:p>
            <w:pPr>
              <w:pStyle w:val="TableParagraph"/>
              <w:spacing w:line="189" w:lineRule="exact" w:before="17"/>
              <w:ind w:left="110" w:right="117"/>
              <w:jc w:val="center"/>
              <w:rPr>
                <w:sz w:val="17"/>
              </w:rPr>
            </w:pPr>
            <w:r>
              <w:rPr>
                <w:sz w:val="17"/>
              </w:rPr>
              <w:t>0,2</w:t>
            </w:r>
          </w:p>
        </w:tc>
      </w:tr>
      <w:tr>
        <w:trPr>
          <w:trHeight w:val="452" w:hRule="atLeast"/>
        </w:trPr>
        <w:tc>
          <w:tcPr>
            <w:tcW w:w="4579" w:type="dxa"/>
            <w:tcBorders>
              <w:bottom w:val="single" w:sz="4" w:space="0" w:color="000000"/>
            </w:tcBorders>
          </w:tcPr>
          <w:p>
            <w:pPr>
              <w:pStyle w:val="TableParagraph"/>
              <w:spacing w:before="16"/>
              <w:ind w:left="28"/>
              <w:jc w:val="left"/>
              <w:rPr>
                <w:sz w:val="17"/>
              </w:rPr>
            </w:pPr>
            <w:r>
              <w:rPr>
                <w:sz w:val="17"/>
              </w:rPr>
              <w:t>Domanda nazionale al netto delle scorte</w:t>
            </w:r>
          </w:p>
        </w:tc>
        <w:tc>
          <w:tcPr>
            <w:tcW w:w="789" w:type="dxa"/>
            <w:tcBorders>
              <w:bottom w:val="single" w:sz="4" w:space="0" w:color="000000"/>
            </w:tcBorders>
          </w:tcPr>
          <w:p>
            <w:pPr>
              <w:pStyle w:val="TableParagraph"/>
              <w:spacing w:before="16"/>
              <w:ind w:left="188" w:right="117"/>
              <w:jc w:val="center"/>
              <w:rPr>
                <w:sz w:val="17"/>
              </w:rPr>
            </w:pPr>
            <w:r>
              <w:rPr>
                <w:sz w:val="17"/>
              </w:rPr>
              <w:t>1,1</w:t>
            </w:r>
          </w:p>
        </w:tc>
        <w:tc>
          <w:tcPr>
            <w:tcW w:w="715" w:type="dxa"/>
            <w:tcBorders>
              <w:bottom w:val="single" w:sz="4" w:space="0" w:color="000000"/>
            </w:tcBorders>
          </w:tcPr>
          <w:p>
            <w:pPr>
              <w:pStyle w:val="TableParagraph"/>
              <w:spacing w:before="16"/>
              <w:ind w:left="113" w:right="117"/>
              <w:jc w:val="center"/>
              <w:rPr>
                <w:sz w:val="17"/>
              </w:rPr>
            </w:pPr>
            <w:r>
              <w:rPr>
                <w:sz w:val="17"/>
              </w:rPr>
              <w:t>0,6</w:t>
            </w:r>
          </w:p>
        </w:tc>
        <w:tc>
          <w:tcPr>
            <w:tcW w:w="715" w:type="dxa"/>
            <w:tcBorders>
              <w:bottom w:val="single" w:sz="4" w:space="0" w:color="000000"/>
            </w:tcBorders>
          </w:tcPr>
          <w:p>
            <w:pPr>
              <w:pStyle w:val="TableParagraph"/>
              <w:spacing w:before="16"/>
              <w:ind w:left="113" w:right="117"/>
              <w:jc w:val="center"/>
              <w:rPr>
                <w:sz w:val="17"/>
              </w:rPr>
            </w:pPr>
            <w:r>
              <w:rPr>
                <w:sz w:val="17"/>
              </w:rPr>
              <w:t>0,8</w:t>
            </w:r>
          </w:p>
        </w:tc>
        <w:tc>
          <w:tcPr>
            <w:tcW w:w="715" w:type="dxa"/>
            <w:tcBorders>
              <w:bottom w:val="single" w:sz="4" w:space="0" w:color="000000"/>
            </w:tcBorders>
          </w:tcPr>
          <w:p>
            <w:pPr>
              <w:pStyle w:val="TableParagraph"/>
              <w:spacing w:before="16"/>
              <w:ind w:left="110" w:right="117"/>
              <w:jc w:val="center"/>
              <w:rPr>
                <w:sz w:val="17"/>
              </w:rPr>
            </w:pPr>
            <w:r>
              <w:rPr>
                <w:sz w:val="17"/>
              </w:rPr>
              <w:t>0,9</w:t>
            </w:r>
          </w:p>
        </w:tc>
        <w:tc>
          <w:tcPr>
            <w:tcW w:w="715" w:type="dxa"/>
            <w:tcBorders>
              <w:bottom w:val="single" w:sz="4" w:space="0" w:color="000000"/>
            </w:tcBorders>
          </w:tcPr>
          <w:p>
            <w:pPr>
              <w:pStyle w:val="TableParagraph"/>
              <w:spacing w:before="16"/>
              <w:ind w:left="110" w:right="117"/>
              <w:jc w:val="center"/>
              <w:rPr>
                <w:sz w:val="17"/>
              </w:rPr>
            </w:pPr>
            <w:r>
              <w:rPr>
                <w:sz w:val="17"/>
              </w:rPr>
              <w:t>0,8</w:t>
            </w:r>
          </w:p>
        </w:tc>
      </w:tr>
      <w:tr>
        <w:trPr>
          <w:trHeight w:val="455" w:hRule="atLeast"/>
        </w:trPr>
        <w:tc>
          <w:tcPr>
            <w:tcW w:w="4579" w:type="dxa"/>
            <w:tcBorders>
              <w:top w:val="single" w:sz="4" w:space="0" w:color="000000"/>
            </w:tcBorders>
          </w:tcPr>
          <w:p>
            <w:pPr>
              <w:pStyle w:val="TableParagraph"/>
              <w:spacing w:before="16"/>
              <w:ind w:left="28"/>
              <w:jc w:val="left"/>
              <w:rPr>
                <w:sz w:val="17"/>
              </w:rPr>
            </w:pPr>
            <w:r>
              <w:rPr>
                <w:sz w:val="17"/>
              </w:rPr>
              <w:t>PREZZI</w:t>
            </w:r>
          </w:p>
          <w:p>
            <w:pPr>
              <w:pStyle w:val="TableParagraph"/>
              <w:spacing w:line="190" w:lineRule="exact" w:before="36"/>
              <w:ind w:left="28"/>
              <w:jc w:val="left"/>
              <w:rPr>
                <w:sz w:val="17"/>
              </w:rPr>
            </w:pPr>
            <w:r>
              <w:rPr>
                <w:sz w:val="17"/>
              </w:rPr>
              <w:t>Deflatore importazioni</w:t>
            </w:r>
          </w:p>
        </w:tc>
        <w:tc>
          <w:tcPr>
            <w:tcW w:w="789" w:type="dxa"/>
            <w:tcBorders>
              <w:top w:val="single" w:sz="4" w:space="0" w:color="000000"/>
            </w:tcBorders>
          </w:tcPr>
          <w:p>
            <w:pPr>
              <w:pStyle w:val="TableParagraph"/>
              <w:jc w:val="left"/>
              <w:rPr>
                <w:rFonts w:ascii="Trebuchet MS"/>
                <w:sz w:val="21"/>
              </w:rPr>
            </w:pPr>
          </w:p>
          <w:p>
            <w:pPr>
              <w:pStyle w:val="TableParagraph"/>
              <w:spacing w:line="190" w:lineRule="exact" w:before="1"/>
              <w:ind w:left="188" w:right="117"/>
              <w:jc w:val="center"/>
              <w:rPr>
                <w:sz w:val="17"/>
              </w:rPr>
            </w:pPr>
            <w:r>
              <w:rPr>
                <w:sz w:val="17"/>
              </w:rPr>
              <w:t>2,6</w:t>
            </w:r>
          </w:p>
        </w:tc>
        <w:tc>
          <w:tcPr>
            <w:tcW w:w="715" w:type="dxa"/>
            <w:tcBorders>
              <w:top w:val="single" w:sz="4" w:space="0" w:color="000000"/>
            </w:tcBorders>
          </w:tcPr>
          <w:p>
            <w:pPr>
              <w:pStyle w:val="TableParagraph"/>
              <w:jc w:val="left"/>
              <w:rPr>
                <w:rFonts w:ascii="Trebuchet MS"/>
                <w:sz w:val="21"/>
              </w:rPr>
            </w:pPr>
          </w:p>
          <w:p>
            <w:pPr>
              <w:pStyle w:val="TableParagraph"/>
              <w:spacing w:line="190" w:lineRule="exact" w:before="1"/>
              <w:ind w:left="113" w:right="117"/>
              <w:jc w:val="center"/>
              <w:rPr>
                <w:sz w:val="17"/>
              </w:rPr>
            </w:pPr>
            <w:r>
              <w:rPr>
                <w:sz w:val="17"/>
              </w:rPr>
              <w:t>0,5</w:t>
            </w:r>
          </w:p>
        </w:tc>
        <w:tc>
          <w:tcPr>
            <w:tcW w:w="715" w:type="dxa"/>
            <w:tcBorders>
              <w:top w:val="single" w:sz="4" w:space="0" w:color="000000"/>
            </w:tcBorders>
          </w:tcPr>
          <w:p>
            <w:pPr>
              <w:pStyle w:val="TableParagraph"/>
              <w:jc w:val="left"/>
              <w:rPr>
                <w:rFonts w:ascii="Trebuchet MS"/>
                <w:sz w:val="21"/>
              </w:rPr>
            </w:pPr>
          </w:p>
          <w:p>
            <w:pPr>
              <w:pStyle w:val="TableParagraph"/>
              <w:spacing w:line="190" w:lineRule="exact" w:before="1"/>
              <w:ind w:left="113" w:right="117"/>
              <w:jc w:val="center"/>
              <w:rPr>
                <w:sz w:val="17"/>
              </w:rPr>
            </w:pPr>
            <w:r>
              <w:rPr>
                <w:sz w:val="17"/>
              </w:rPr>
              <w:t>1,3</w:t>
            </w:r>
          </w:p>
        </w:tc>
        <w:tc>
          <w:tcPr>
            <w:tcW w:w="715" w:type="dxa"/>
            <w:tcBorders>
              <w:top w:val="single" w:sz="4" w:space="0" w:color="000000"/>
            </w:tcBorders>
          </w:tcPr>
          <w:p>
            <w:pPr>
              <w:pStyle w:val="TableParagraph"/>
              <w:jc w:val="left"/>
              <w:rPr>
                <w:rFonts w:ascii="Trebuchet MS"/>
                <w:sz w:val="21"/>
              </w:rPr>
            </w:pPr>
          </w:p>
          <w:p>
            <w:pPr>
              <w:pStyle w:val="TableParagraph"/>
              <w:spacing w:line="190" w:lineRule="exact" w:before="1"/>
              <w:ind w:left="110" w:right="117"/>
              <w:jc w:val="center"/>
              <w:rPr>
                <w:sz w:val="17"/>
              </w:rPr>
            </w:pPr>
            <w:r>
              <w:rPr>
                <w:sz w:val="17"/>
              </w:rPr>
              <w:t>1,3</w:t>
            </w:r>
          </w:p>
        </w:tc>
        <w:tc>
          <w:tcPr>
            <w:tcW w:w="715" w:type="dxa"/>
            <w:tcBorders>
              <w:top w:val="single" w:sz="4" w:space="0" w:color="000000"/>
            </w:tcBorders>
          </w:tcPr>
          <w:p>
            <w:pPr>
              <w:pStyle w:val="TableParagraph"/>
              <w:jc w:val="left"/>
              <w:rPr>
                <w:rFonts w:ascii="Trebuchet MS"/>
                <w:sz w:val="21"/>
              </w:rPr>
            </w:pPr>
          </w:p>
          <w:p>
            <w:pPr>
              <w:pStyle w:val="TableParagraph"/>
              <w:spacing w:line="190" w:lineRule="exact" w:before="1"/>
              <w:ind w:left="110" w:right="117"/>
              <w:jc w:val="center"/>
              <w:rPr>
                <w:sz w:val="17"/>
              </w:rPr>
            </w:pPr>
            <w:r>
              <w:rPr>
                <w:sz w:val="17"/>
              </w:rPr>
              <w:t>1,4</w:t>
            </w:r>
          </w:p>
        </w:tc>
      </w:tr>
      <w:tr>
        <w:trPr>
          <w:trHeight w:val="226" w:hRule="atLeast"/>
        </w:trPr>
        <w:tc>
          <w:tcPr>
            <w:tcW w:w="4579" w:type="dxa"/>
          </w:tcPr>
          <w:p>
            <w:pPr>
              <w:pStyle w:val="TableParagraph"/>
              <w:spacing w:line="189" w:lineRule="exact" w:before="17"/>
              <w:ind w:left="28"/>
              <w:jc w:val="left"/>
              <w:rPr>
                <w:sz w:val="17"/>
              </w:rPr>
            </w:pPr>
            <w:r>
              <w:rPr>
                <w:sz w:val="17"/>
              </w:rPr>
              <w:t>Deflatore esportazioni</w:t>
            </w:r>
          </w:p>
        </w:tc>
        <w:tc>
          <w:tcPr>
            <w:tcW w:w="789" w:type="dxa"/>
          </w:tcPr>
          <w:p>
            <w:pPr>
              <w:pStyle w:val="TableParagraph"/>
              <w:spacing w:line="189" w:lineRule="exact" w:before="17"/>
              <w:ind w:left="188" w:right="117"/>
              <w:jc w:val="center"/>
              <w:rPr>
                <w:sz w:val="17"/>
              </w:rPr>
            </w:pPr>
            <w:r>
              <w:rPr>
                <w:sz w:val="17"/>
              </w:rPr>
              <w:t>1,8</w:t>
            </w:r>
          </w:p>
        </w:tc>
        <w:tc>
          <w:tcPr>
            <w:tcW w:w="715" w:type="dxa"/>
          </w:tcPr>
          <w:p>
            <w:pPr>
              <w:pStyle w:val="TableParagraph"/>
              <w:spacing w:line="189" w:lineRule="exact" w:before="17"/>
              <w:ind w:left="113" w:right="117"/>
              <w:jc w:val="center"/>
              <w:rPr>
                <w:sz w:val="17"/>
              </w:rPr>
            </w:pPr>
            <w:r>
              <w:rPr>
                <w:sz w:val="17"/>
              </w:rPr>
              <w:t>0,7</w:t>
            </w:r>
          </w:p>
        </w:tc>
        <w:tc>
          <w:tcPr>
            <w:tcW w:w="715" w:type="dxa"/>
          </w:tcPr>
          <w:p>
            <w:pPr>
              <w:pStyle w:val="TableParagraph"/>
              <w:spacing w:line="189" w:lineRule="exact" w:before="17"/>
              <w:ind w:left="113" w:right="117"/>
              <w:jc w:val="center"/>
              <w:rPr>
                <w:sz w:val="17"/>
              </w:rPr>
            </w:pPr>
            <w:r>
              <w:rPr>
                <w:sz w:val="17"/>
              </w:rPr>
              <w:t>1,2</w:t>
            </w:r>
          </w:p>
        </w:tc>
        <w:tc>
          <w:tcPr>
            <w:tcW w:w="715" w:type="dxa"/>
          </w:tcPr>
          <w:p>
            <w:pPr>
              <w:pStyle w:val="TableParagraph"/>
              <w:spacing w:line="189" w:lineRule="exact" w:before="17"/>
              <w:ind w:left="110" w:right="117"/>
              <w:jc w:val="center"/>
              <w:rPr>
                <w:sz w:val="17"/>
              </w:rPr>
            </w:pPr>
            <w:r>
              <w:rPr>
                <w:sz w:val="17"/>
              </w:rPr>
              <w:t>1,1</w:t>
            </w:r>
          </w:p>
        </w:tc>
        <w:tc>
          <w:tcPr>
            <w:tcW w:w="715" w:type="dxa"/>
          </w:tcPr>
          <w:p>
            <w:pPr>
              <w:pStyle w:val="TableParagraph"/>
              <w:spacing w:line="189" w:lineRule="exact" w:before="17"/>
              <w:ind w:left="110" w:right="117"/>
              <w:jc w:val="center"/>
              <w:rPr>
                <w:sz w:val="17"/>
              </w:rPr>
            </w:pPr>
            <w:r>
              <w:rPr>
                <w:sz w:val="17"/>
              </w:rPr>
              <w:t>1,4</w:t>
            </w:r>
          </w:p>
        </w:tc>
      </w:tr>
      <w:tr>
        <w:trPr>
          <w:trHeight w:val="226" w:hRule="atLeast"/>
        </w:trPr>
        <w:tc>
          <w:tcPr>
            <w:tcW w:w="4579" w:type="dxa"/>
          </w:tcPr>
          <w:p>
            <w:pPr>
              <w:pStyle w:val="TableParagraph"/>
              <w:spacing w:line="190" w:lineRule="exact" w:before="16"/>
              <w:ind w:left="28"/>
              <w:jc w:val="left"/>
              <w:rPr>
                <w:sz w:val="17"/>
              </w:rPr>
            </w:pPr>
            <w:r>
              <w:rPr>
                <w:sz w:val="17"/>
              </w:rPr>
              <w:t>Deflatore PIL</w:t>
            </w:r>
          </w:p>
        </w:tc>
        <w:tc>
          <w:tcPr>
            <w:tcW w:w="789" w:type="dxa"/>
          </w:tcPr>
          <w:p>
            <w:pPr>
              <w:pStyle w:val="TableParagraph"/>
              <w:spacing w:line="190" w:lineRule="exact" w:before="16"/>
              <w:ind w:left="188" w:right="117"/>
              <w:jc w:val="center"/>
              <w:rPr>
                <w:sz w:val="17"/>
              </w:rPr>
            </w:pPr>
            <w:r>
              <w:rPr>
                <w:sz w:val="17"/>
              </w:rPr>
              <w:t>0,9</w:t>
            </w:r>
          </w:p>
        </w:tc>
        <w:tc>
          <w:tcPr>
            <w:tcW w:w="715" w:type="dxa"/>
          </w:tcPr>
          <w:p>
            <w:pPr>
              <w:pStyle w:val="TableParagraph"/>
              <w:spacing w:line="190" w:lineRule="exact" w:before="16"/>
              <w:ind w:left="113" w:right="117"/>
              <w:jc w:val="center"/>
              <w:rPr>
                <w:sz w:val="17"/>
              </w:rPr>
            </w:pPr>
            <w:r>
              <w:rPr>
                <w:sz w:val="17"/>
              </w:rPr>
              <w:t>0,9</w:t>
            </w:r>
          </w:p>
        </w:tc>
        <w:tc>
          <w:tcPr>
            <w:tcW w:w="715" w:type="dxa"/>
          </w:tcPr>
          <w:p>
            <w:pPr>
              <w:pStyle w:val="TableParagraph"/>
              <w:spacing w:line="190" w:lineRule="exact" w:before="16"/>
              <w:ind w:left="113" w:right="117"/>
              <w:jc w:val="center"/>
              <w:rPr>
                <w:sz w:val="17"/>
              </w:rPr>
            </w:pPr>
            <w:r>
              <w:rPr>
                <w:sz w:val="17"/>
              </w:rPr>
              <w:t>1,3</w:t>
            </w:r>
          </w:p>
        </w:tc>
        <w:tc>
          <w:tcPr>
            <w:tcW w:w="715" w:type="dxa"/>
          </w:tcPr>
          <w:p>
            <w:pPr>
              <w:pStyle w:val="TableParagraph"/>
              <w:spacing w:line="190" w:lineRule="exact" w:before="16"/>
              <w:ind w:left="110" w:right="117"/>
              <w:jc w:val="center"/>
              <w:rPr>
                <w:sz w:val="17"/>
              </w:rPr>
            </w:pPr>
            <w:r>
              <w:rPr>
                <w:sz w:val="17"/>
              </w:rPr>
              <w:t>1,7</w:t>
            </w:r>
          </w:p>
        </w:tc>
        <w:tc>
          <w:tcPr>
            <w:tcW w:w="715" w:type="dxa"/>
          </w:tcPr>
          <w:p>
            <w:pPr>
              <w:pStyle w:val="TableParagraph"/>
              <w:spacing w:line="190" w:lineRule="exact" w:before="16"/>
              <w:ind w:left="110" w:right="117"/>
              <w:jc w:val="center"/>
              <w:rPr>
                <w:sz w:val="17"/>
              </w:rPr>
            </w:pPr>
            <w:r>
              <w:rPr>
                <w:sz w:val="17"/>
              </w:rPr>
              <w:t>1,7</w:t>
            </w:r>
          </w:p>
        </w:tc>
      </w:tr>
      <w:tr>
        <w:trPr>
          <w:trHeight w:val="226" w:hRule="atLeast"/>
        </w:trPr>
        <w:tc>
          <w:tcPr>
            <w:tcW w:w="4579" w:type="dxa"/>
          </w:tcPr>
          <w:p>
            <w:pPr>
              <w:pStyle w:val="TableParagraph"/>
              <w:spacing w:line="189" w:lineRule="exact" w:before="17"/>
              <w:ind w:left="28"/>
              <w:jc w:val="left"/>
              <w:rPr>
                <w:sz w:val="17"/>
              </w:rPr>
            </w:pPr>
            <w:r>
              <w:rPr>
                <w:sz w:val="17"/>
              </w:rPr>
              <w:t>PIL nominale</w:t>
            </w:r>
          </w:p>
        </w:tc>
        <w:tc>
          <w:tcPr>
            <w:tcW w:w="789" w:type="dxa"/>
          </w:tcPr>
          <w:p>
            <w:pPr>
              <w:pStyle w:val="TableParagraph"/>
              <w:spacing w:line="189" w:lineRule="exact" w:before="17"/>
              <w:ind w:left="188" w:right="117"/>
              <w:jc w:val="center"/>
              <w:rPr>
                <w:sz w:val="17"/>
              </w:rPr>
            </w:pPr>
            <w:r>
              <w:rPr>
                <w:sz w:val="17"/>
              </w:rPr>
              <w:t>1,7</w:t>
            </w:r>
          </w:p>
        </w:tc>
        <w:tc>
          <w:tcPr>
            <w:tcW w:w="715" w:type="dxa"/>
          </w:tcPr>
          <w:p>
            <w:pPr>
              <w:pStyle w:val="TableParagraph"/>
              <w:spacing w:line="189" w:lineRule="exact" w:before="17"/>
              <w:ind w:left="113" w:right="117"/>
              <w:jc w:val="center"/>
              <w:rPr>
                <w:sz w:val="17"/>
              </w:rPr>
            </w:pPr>
            <w:r>
              <w:rPr>
                <w:sz w:val="17"/>
              </w:rPr>
              <w:t>1,0</w:t>
            </w:r>
          </w:p>
        </w:tc>
        <w:tc>
          <w:tcPr>
            <w:tcW w:w="715" w:type="dxa"/>
          </w:tcPr>
          <w:p>
            <w:pPr>
              <w:pStyle w:val="TableParagraph"/>
              <w:spacing w:line="189" w:lineRule="exact" w:before="17"/>
              <w:ind w:left="113" w:right="117"/>
              <w:jc w:val="center"/>
              <w:rPr>
                <w:sz w:val="17"/>
              </w:rPr>
            </w:pPr>
            <w:r>
              <w:rPr>
                <w:sz w:val="17"/>
              </w:rPr>
              <w:t>2,0</w:t>
            </w:r>
          </w:p>
        </w:tc>
        <w:tc>
          <w:tcPr>
            <w:tcW w:w="715" w:type="dxa"/>
          </w:tcPr>
          <w:p>
            <w:pPr>
              <w:pStyle w:val="TableParagraph"/>
              <w:spacing w:line="189" w:lineRule="exact" w:before="17"/>
              <w:ind w:left="110" w:right="117"/>
              <w:jc w:val="center"/>
              <w:rPr>
                <w:sz w:val="17"/>
              </w:rPr>
            </w:pPr>
            <w:r>
              <w:rPr>
                <w:sz w:val="17"/>
              </w:rPr>
              <w:t>2,7</w:t>
            </w:r>
          </w:p>
        </w:tc>
        <w:tc>
          <w:tcPr>
            <w:tcW w:w="715" w:type="dxa"/>
          </w:tcPr>
          <w:p>
            <w:pPr>
              <w:pStyle w:val="TableParagraph"/>
              <w:spacing w:line="189" w:lineRule="exact" w:before="17"/>
              <w:ind w:left="110" w:right="117"/>
              <w:jc w:val="center"/>
              <w:rPr>
                <w:sz w:val="17"/>
              </w:rPr>
            </w:pPr>
            <w:r>
              <w:rPr>
                <w:sz w:val="17"/>
              </w:rPr>
              <w:t>2,6</w:t>
            </w:r>
          </w:p>
        </w:tc>
      </w:tr>
      <w:tr>
        <w:trPr>
          <w:trHeight w:val="294" w:hRule="atLeast"/>
        </w:trPr>
        <w:tc>
          <w:tcPr>
            <w:tcW w:w="4579" w:type="dxa"/>
          </w:tcPr>
          <w:p>
            <w:pPr>
              <w:pStyle w:val="TableParagraph"/>
              <w:spacing w:before="16"/>
              <w:ind w:left="28"/>
              <w:jc w:val="left"/>
              <w:rPr>
                <w:sz w:val="17"/>
              </w:rPr>
            </w:pPr>
            <w:r>
              <w:rPr>
                <w:sz w:val="17"/>
              </w:rPr>
              <w:t>Deflatore consumi</w:t>
            </w:r>
          </w:p>
        </w:tc>
        <w:tc>
          <w:tcPr>
            <w:tcW w:w="789" w:type="dxa"/>
          </w:tcPr>
          <w:p>
            <w:pPr>
              <w:pStyle w:val="TableParagraph"/>
              <w:spacing w:before="16"/>
              <w:ind w:left="188" w:right="117"/>
              <w:jc w:val="center"/>
              <w:rPr>
                <w:sz w:val="17"/>
              </w:rPr>
            </w:pPr>
            <w:r>
              <w:rPr>
                <w:sz w:val="17"/>
              </w:rPr>
              <w:t>0,9</w:t>
            </w:r>
          </w:p>
        </w:tc>
        <w:tc>
          <w:tcPr>
            <w:tcW w:w="715" w:type="dxa"/>
          </w:tcPr>
          <w:p>
            <w:pPr>
              <w:pStyle w:val="TableParagraph"/>
              <w:spacing w:before="16"/>
              <w:ind w:left="113" w:right="117"/>
              <w:jc w:val="center"/>
              <w:rPr>
                <w:sz w:val="17"/>
              </w:rPr>
            </w:pPr>
            <w:r>
              <w:rPr>
                <w:sz w:val="17"/>
              </w:rPr>
              <w:t>0,8</w:t>
            </w:r>
          </w:p>
        </w:tc>
        <w:tc>
          <w:tcPr>
            <w:tcW w:w="715" w:type="dxa"/>
          </w:tcPr>
          <w:p>
            <w:pPr>
              <w:pStyle w:val="TableParagraph"/>
              <w:spacing w:before="16"/>
              <w:ind w:left="113" w:right="117"/>
              <w:jc w:val="center"/>
              <w:rPr>
                <w:sz w:val="17"/>
              </w:rPr>
            </w:pPr>
            <w:r>
              <w:rPr>
                <w:sz w:val="17"/>
              </w:rPr>
              <w:t>1,0</w:t>
            </w:r>
          </w:p>
        </w:tc>
        <w:tc>
          <w:tcPr>
            <w:tcW w:w="715" w:type="dxa"/>
          </w:tcPr>
          <w:p>
            <w:pPr>
              <w:pStyle w:val="TableParagraph"/>
              <w:spacing w:before="16"/>
              <w:ind w:left="110" w:right="117"/>
              <w:jc w:val="center"/>
              <w:rPr>
                <w:sz w:val="17"/>
              </w:rPr>
            </w:pPr>
            <w:r>
              <w:rPr>
                <w:sz w:val="17"/>
              </w:rPr>
              <w:t>1,9</w:t>
            </w:r>
          </w:p>
        </w:tc>
        <w:tc>
          <w:tcPr>
            <w:tcW w:w="715" w:type="dxa"/>
          </w:tcPr>
          <w:p>
            <w:pPr>
              <w:pStyle w:val="TableParagraph"/>
              <w:spacing w:before="16"/>
              <w:ind w:left="110" w:right="117"/>
              <w:jc w:val="center"/>
              <w:rPr>
                <w:sz w:val="17"/>
              </w:rPr>
            </w:pPr>
            <w:r>
              <w:rPr>
                <w:sz w:val="17"/>
              </w:rPr>
              <w:t>1,8</w:t>
            </w:r>
          </w:p>
        </w:tc>
      </w:tr>
      <w:tr>
        <w:trPr>
          <w:trHeight w:val="367" w:hRule="atLeast"/>
        </w:trPr>
        <w:tc>
          <w:tcPr>
            <w:tcW w:w="4579" w:type="dxa"/>
            <w:tcBorders>
              <w:bottom w:val="single" w:sz="2" w:space="0" w:color="000000"/>
            </w:tcBorders>
          </w:tcPr>
          <w:p>
            <w:pPr>
              <w:pStyle w:val="TableParagraph"/>
              <w:spacing w:before="96"/>
              <w:ind w:left="71"/>
              <w:jc w:val="left"/>
              <w:rPr>
                <w:i/>
                <w:sz w:val="17"/>
              </w:rPr>
            </w:pPr>
            <w:r>
              <w:rPr>
                <w:i/>
                <w:sz w:val="17"/>
              </w:rPr>
              <w:t>p.m. inflazione al netto degli energetici importati, var % (**)</w:t>
            </w:r>
          </w:p>
        </w:tc>
        <w:tc>
          <w:tcPr>
            <w:tcW w:w="789" w:type="dxa"/>
            <w:tcBorders>
              <w:bottom w:val="single" w:sz="2" w:space="0" w:color="000000"/>
            </w:tcBorders>
          </w:tcPr>
          <w:p>
            <w:pPr>
              <w:pStyle w:val="TableParagraph"/>
              <w:spacing w:before="85"/>
              <w:ind w:left="186" w:right="117"/>
              <w:jc w:val="center"/>
              <w:rPr>
                <w:i/>
                <w:sz w:val="18"/>
              </w:rPr>
            </w:pPr>
            <w:r>
              <w:rPr>
                <w:i/>
                <w:sz w:val="18"/>
              </w:rPr>
              <w:t>0,8</w:t>
            </w:r>
          </w:p>
        </w:tc>
        <w:tc>
          <w:tcPr>
            <w:tcW w:w="715" w:type="dxa"/>
            <w:tcBorders>
              <w:bottom w:val="single" w:sz="2" w:space="0" w:color="000000"/>
            </w:tcBorders>
          </w:tcPr>
          <w:p>
            <w:pPr>
              <w:pStyle w:val="TableParagraph"/>
              <w:spacing w:before="85"/>
              <w:ind w:left="111" w:right="117"/>
              <w:jc w:val="center"/>
              <w:rPr>
                <w:i/>
                <w:sz w:val="18"/>
              </w:rPr>
            </w:pPr>
            <w:r>
              <w:rPr>
                <w:i/>
                <w:sz w:val="18"/>
              </w:rPr>
              <w:t>0,9</w:t>
            </w:r>
          </w:p>
        </w:tc>
        <w:tc>
          <w:tcPr>
            <w:tcW w:w="715" w:type="dxa"/>
            <w:tcBorders>
              <w:bottom w:val="single" w:sz="2" w:space="0" w:color="000000"/>
            </w:tcBorders>
          </w:tcPr>
          <w:p>
            <w:pPr>
              <w:pStyle w:val="TableParagraph"/>
              <w:spacing w:before="85"/>
              <w:ind w:left="111" w:right="117"/>
              <w:jc w:val="center"/>
              <w:rPr>
                <w:i/>
                <w:sz w:val="18"/>
              </w:rPr>
            </w:pPr>
            <w:r>
              <w:rPr>
                <w:i/>
                <w:sz w:val="18"/>
              </w:rPr>
              <w:t>1,0</w:t>
            </w:r>
          </w:p>
        </w:tc>
        <w:tc>
          <w:tcPr>
            <w:tcW w:w="715" w:type="dxa"/>
            <w:tcBorders>
              <w:bottom w:val="single" w:sz="2" w:space="0" w:color="000000"/>
            </w:tcBorders>
          </w:tcPr>
          <w:p>
            <w:pPr>
              <w:pStyle w:val="TableParagraph"/>
              <w:spacing w:before="85"/>
              <w:ind w:left="108" w:right="117"/>
              <w:jc w:val="center"/>
              <w:rPr>
                <w:i/>
                <w:sz w:val="18"/>
              </w:rPr>
            </w:pPr>
            <w:r>
              <w:rPr>
                <w:i/>
                <w:sz w:val="18"/>
              </w:rPr>
              <w:t>1,1</w:t>
            </w:r>
          </w:p>
        </w:tc>
        <w:tc>
          <w:tcPr>
            <w:tcW w:w="715" w:type="dxa"/>
            <w:tcBorders>
              <w:bottom w:val="single" w:sz="2" w:space="0" w:color="000000"/>
            </w:tcBorders>
          </w:tcPr>
          <w:p>
            <w:pPr>
              <w:pStyle w:val="TableParagraph"/>
              <w:spacing w:before="85"/>
              <w:ind w:left="109" w:right="117"/>
              <w:jc w:val="center"/>
              <w:rPr>
                <w:i/>
                <w:sz w:val="18"/>
              </w:rPr>
            </w:pPr>
            <w:r>
              <w:rPr>
                <w:i/>
                <w:sz w:val="18"/>
              </w:rPr>
              <w:t>1,1</w:t>
            </w:r>
          </w:p>
        </w:tc>
      </w:tr>
      <w:tr>
        <w:trPr>
          <w:trHeight w:val="452" w:hRule="atLeast"/>
        </w:trPr>
        <w:tc>
          <w:tcPr>
            <w:tcW w:w="4579" w:type="dxa"/>
            <w:tcBorders>
              <w:top w:val="single" w:sz="2" w:space="0" w:color="000000"/>
            </w:tcBorders>
          </w:tcPr>
          <w:p>
            <w:pPr>
              <w:pStyle w:val="TableParagraph"/>
              <w:spacing w:before="17"/>
              <w:ind w:left="28"/>
              <w:jc w:val="left"/>
              <w:rPr>
                <w:sz w:val="17"/>
              </w:rPr>
            </w:pPr>
            <w:r>
              <w:rPr>
                <w:sz w:val="17"/>
              </w:rPr>
              <w:t>LAVORO</w:t>
            </w:r>
          </w:p>
          <w:p>
            <w:pPr>
              <w:pStyle w:val="TableParagraph"/>
              <w:spacing w:line="190" w:lineRule="exact" w:before="32"/>
              <w:ind w:left="28"/>
              <w:jc w:val="left"/>
              <w:rPr>
                <w:sz w:val="17"/>
              </w:rPr>
            </w:pPr>
            <w:r>
              <w:rPr>
                <w:sz w:val="17"/>
              </w:rPr>
              <w:t>Redditi da lavoro dipendente (intera economia)</w:t>
            </w:r>
          </w:p>
        </w:tc>
        <w:tc>
          <w:tcPr>
            <w:tcW w:w="789" w:type="dxa"/>
            <w:tcBorders>
              <w:top w:val="single" w:sz="2" w:space="0" w:color="000000"/>
            </w:tcBorders>
          </w:tcPr>
          <w:p>
            <w:pPr>
              <w:pStyle w:val="TableParagraph"/>
              <w:spacing w:before="10"/>
              <w:jc w:val="left"/>
              <w:rPr>
                <w:rFonts w:ascii="Trebuchet MS"/>
                <w:sz w:val="20"/>
              </w:rPr>
            </w:pPr>
          </w:p>
          <w:p>
            <w:pPr>
              <w:pStyle w:val="TableParagraph"/>
              <w:spacing w:line="190" w:lineRule="exact"/>
              <w:ind w:left="188" w:right="117"/>
              <w:jc w:val="center"/>
              <w:rPr>
                <w:sz w:val="17"/>
              </w:rPr>
            </w:pPr>
            <w:r>
              <w:rPr>
                <w:sz w:val="17"/>
              </w:rPr>
              <w:t>3,5</w:t>
            </w:r>
          </w:p>
        </w:tc>
        <w:tc>
          <w:tcPr>
            <w:tcW w:w="715" w:type="dxa"/>
            <w:tcBorders>
              <w:top w:val="single" w:sz="2" w:space="0" w:color="000000"/>
            </w:tcBorders>
          </w:tcPr>
          <w:p>
            <w:pPr>
              <w:pStyle w:val="TableParagraph"/>
              <w:spacing w:before="10"/>
              <w:jc w:val="left"/>
              <w:rPr>
                <w:rFonts w:ascii="Trebuchet MS"/>
                <w:sz w:val="20"/>
              </w:rPr>
            </w:pPr>
          </w:p>
          <w:p>
            <w:pPr>
              <w:pStyle w:val="TableParagraph"/>
              <w:spacing w:line="190" w:lineRule="exact"/>
              <w:ind w:left="113" w:right="117"/>
              <w:jc w:val="center"/>
              <w:rPr>
                <w:sz w:val="17"/>
              </w:rPr>
            </w:pPr>
            <w:r>
              <w:rPr>
                <w:sz w:val="17"/>
              </w:rPr>
              <w:t>2,0</w:t>
            </w:r>
          </w:p>
        </w:tc>
        <w:tc>
          <w:tcPr>
            <w:tcW w:w="715" w:type="dxa"/>
            <w:tcBorders>
              <w:top w:val="single" w:sz="2" w:space="0" w:color="000000"/>
            </w:tcBorders>
          </w:tcPr>
          <w:p>
            <w:pPr>
              <w:pStyle w:val="TableParagraph"/>
              <w:spacing w:before="10"/>
              <w:jc w:val="left"/>
              <w:rPr>
                <w:rFonts w:ascii="Trebuchet MS"/>
                <w:sz w:val="20"/>
              </w:rPr>
            </w:pPr>
          </w:p>
          <w:p>
            <w:pPr>
              <w:pStyle w:val="TableParagraph"/>
              <w:spacing w:line="190" w:lineRule="exact"/>
              <w:ind w:left="113" w:right="117"/>
              <w:jc w:val="center"/>
              <w:rPr>
                <w:sz w:val="17"/>
              </w:rPr>
            </w:pPr>
            <w:r>
              <w:rPr>
                <w:sz w:val="17"/>
              </w:rPr>
              <w:t>1,8</w:t>
            </w:r>
          </w:p>
        </w:tc>
        <w:tc>
          <w:tcPr>
            <w:tcW w:w="715" w:type="dxa"/>
            <w:tcBorders>
              <w:top w:val="single" w:sz="2" w:space="0" w:color="000000"/>
            </w:tcBorders>
          </w:tcPr>
          <w:p>
            <w:pPr>
              <w:pStyle w:val="TableParagraph"/>
              <w:spacing w:before="10"/>
              <w:jc w:val="left"/>
              <w:rPr>
                <w:rFonts w:ascii="Trebuchet MS"/>
                <w:sz w:val="20"/>
              </w:rPr>
            </w:pPr>
          </w:p>
          <w:p>
            <w:pPr>
              <w:pStyle w:val="TableParagraph"/>
              <w:spacing w:line="190" w:lineRule="exact"/>
              <w:ind w:left="110" w:right="117"/>
              <w:jc w:val="center"/>
              <w:rPr>
                <w:sz w:val="17"/>
              </w:rPr>
            </w:pPr>
            <w:r>
              <w:rPr>
                <w:sz w:val="17"/>
              </w:rPr>
              <w:t>2,7</w:t>
            </w:r>
          </w:p>
        </w:tc>
        <w:tc>
          <w:tcPr>
            <w:tcW w:w="715" w:type="dxa"/>
            <w:tcBorders>
              <w:top w:val="single" w:sz="2" w:space="0" w:color="000000"/>
            </w:tcBorders>
          </w:tcPr>
          <w:p>
            <w:pPr>
              <w:pStyle w:val="TableParagraph"/>
              <w:spacing w:before="10"/>
              <w:jc w:val="left"/>
              <w:rPr>
                <w:rFonts w:ascii="Trebuchet MS"/>
                <w:sz w:val="20"/>
              </w:rPr>
            </w:pPr>
          </w:p>
          <w:p>
            <w:pPr>
              <w:pStyle w:val="TableParagraph"/>
              <w:spacing w:line="190" w:lineRule="exact"/>
              <w:ind w:left="110" w:right="117"/>
              <w:jc w:val="center"/>
              <w:rPr>
                <w:sz w:val="17"/>
              </w:rPr>
            </w:pPr>
            <w:r>
              <w:rPr>
                <w:sz w:val="17"/>
              </w:rPr>
              <w:t>2,9</w:t>
            </w:r>
          </w:p>
        </w:tc>
      </w:tr>
      <w:tr>
        <w:trPr>
          <w:trHeight w:val="227" w:hRule="atLeast"/>
        </w:trPr>
        <w:tc>
          <w:tcPr>
            <w:tcW w:w="4579" w:type="dxa"/>
          </w:tcPr>
          <w:p>
            <w:pPr>
              <w:pStyle w:val="TableParagraph"/>
              <w:spacing w:line="190" w:lineRule="exact" w:before="17"/>
              <w:ind w:left="28"/>
              <w:jc w:val="left"/>
              <w:rPr>
                <w:sz w:val="17"/>
              </w:rPr>
            </w:pPr>
            <w:r>
              <w:rPr>
                <w:sz w:val="17"/>
              </w:rPr>
              <w:t>costo lavoro per unità di lavoro dipendente</w:t>
            </w:r>
          </w:p>
        </w:tc>
        <w:tc>
          <w:tcPr>
            <w:tcW w:w="789" w:type="dxa"/>
          </w:tcPr>
          <w:p>
            <w:pPr>
              <w:pStyle w:val="TableParagraph"/>
              <w:spacing w:line="190" w:lineRule="exact" w:before="17"/>
              <w:ind w:left="188" w:right="117"/>
              <w:jc w:val="center"/>
              <w:rPr>
                <w:sz w:val="17"/>
              </w:rPr>
            </w:pPr>
            <w:r>
              <w:rPr>
                <w:sz w:val="17"/>
              </w:rPr>
              <w:t>2,2</w:t>
            </w:r>
          </w:p>
        </w:tc>
        <w:tc>
          <w:tcPr>
            <w:tcW w:w="715" w:type="dxa"/>
          </w:tcPr>
          <w:p>
            <w:pPr>
              <w:pStyle w:val="TableParagraph"/>
              <w:spacing w:line="190" w:lineRule="exact" w:before="17"/>
              <w:ind w:left="113" w:right="117"/>
              <w:jc w:val="center"/>
              <w:rPr>
                <w:sz w:val="17"/>
              </w:rPr>
            </w:pPr>
            <w:r>
              <w:rPr>
                <w:sz w:val="17"/>
              </w:rPr>
              <w:t>1,3</w:t>
            </w:r>
          </w:p>
        </w:tc>
        <w:tc>
          <w:tcPr>
            <w:tcW w:w="715" w:type="dxa"/>
          </w:tcPr>
          <w:p>
            <w:pPr>
              <w:pStyle w:val="TableParagraph"/>
              <w:spacing w:line="190" w:lineRule="exact" w:before="17"/>
              <w:ind w:left="113" w:right="117"/>
              <w:jc w:val="center"/>
              <w:rPr>
                <w:sz w:val="17"/>
              </w:rPr>
            </w:pPr>
            <w:r>
              <w:rPr>
                <w:sz w:val="17"/>
              </w:rPr>
              <w:t>1,3</w:t>
            </w:r>
          </w:p>
        </w:tc>
        <w:tc>
          <w:tcPr>
            <w:tcW w:w="715" w:type="dxa"/>
          </w:tcPr>
          <w:p>
            <w:pPr>
              <w:pStyle w:val="TableParagraph"/>
              <w:spacing w:line="190" w:lineRule="exact" w:before="17"/>
              <w:ind w:left="110" w:right="117"/>
              <w:jc w:val="center"/>
              <w:rPr>
                <w:sz w:val="17"/>
              </w:rPr>
            </w:pPr>
            <w:r>
              <w:rPr>
                <w:sz w:val="17"/>
              </w:rPr>
              <w:t>1,9</w:t>
            </w:r>
          </w:p>
        </w:tc>
        <w:tc>
          <w:tcPr>
            <w:tcW w:w="715" w:type="dxa"/>
          </w:tcPr>
          <w:p>
            <w:pPr>
              <w:pStyle w:val="TableParagraph"/>
              <w:spacing w:line="190" w:lineRule="exact" w:before="17"/>
              <w:ind w:left="110" w:right="117"/>
              <w:jc w:val="center"/>
              <w:rPr>
                <w:sz w:val="17"/>
              </w:rPr>
            </w:pPr>
            <w:r>
              <w:rPr>
                <w:sz w:val="17"/>
              </w:rPr>
              <w:t>1,9</w:t>
            </w:r>
          </w:p>
        </w:tc>
      </w:tr>
      <w:tr>
        <w:trPr>
          <w:trHeight w:val="226" w:hRule="atLeast"/>
        </w:trPr>
        <w:tc>
          <w:tcPr>
            <w:tcW w:w="4579" w:type="dxa"/>
          </w:tcPr>
          <w:p>
            <w:pPr>
              <w:pStyle w:val="TableParagraph"/>
              <w:spacing w:line="189" w:lineRule="exact" w:before="17"/>
              <w:ind w:left="28"/>
              <w:jc w:val="left"/>
              <w:rPr>
                <w:sz w:val="17"/>
              </w:rPr>
            </w:pPr>
            <w:r>
              <w:rPr>
                <w:sz w:val="17"/>
              </w:rPr>
              <w:t>produttività (mis.su PIL)</w:t>
            </w:r>
          </w:p>
        </w:tc>
        <w:tc>
          <w:tcPr>
            <w:tcW w:w="789" w:type="dxa"/>
          </w:tcPr>
          <w:p>
            <w:pPr>
              <w:pStyle w:val="TableParagraph"/>
              <w:spacing w:line="189" w:lineRule="exact" w:before="17"/>
              <w:ind w:left="188" w:right="117"/>
              <w:jc w:val="center"/>
              <w:rPr>
                <w:sz w:val="17"/>
              </w:rPr>
            </w:pPr>
            <w:r>
              <w:rPr>
                <w:sz w:val="17"/>
              </w:rPr>
              <w:t>-0,1</w:t>
            </w:r>
          </w:p>
        </w:tc>
        <w:tc>
          <w:tcPr>
            <w:tcW w:w="715" w:type="dxa"/>
          </w:tcPr>
          <w:p>
            <w:pPr>
              <w:pStyle w:val="TableParagraph"/>
              <w:spacing w:line="189" w:lineRule="exact" w:before="17"/>
              <w:ind w:left="113" w:right="117"/>
              <w:jc w:val="center"/>
              <w:rPr>
                <w:sz w:val="17"/>
              </w:rPr>
            </w:pPr>
            <w:r>
              <w:rPr>
                <w:sz w:val="17"/>
              </w:rPr>
              <w:t>-0,4</w:t>
            </w:r>
          </w:p>
        </w:tc>
        <w:tc>
          <w:tcPr>
            <w:tcW w:w="715" w:type="dxa"/>
          </w:tcPr>
          <w:p>
            <w:pPr>
              <w:pStyle w:val="TableParagraph"/>
              <w:spacing w:line="189" w:lineRule="exact" w:before="17"/>
              <w:ind w:left="113" w:right="117"/>
              <w:jc w:val="center"/>
              <w:rPr>
                <w:sz w:val="17"/>
              </w:rPr>
            </w:pPr>
            <w:r>
              <w:rPr>
                <w:sz w:val="17"/>
              </w:rPr>
              <w:t>0,2</w:t>
            </w:r>
          </w:p>
        </w:tc>
        <w:tc>
          <w:tcPr>
            <w:tcW w:w="715" w:type="dxa"/>
          </w:tcPr>
          <w:p>
            <w:pPr>
              <w:pStyle w:val="TableParagraph"/>
              <w:spacing w:line="189" w:lineRule="exact" w:before="17"/>
              <w:ind w:left="110" w:right="117"/>
              <w:jc w:val="center"/>
              <w:rPr>
                <w:sz w:val="17"/>
              </w:rPr>
            </w:pPr>
            <w:r>
              <w:rPr>
                <w:sz w:val="17"/>
              </w:rPr>
              <w:t>0,4</w:t>
            </w:r>
          </w:p>
        </w:tc>
        <w:tc>
          <w:tcPr>
            <w:tcW w:w="715" w:type="dxa"/>
          </w:tcPr>
          <w:p>
            <w:pPr>
              <w:pStyle w:val="TableParagraph"/>
              <w:spacing w:line="189" w:lineRule="exact" w:before="17"/>
              <w:ind w:left="110" w:right="117"/>
              <w:jc w:val="center"/>
              <w:rPr>
                <w:sz w:val="17"/>
              </w:rPr>
            </w:pPr>
            <w:r>
              <w:rPr>
                <w:sz w:val="17"/>
              </w:rPr>
              <w:t>0,1</w:t>
            </w:r>
          </w:p>
        </w:tc>
      </w:tr>
      <w:tr>
        <w:trPr>
          <w:trHeight w:val="226" w:hRule="atLeast"/>
        </w:trPr>
        <w:tc>
          <w:tcPr>
            <w:tcW w:w="4579" w:type="dxa"/>
          </w:tcPr>
          <w:p>
            <w:pPr>
              <w:pStyle w:val="TableParagraph"/>
              <w:spacing w:line="190" w:lineRule="exact" w:before="16"/>
              <w:ind w:left="28"/>
              <w:jc w:val="left"/>
              <w:rPr>
                <w:sz w:val="17"/>
              </w:rPr>
            </w:pPr>
            <w:r>
              <w:rPr>
                <w:sz w:val="17"/>
              </w:rPr>
              <w:t>CLUP (misurato su PIL)</w:t>
            </w:r>
          </w:p>
        </w:tc>
        <w:tc>
          <w:tcPr>
            <w:tcW w:w="789" w:type="dxa"/>
          </w:tcPr>
          <w:p>
            <w:pPr>
              <w:pStyle w:val="TableParagraph"/>
              <w:spacing w:line="190" w:lineRule="exact" w:before="16"/>
              <w:ind w:left="188" w:right="117"/>
              <w:jc w:val="center"/>
              <w:rPr>
                <w:sz w:val="17"/>
              </w:rPr>
            </w:pPr>
            <w:r>
              <w:rPr>
                <w:sz w:val="17"/>
              </w:rPr>
              <w:t>2,2</w:t>
            </w:r>
          </w:p>
        </w:tc>
        <w:tc>
          <w:tcPr>
            <w:tcW w:w="715" w:type="dxa"/>
          </w:tcPr>
          <w:p>
            <w:pPr>
              <w:pStyle w:val="TableParagraph"/>
              <w:spacing w:line="190" w:lineRule="exact" w:before="16"/>
              <w:ind w:left="113" w:right="117"/>
              <w:jc w:val="center"/>
              <w:rPr>
                <w:sz w:val="17"/>
              </w:rPr>
            </w:pPr>
            <w:r>
              <w:rPr>
                <w:sz w:val="17"/>
              </w:rPr>
              <w:t>1,7</w:t>
            </w:r>
          </w:p>
        </w:tc>
        <w:tc>
          <w:tcPr>
            <w:tcW w:w="715" w:type="dxa"/>
          </w:tcPr>
          <w:p>
            <w:pPr>
              <w:pStyle w:val="TableParagraph"/>
              <w:spacing w:line="190" w:lineRule="exact" w:before="16"/>
              <w:ind w:left="113" w:right="117"/>
              <w:jc w:val="center"/>
              <w:rPr>
                <w:sz w:val="17"/>
              </w:rPr>
            </w:pPr>
            <w:r>
              <w:rPr>
                <w:sz w:val="17"/>
              </w:rPr>
              <w:t>1,1</w:t>
            </w:r>
          </w:p>
        </w:tc>
        <w:tc>
          <w:tcPr>
            <w:tcW w:w="715" w:type="dxa"/>
          </w:tcPr>
          <w:p>
            <w:pPr>
              <w:pStyle w:val="TableParagraph"/>
              <w:spacing w:line="190" w:lineRule="exact" w:before="16"/>
              <w:ind w:left="110" w:right="117"/>
              <w:jc w:val="center"/>
              <w:rPr>
                <w:sz w:val="17"/>
              </w:rPr>
            </w:pPr>
            <w:r>
              <w:rPr>
                <w:sz w:val="17"/>
              </w:rPr>
              <w:t>1,5</w:t>
            </w:r>
          </w:p>
        </w:tc>
        <w:tc>
          <w:tcPr>
            <w:tcW w:w="715" w:type="dxa"/>
          </w:tcPr>
          <w:p>
            <w:pPr>
              <w:pStyle w:val="TableParagraph"/>
              <w:spacing w:line="190" w:lineRule="exact" w:before="16"/>
              <w:ind w:left="110" w:right="117"/>
              <w:jc w:val="center"/>
              <w:rPr>
                <w:sz w:val="17"/>
              </w:rPr>
            </w:pPr>
            <w:r>
              <w:rPr>
                <w:sz w:val="17"/>
              </w:rPr>
              <w:t>1,8</w:t>
            </w:r>
          </w:p>
        </w:tc>
      </w:tr>
      <w:tr>
        <w:trPr>
          <w:trHeight w:val="226" w:hRule="atLeast"/>
        </w:trPr>
        <w:tc>
          <w:tcPr>
            <w:tcW w:w="4579" w:type="dxa"/>
          </w:tcPr>
          <w:p>
            <w:pPr>
              <w:pStyle w:val="TableParagraph"/>
              <w:spacing w:line="189" w:lineRule="exact" w:before="17"/>
              <w:ind w:left="28"/>
              <w:jc w:val="left"/>
              <w:rPr>
                <w:sz w:val="17"/>
              </w:rPr>
            </w:pPr>
            <w:r>
              <w:rPr>
                <w:sz w:val="17"/>
              </w:rPr>
              <w:t>occupazione (ULA)</w:t>
            </w:r>
          </w:p>
        </w:tc>
        <w:tc>
          <w:tcPr>
            <w:tcW w:w="789" w:type="dxa"/>
          </w:tcPr>
          <w:p>
            <w:pPr>
              <w:pStyle w:val="TableParagraph"/>
              <w:spacing w:line="189" w:lineRule="exact" w:before="17"/>
              <w:ind w:left="188" w:right="117"/>
              <w:jc w:val="center"/>
              <w:rPr>
                <w:sz w:val="17"/>
              </w:rPr>
            </w:pPr>
            <w:r>
              <w:rPr>
                <w:sz w:val="17"/>
              </w:rPr>
              <w:t>0,8</w:t>
            </w:r>
          </w:p>
        </w:tc>
        <w:tc>
          <w:tcPr>
            <w:tcW w:w="715" w:type="dxa"/>
          </w:tcPr>
          <w:p>
            <w:pPr>
              <w:pStyle w:val="TableParagraph"/>
              <w:spacing w:line="189" w:lineRule="exact" w:before="17"/>
              <w:ind w:left="113" w:right="117"/>
              <w:jc w:val="center"/>
              <w:rPr>
                <w:sz w:val="17"/>
              </w:rPr>
            </w:pPr>
            <w:r>
              <w:rPr>
                <w:sz w:val="17"/>
              </w:rPr>
              <w:t>0,5</w:t>
            </w:r>
          </w:p>
        </w:tc>
        <w:tc>
          <w:tcPr>
            <w:tcW w:w="715" w:type="dxa"/>
          </w:tcPr>
          <w:p>
            <w:pPr>
              <w:pStyle w:val="TableParagraph"/>
              <w:spacing w:line="189" w:lineRule="exact" w:before="17"/>
              <w:ind w:left="113" w:right="117"/>
              <w:jc w:val="center"/>
              <w:rPr>
                <w:sz w:val="17"/>
              </w:rPr>
            </w:pPr>
            <w:r>
              <w:rPr>
                <w:sz w:val="17"/>
              </w:rPr>
              <w:t>0,4</w:t>
            </w:r>
          </w:p>
        </w:tc>
        <w:tc>
          <w:tcPr>
            <w:tcW w:w="715" w:type="dxa"/>
          </w:tcPr>
          <w:p>
            <w:pPr>
              <w:pStyle w:val="TableParagraph"/>
              <w:spacing w:line="189" w:lineRule="exact" w:before="17"/>
              <w:ind w:left="110" w:right="117"/>
              <w:jc w:val="center"/>
              <w:rPr>
                <w:sz w:val="17"/>
              </w:rPr>
            </w:pPr>
            <w:r>
              <w:rPr>
                <w:sz w:val="17"/>
              </w:rPr>
              <w:t>0,6</w:t>
            </w:r>
          </w:p>
        </w:tc>
        <w:tc>
          <w:tcPr>
            <w:tcW w:w="715" w:type="dxa"/>
          </w:tcPr>
          <w:p>
            <w:pPr>
              <w:pStyle w:val="TableParagraph"/>
              <w:spacing w:line="189" w:lineRule="exact" w:before="17"/>
              <w:ind w:left="110" w:right="117"/>
              <w:jc w:val="center"/>
              <w:rPr>
                <w:sz w:val="17"/>
              </w:rPr>
            </w:pPr>
            <w:r>
              <w:rPr>
                <w:sz w:val="17"/>
              </w:rPr>
              <w:t>0,9</w:t>
            </w:r>
          </w:p>
        </w:tc>
      </w:tr>
      <w:tr>
        <w:trPr>
          <w:trHeight w:val="226" w:hRule="atLeast"/>
        </w:trPr>
        <w:tc>
          <w:tcPr>
            <w:tcW w:w="4579" w:type="dxa"/>
          </w:tcPr>
          <w:p>
            <w:pPr>
              <w:pStyle w:val="TableParagraph"/>
              <w:spacing w:line="190" w:lineRule="exact" w:before="16"/>
              <w:ind w:left="158"/>
              <w:jc w:val="left"/>
              <w:rPr>
                <w:sz w:val="17"/>
              </w:rPr>
            </w:pPr>
            <w:r>
              <w:rPr>
                <w:sz w:val="17"/>
              </w:rPr>
              <w:t>dipendenti (ULA)</w:t>
            </w:r>
          </w:p>
        </w:tc>
        <w:tc>
          <w:tcPr>
            <w:tcW w:w="789" w:type="dxa"/>
          </w:tcPr>
          <w:p>
            <w:pPr>
              <w:pStyle w:val="TableParagraph"/>
              <w:spacing w:line="190" w:lineRule="exact" w:before="16"/>
              <w:ind w:left="188" w:right="117"/>
              <w:jc w:val="center"/>
              <w:rPr>
                <w:sz w:val="17"/>
              </w:rPr>
            </w:pPr>
            <w:r>
              <w:rPr>
                <w:sz w:val="17"/>
              </w:rPr>
              <w:t>1,3</w:t>
            </w:r>
          </w:p>
        </w:tc>
        <w:tc>
          <w:tcPr>
            <w:tcW w:w="715" w:type="dxa"/>
          </w:tcPr>
          <w:p>
            <w:pPr>
              <w:pStyle w:val="TableParagraph"/>
              <w:spacing w:line="190" w:lineRule="exact" w:before="16"/>
              <w:ind w:left="113" w:right="117"/>
              <w:jc w:val="center"/>
              <w:rPr>
                <w:sz w:val="17"/>
              </w:rPr>
            </w:pPr>
            <w:r>
              <w:rPr>
                <w:sz w:val="17"/>
              </w:rPr>
              <w:t>0,7</w:t>
            </w:r>
          </w:p>
        </w:tc>
        <w:tc>
          <w:tcPr>
            <w:tcW w:w="715" w:type="dxa"/>
          </w:tcPr>
          <w:p>
            <w:pPr>
              <w:pStyle w:val="TableParagraph"/>
              <w:spacing w:line="190" w:lineRule="exact" w:before="16"/>
              <w:ind w:left="113" w:right="117"/>
              <w:jc w:val="center"/>
              <w:rPr>
                <w:sz w:val="17"/>
              </w:rPr>
            </w:pPr>
            <w:r>
              <w:rPr>
                <w:sz w:val="17"/>
              </w:rPr>
              <w:t>0,5</w:t>
            </w:r>
          </w:p>
        </w:tc>
        <w:tc>
          <w:tcPr>
            <w:tcW w:w="715" w:type="dxa"/>
          </w:tcPr>
          <w:p>
            <w:pPr>
              <w:pStyle w:val="TableParagraph"/>
              <w:spacing w:line="190" w:lineRule="exact" w:before="16"/>
              <w:ind w:left="110" w:right="117"/>
              <w:jc w:val="center"/>
              <w:rPr>
                <w:sz w:val="17"/>
              </w:rPr>
            </w:pPr>
            <w:r>
              <w:rPr>
                <w:sz w:val="17"/>
              </w:rPr>
              <w:t>0,8</w:t>
            </w:r>
          </w:p>
        </w:tc>
        <w:tc>
          <w:tcPr>
            <w:tcW w:w="715" w:type="dxa"/>
          </w:tcPr>
          <w:p>
            <w:pPr>
              <w:pStyle w:val="TableParagraph"/>
              <w:spacing w:line="190" w:lineRule="exact" w:before="16"/>
              <w:ind w:left="110" w:right="117"/>
              <w:jc w:val="center"/>
              <w:rPr>
                <w:sz w:val="17"/>
              </w:rPr>
            </w:pPr>
            <w:r>
              <w:rPr>
                <w:sz w:val="17"/>
              </w:rPr>
              <w:t>1,0</w:t>
            </w:r>
          </w:p>
        </w:tc>
      </w:tr>
      <w:tr>
        <w:trPr>
          <w:trHeight w:val="227" w:hRule="atLeast"/>
        </w:trPr>
        <w:tc>
          <w:tcPr>
            <w:tcW w:w="4579" w:type="dxa"/>
          </w:tcPr>
          <w:p>
            <w:pPr>
              <w:pStyle w:val="TableParagraph"/>
              <w:spacing w:line="190" w:lineRule="exact" w:before="17"/>
              <w:ind w:left="28"/>
              <w:jc w:val="left"/>
              <w:rPr>
                <w:sz w:val="17"/>
              </w:rPr>
            </w:pPr>
            <w:r>
              <w:rPr>
                <w:sz w:val="17"/>
              </w:rPr>
              <w:t>Occupati di contabilità nazionale</w:t>
            </w:r>
          </w:p>
        </w:tc>
        <w:tc>
          <w:tcPr>
            <w:tcW w:w="789" w:type="dxa"/>
          </w:tcPr>
          <w:p>
            <w:pPr>
              <w:pStyle w:val="TableParagraph"/>
              <w:spacing w:line="190" w:lineRule="exact" w:before="17"/>
              <w:ind w:left="188" w:right="117"/>
              <w:jc w:val="center"/>
              <w:rPr>
                <w:sz w:val="17"/>
              </w:rPr>
            </w:pPr>
            <w:r>
              <w:rPr>
                <w:sz w:val="17"/>
              </w:rPr>
              <w:t>0,9</w:t>
            </w:r>
          </w:p>
        </w:tc>
        <w:tc>
          <w:tcPr>
            <w:tcW w:w="715" w:type="dxa"/>
          </w:tcPr>
          <w:p>
            <w:pPr>
              <w:pStyle w:val="TableParagraph"/>
              <w:spacing w:line="190" w:lineRule="exact" w:before="17"/>
              <w:ind w:left="113" w:right="117"/>
              <w:jc w:val="center"/>
              <w:rPr>
                <w:sz w:val="17"/>
              </w:rPr>
            </w:pPr>
            <w:r>
              <w:rPr>
                <w:sz w:val="17"/>
              </w:rPr>
              <w:t>0,5</w:t>
            </w:r>
          </w:p>
        </w:tc>
        <w:tc>
          <w:tcPr>
            <w:tcW w:w="715" w:type="dxa"/>
          </w:tcPr>
          <w:p>
            <w:pPr>
              <w:pStyle w:val="TableParagraph"/>
              <w:spacing w:line="190" w:lineRule="exact" w:before="17"/>
              <w:ind w:left="113" w:right="117"/>
              <w:jc w:val="center"/>
              <w:rPr>
                <w:sz w:val="17"/>
              </w:rPr>
            </w:pPr>
            <w:r>
              <w:rPr>
                <w:sz w:val="17"/>
              </w:rPr>
              <w:t>0,3</w:t>
            </w:r>
          </w:p>
        </w:tc>
        <w:tc>
          <w:tcPr>
            <w:tcW w:w="715" w:type="dxa"/>
          </w:tcPr>
          <w:p>
            <w:pPr>
              <w:pStyle w:val="TableParagraph"/>
              <w:spacing w:line="190" w:lineRule="exact" w:before="17"/>
              <w:ind w:left="110" w:right="117"/>
              <w:jc w:val="center"/>
              <w:rPr>
                <w:sz w:val="17"/>
              </w:rPr>
            </w:pPr>
            <w:r>
              <w:rPr>
                <w:sz w:val="17"/>
              </w:rPr>
              <w:t>0,6</w:t>
            </w:r>
          </w:p>
        </w:tc>
        <w:tc>
          <w:tcPr>
            <w:tcW w:w="715" w:type="dxa"/>
          </w:tcPr>
          <w:p>
            <w:pPr>
              <w:pStyle w:val="TableParagraph"/>
              <w:spacing w:line="190" w:lineRule="exact" w:before="17"/>
              <w:ind w:left="110" w:right="117"/>
              <w:jc w:val="center"/>
              <w:rPr>
                <w:sz w:val="17"/>
              </w:rPr>
            </w:pPr>
            <w:r>
              <w:rPr>
                <w:sz w:val="17"/>
              </w:rPr>
              <w:t>1,0</w:t>
            </w:r>
          </w:p>
        </w:tc>
      </w:tr>
      <w:tr>
        <w:trPr>
          <w:trHeight w:val="226" w:hRule="atLeast"/>
        </w:trPr>
        <w:tc>
          <w:tcPr>
            <w:tcW w:w="4579" w:type="dxa"/>
          </w:tcPr>
          <w:p>
            <w:pPr>
              <w:pStyle w:val="TableParagraph"/>
              <w:spacing w:line="189" w:lineRule="exact" w:before="17"/>
              <w:ind w:left="28"/>
              <w:jc w:val="left"/>
              <w:rPr>
                <w:sz w:val="17"/>
              </w:rPr>
            </w:pPr>
            <w:r>
              <w:rPr>
                <w:sz w:val="17"/>
              </w:rPr>
              <w:t>Occupati FL</w:t>
            </w:r>
          </w:p>
        </w:tc>
        <w:tc>
          <w:tcPr>
            <w:tcW w:w="789" w:type="dxa"/>
          </w:tcPr>
          <w:p>
            <w:pPr>
              <w:pStyle w:val="TableParagraph"/>
              <w:spacing w:line="189" w:lineRule="exact" w:before="17"/>
              <w:ind w:left="188" w:right="117"/>
              <w:jc w:val="center"/>
              <w:rPr>
                <w:sz w:val="17"/>
              </w:rPr>
            </w:pPr>
            <w:r>
              <w:rPr>
                <w:sz w:val="17"/>
              </w:rPr>
              <w:t>0,8</w:t>
            </w:r>
          </w:p>
        </w:tc>
        <w:tc>
          <w:tcPr>
            <w:tcW w:w="715" w:type="dxa"/>
          </w:tcPr>
          <w:p>
            <w:pPr>
              <w:pStyle w:val="TableParagraph"/>
              <w:spacing w:line="189" w:lineRule="exact" w:before="17"/>
              <w:ind w:left="113" w:right="117"/>
              <w:jc w:val="center"/>
              <w:rPr>
                <w:sz w:val="17"/>
              </w:rPr>
            </w:pPr>
            <w:r>
              <w:rPr>
                <w:sz w:val="17"/>
              </w:rPr>
              <w:t>0,5</w:t>
            </w:r>
          </w:p>
        </w:tc>
        <w:tc>
          <w:tcPr>
            <w:tcW w:w="715" w:type="dxa"/>
          </w:tcPr>
          <w:p>
            <w:pPr>
              <w:pStyle w:val="TableParagraph"/>
              <w:spacing w:line="189" w:lineRule="exact" w:before="17"/>
              <w:ind w:left="113" w:right="117"/>
              <w:jc w:val="center"/>
              <w:rPr>
                <w:sz w:val="17"/>
              </w:rPr>
            </w:pPr>
            <w:r>
              <w:rPr>
                <w:sz w:val="17"/>
              </w:rPr>
              <w:t>0,4</w:t>
            </w:r>
          </w:p>
        </w:tc>
        <w:tc>
          <w:tcPr>
            <w:tcW w:w="715" w:type="dxa"/>
          </w:tcPr>
          <w:p>
            <w:pPr>
              <w:pStyle w:val="TableParagraph"/>
              <w:spacing w:line="189" w:lineRule="exact" w:before="17"/>
              <w:ind w:left="110" w:right="117"/>
              <w:jc w:val="center"/>
              <w:rPr>
                <w:sz w:val="17"/>
              </w:rPr>
            </w:pPr>
            <w:r>
              <w:rPr>
                <w:sz w:val="17"/>
              </w:rPr>
              <w:t>0,7</w:t>
            </w:r>
          </w:p>
        </w:tc>
        <w:tc>
          <w:tcPr>
            <w:tcW w:w="715" w:type="dxa"/>
          </w:tcPr>
          <w:p>
            <w:pPr>
              <w:pStyle w:val="TableParagraph"/>
              <w:spacing w:line="189" w:lineRule="exact" w:before="17"/>
              <w:ind w:left="110" w:right="117"/>
              <w:jc w:val="center"/>
              <w:rPr>
                <w:sz w:val="17"/>
              </w:rPr>
            </w:pPr>
            <w:r>
              <w:rPr>
                <w:sz w:val="17"/>
              </w:rPr>
              <w:t>0,9</w:t>
            </w:r>
          </w:p>
        </w:tc>
      </w:tr>
      <w:tr>
        <w:trPr>
          <w:trHeight w:val="226" w:hRule="atLeast"/>
        </w:trPr>
        <w:tc>
          <w:tcPr>
            <w:tcW w:w="4579" w:type="dxa"/>
          </w:tcPr>
          <w:p>
            <w:pPr>
              <w:pStyle w:val="TableParagraph"/>
              <w:spacing w:line="190" w:lineRule="exact" w:before="16"/>
              <w:ind w:left="28"/>
              <w:jc w:val="left"/>
              <w:rPr>
                <w:sz w:val="17"/>
              </w:rPr>
            </w:pPr>
            <w:r>
              <w:rPr>
                <w:sz w:val="17"/>
              </w:rPr>
              <w:t>Ore lavorate</w:t>
            </w:r>
          </w:p>
        </w:tc>
        <w:tc>
          <w:tcPr>
            <w:tcW w:w="789" w:type="dxa"/>
          </w:tcPr>
          <w:p>
            <w:pPr>
              <w:pStyle w:val="TableParagraph"/>
              <w:spacing w:line="190" w:lineRule="exact" w:before="16"/>
              <w:ind w:left="188" w:right="117"/>
              <w:jc w:val="center"/>
              <w:rPr>
                <w:sz w:val="17"/>
              </w:rPr>
            </w:pPr>
            <w:r>
              <w:rPr>
                <w:sz w:val="17"/>
              </w:rPr>
              <w:t>1,1</w:t>
            </w:r>
          </w:p>
        </w:tc>
        <w:tc>
          <w:tcPr>
            <w:tcW w:w="715" w:type="dxa"/>
          </w:tcPr>
          <w:p>
            <w:pPr>
              <w:pStyle w:val="TableParagraph"/>
              <w:spacing w:line="190" w:lineRule="exact" w:before="16"/>
              <w:ind w:left="113" w:right="117"/>
              <w:jc w:val="center"/>
              <w:rPr>
                <w:sz w:val="17"/>
              </w:rPr>
            </w:pPr>
            <w:r>
              <w:rPr>
                <w:sz w:val="17"/>
              </w:rPr>
              <w:t>0,6</w:t>
            </w:r>
          </w:p>
        </w:tc>
        <w:tc>
          <w:tcPr>
            <w:tcW w:w="715" w:type="dxa"/>
          </w:tcPr>
          <w:p>
            <w:pPr>
              <w:pStyle w:val="TableParagraph"/>
              <w:spacing w:line="190" w:lineRule="exact" w:before="16"/>
              <w:ind w:left="113" w:right="117"/>
              <w:jc w:val="center"/>
              <w:rPr>
                <w:sz w:val="17"/>
              </w:rPr>
            </w:pPr>
            <w:r>
              <w:rPr>
                <w:sz w:val="17"/>
              </w:rPr>
              <w:t>0,4</w:t>
            </w:r>
          </w:p>
        </w:tc>
        <w:tc>
          <w:tcPr>
            <w:tcW w:w="715" w:type="dxa"/>
          </w:tcPr>
          <w:p>
            <w:pPr>
              <w:pStyle w:val="TableParagraph"/>
              <w:spacing w:line="190" w:lineRule="exact" w:before="16"/>
              <w:ind w:left="110" w:right="117"/>
              <w:jc w:val="center"/>
              <w:rPr>
                <w:sz w:val="17"/>
              </w:rPr>
            </w:pPr>
            <w:r>
              <w:rPr>
                <w:sz w:val="17"/>
              </w:rPr>
              <w:t>0,7</w:t>
            </w:r>
          </w:p>
        </w:tc>
        <w:tc>
          <w:tcPr>
            <w:tcW w:w="715" w:type="dxa"/>
          </w:tcPr>
          <w:p>
            <w:pPr>
              <w:pStyle w:val="TableParagraph"/>
              <w:spacing w:line="190" w:lineRule="exact" w:before="16"/>
              <w:ind w:left="110" w:right="117"/>
              <w:jc w:val="center"/>
              <w:rPr>
                <w:sz w:val="17"/>
              </w:rPr>
            </w:pPr>
            <w:r>
              <w:rPr>
                <w:sz w:val="17"/>
              </w:rPr>
              <w:t>1,0</w:t>
            </w:r>
          </w:p>
        </w:tc>
      </w:tr>
      <w:tr>
        <w:trPr>
          <w:trHeight w:val="226" w:hRule="atLeast"/>
        </w:trPr>
        <w:tc>
          <w:tcPr>
            <w:tcW w:w="4579" w:type="dxa"/>
          </w:tcPr>
          <w:p>
            <w:pPr>
              <w:pStyle w:val="TableParagraph"/>
              <w:spacing w:line="189" w:lineRule="exact" w:before="17"/>
              <w:ind w:left="28"/>
              <w:jc w:val="left"/>
              <w:rPr>
                <w:sz w:val="17"/>
              </w:rPr>
            </w:pPr>
            <w:r>
              <w:rPr>
                <w:sz w:val="17"/>
              </w:rPr>
              <w:t>Ore lavorate per occupato</w:t>
            </w:r>
          </w:p>
        </w:tc>
        <w:tc>
          <w:tcPr>
            <w:tcW w:w="789" w:type="dxa"/>
          </w:tcPr>
          <w:p>
            <w:pPr>
              <w:pStyle w:val="TableParagraph"/>
              <w:spacing w:line="189" w:lineRule="exact" w:before="17"/>
              <w:ind w:left="188" w:right="117"/>
              <w:jc w:val="center"/>
              <w:rPr>
                <w:sz w:val="17"/>
              </w:rPr>
            </w:pPr>
            <w:r>
              <w:rPr>
                <w:sz w:val="17"/>
              </w:rPr>
              <w:t>0,2</w:t>
            </w:r>
          </w:p>
        </w:tc>
        <w:tc>
          <w:tcPr>
            <w:tcW w:w="715" w:type="dxa"/>
          </w:tcPr>
          <w:p>
            <w:pPr>
              <w:pStyle w:val="TableParagraph"/>
              <w:spacing w:line="189" w:lineRule="exact" w:before="17"/>
              <w:ind w:left="113" w:right="117"/>
              <w:jc w:val="center"/>
              <w:rPr>
                <w:sz w:val="17"/>
              </w:rPr>
            </w:pPr>
            <w:r>
              <w:rPr>
                <w:sz w:val="17"/>
              </w:rPr>
              <w:t>0,1</w:t>
            </w:r>
          </w:p>
        </w:tc>
        <w:tc>
          <w:tcPr>
            <w:tcW w:w="715" w:type="dxa"/>
          </w:tcPr>
          <w:p>
            <w:pPr>
              <w:pStyle w:val="TableParagraph"/>
              <w:spacing w:line="189" w:lineRule="exact" w:before="17"/>
              <w:ind w:left="113" w:right="117"/>
              <w:jc w:val="center"/>
              <w:rPr>
                <w:sz w:val="17"/>
              </w:rPr>
            </w:pPr>
            <w:r>
              <w:rPr>
                <w:sz w:val="17"/>
              </w:rPr>
              <w:t>0,1</w:t>
            </w:r>
          </w:p>
        </w:tc>
        <w:tc>
          <w:tcPr>
            <w:tcW w:w="715" w:type="dxa"/>
          </w:tcPr>
          <w:p>
            <w:pPr>
              <w:pStyle w:val="TableParagraph"/>
              <w:spacing w:line="189" w:lineRule="exact" w:before="17"/>
              <w:ind w:left="110" w:right="117"/>
              <w:jc w:val="center"/>
              <w:rPr>
                <w:sz w:val="17"/>
              </w:rPr>
            </w:pPr>
            <w:r>
              <w:rPr>
                <w:sz w:val="17"/>
              </w:rPr>
              <w:t>0,1</w:t>
            </w:r>
          </w:p>
        </w:tc>
        <w:tc>
          <w:tcPr>
            <w:tcW w:w="715" w:type="dxa"/>
          </w:tcPr>
          <w:p>
            <w:pPr>
              <w:pStyle w:val="TableParagraph"/>
              <w:spacing w:line="189" w:lineRule="exact" w:before="17"/>
              <w:ind w:left="110" w:right="117"/>
              <w:jc w:val="center"/>
              <w:rPr>
                <w:sz w:val="17"/>
              </w:rPr>
            </w:pPr>
            <w:r>
              <w:rPr>
                <w:sz w:val="17"/>
              </w:rPr>
              <w:t>0,0</w:t>
            </w:r>
          </w:p>
        </w:tc>
      </w:tr>
      <w:tr>
        <w:trPr>
          <w:trHeight w:val="226" w:hRule="atLeast"/>
        </w:trPr>
        <w:tc>
          <w:tcPr>
            <w:tcW w:w="4579" w:type="dxa"/>
          </w:tcPr>
          <w:p>
            <w:pPr>
              <w:pStyle w:val="TableParagraph"/>
              <w:spacing w:line="190" w:lineRule="exact" w:before="16"/>
              <w:ind w:left="28"/>
              <w:jc w:val="left"/>
              <w:rPr>
                <w:sz w:val="17"/>
              </w:rPr>
            </w:pPr>
            <w:r>
              <w:rPr>
                <w:sz w:val="17"/>
              </w:rPr>
              <w:t>Tasso di disoccupazione</w:t>
            </w:r>
          </w:p>
        </w:tc>
        <w:tc>
          <w:tcPr>
            <w:tcW w:w="789" w:type="dxa"/>
          </w:tcPr>
          <w:p>
            <w:pPr>
              <w:pStyle w:val="TableParagraph"/>
              <w:spacing w:line="190" w:lineRule="exact" w:before="16"/>
              <w:ind w:left="190" w:right="117"/>
              <w:jc w:val="center"/>
              <w:rPr>
                <w:sz w:val="17"/>
              </w:rPr>
            </w:pPr>
            <w:r>
              <w:rPr>
                <w:sz w:val="17"/>
              </w:rPr>
              <w:t>10,6</w:t>
            </w:r>
          </w:p>
        </w:tc>
        <w:tc>
          <w:tcPr>
            <w:tcW w:w="715" w:type="dxa"/>
          </w:tcPr>
          <w:p>
            <w:pPr>
              <w:pStyle w:val="TableParagraph"/>
              <w:spacing w:line="190" w:lineRule="exact" w:before="16"/>
              <w:ind w:left="114" w:right="116"/>
              <w:jc w:val="center"/>
              <w:rPr>
                <w:sz w:val="17"/>
              </w:rPr>
            </w:pPr>
            <w:r>
              <w:rPr>
                <w:sz w:val="17"/>
              </w:rPr>
              <w:t>10,1</w:t>
            </w:r>
          </w:p>
        </w:tc>
        <w:tc>
          <w:tcPr>
            <w:tcW w:w="715" w:type="dxa"/>
          </w:tcPr>
          <w:p>
            <w:pPr>
              <w:pStyle w:val="TableParagraph"/>
              <w:spacing w:line="190" w:lineRule="exact" w:before="16"/>
              <w:ind w:left="114" w:right="116"/>
              <w:jc w:val="center"/>
              <w:rPr>
                <w:sz w:val="17"/>
              </w:rPr>
            </w:pPr>
            <w:r>
              <w:rPr>
                <w:sz w:val="17"/>
              </w:rPr>
              <w:t>10,0</w:t>
            </w:r>
          </w:p>
        </w:tc>
        <w:tc>
          <w:tcPr>
            <w:tcW w:w="715" w:type="dxa"/>
          </w:tcPr>
          <w:p>
            <w:pPr>
              <w:pStyle w:val="TableParagraph"/>
              <w:spacing w:line="190" w:lineRule="exact" w:before="16"/>
              <w:ind w:left="110" w:right="117"/>
              <w:jc w:val="center"/>
              <w:rPr>
                <w:sz w:val="17"/>
              </w:rPr>
            </w:pPr>
            <w:r>
              <w:rPr>
                <w:sz w:val="17"/>
              </w:rPr>
              <w:t>9,5</w:t>
            </w:r>
          </w:p>
        </w:tc>
        <w:tc>
          <w:tcPr>
            <w:tcW w:w="715" w:type="dxa"/>
          </w:tcPr>
          <w:p>
            <w:pPr>
              <w:pStyle w:val="TableParagraph"/>
              <w:spacing w:line="190" w:lineRule="exact" w:before="16"/>
              <w:ind w:left="110" w:right="117"/>
              <w:jc w:val="center"/>
              <w:rPr>
                <w:sz w:val="17"/>
              </w:rPr>
            </w:pPr>
            <w:r>
              <w:rPr>
                <w:sz w:val="17"/>
              </w:rPr>
              <w:t>9,1</w:t>
            </w:r>
          </w:p>
        </w:tc>
      </w:tr>
      <w:tr>
        <w:trPr>
          <w:trHeight w:val="210" w:hRule="atLeast"/>
        </w:trPr>
        <w:tc>
          <w:tcPr>
            <w:tcW w:w="4579" w:type="dxa"/>
          </w:tcPr>
          <w:p>
            <w:pPr>
              <w:pStyle w:val="TableParagraph"/>
              <w:spacing w:line="173" w:lineRule="exact" w:before="17"/>
              <w:ind w:left="28"/>
              <w:jc w:val="left"/>
              <w:rPr>
                <w:sz w:val="17"/>
              </w:rPr>
            </w:pPr>
            <w:r>
              <w:rPr>
                <w:sz w:val="17"/>
              </w:rPr>
              <w:t>Tasso di occupazione (15-64 anni)</w:t>
            </w:r>
          </w:p>
        </w:tc>
        <w:tc>
          <w:tcPr>
            <w:tcW w:w="789" w:type="dxa"/>
          </w:tcPr>
          <w:p>
            <w:pPr>
              <w:pStyle w:val="TableParagraph"/>
              <w:spacing w:line="173" w:lineRule="exact" w:before="17"/>
              <w:ind w:left="190" w:right="117"/>
              <w:jc w:val="center"/>
              <w:rPr>
                <w:sz w:val="17"/>
              </w:rPr>
            </w:pPr>
            <w:r>
              <w:rPr>
                <w:sz w:val="17"/>
              </w:rPr>
              <w:t>58,5</w:t>
            </w:r>
          </w:p>
        </w:tc>
        <w:tc>
          <w:tcPr>
            <w:tcW w:w="715" w:type="dxa"/>
          </w:tcPr>
          <w:p>
            <w:pPr>
              <w:pStyle w:val="TableParagraph"/>
              <w:spacing w:line="173" w:lineRule="exact" w:before="17"/>
              <w:ind w:left="114" w:right="116"/>
              <w:jc w:val="center"/>
              <w:rPr>
                <w:sz w:val="17"/>
              </w:rPr>
            </w:pPr>
            <w:r>
              <w:rPr>
                <w:sz w:val="17"/>
              </w:rPr>
              <w:t>58,9</w:t>
            </w:r>
          </w:p>
        </w:tc>
        <w:tc>
          <w:tcPr>
            <w:tcW w:w="715" w:type="dxa"/>
          </w:tcPr>
          <w:p>
            <w:pPr>
              <w:pStyle w:val="TableParagraph"/>
              <w:spacing w:line="173" w:lineRule="exact" w:before="17"/>
              <w:ind w:left="114" w:right="116"/>
              <w:jc w:val="center"/>
              <w:rPr>
                <w:sz w:val="17"/>
              </w:rPr>
            </w:pPr>
            <w:r>
              <w:rPr>
                <w:sz w:val="17"/>
              </w:rPr>
              <w:t>59,3</w:t>
            </w:r>
          </w:p>
        </w:tc>
        <w:tc>
          <w:tcPr>
            <w:tcW w:w="715" w:type="dxa"/>
          </w:tcPr>
          <w:p>
            <w:pPr>
              <w:pStyle w:val="TableParagraph"/>
              <w:spacing w:line="173" w:lineRule="exact" w:before="17"/>
              <w:ind w:left="112" w:right="117"/>
              <w:jc w:val="center"/>
              <w:rPr>
                <w:sz w:val="17"/>
              </w:rPr>
            </w:pPr>
            <w:r>
              <w:rPr>
                <w:sz w:val="17"/>
              </w:rPr>
              <w:t>59,8</w:t>
            </w:r>
          </w:p>
        </w:tc>
        <w:tc>
          <w:tcPr>
            <w:tcW w:w="715" w:type="dxa"/>
          </w:tcPr>
          <w:p>
            <w:pPr>
              <w:pStyle w:val="TableParagraph"/>
              <w:spacing w:line="173" w:lineRule="exact" w:before="17"/>
              <w:ind w:left="113" w:right="117"/>
              <w:jc w:val="center"/>
              <w:rPr>
                <w:sz w:val="17"/>
              </w:rPr>
            </w:pPr>
            <w:r>
              <w:rPr>
                <w:sz w:val="17"/>
              </w:rPr>
              <w:t>60,5</w:t>
            </w:r>
          </w:p>
        </w:tc>
      </w:tr>
    </w:tbl>
    <w:p>
      <w:pPr>
        <w:pStyle w:val="BodyText"/>
        <w:spacing w:before="7"/>
        <w:rPr>
          <w:sz w:val="8"/>
        </w:rPr>
      </w:pPr>
    </w:p>
    <w:p>
      <w:pPr>
        <w:tabs>
          <w:tab w:pos="9321" w:val="right" w:leader="none"/>
        </w:tabs>
        <w:spacing w:before="103"/>
        <w:ind w:left="1157" w:right="0" w:firstLine="0"/>
        <w:jc w:val="left"/>
        <w:rPr>
          <w:rFonts w:ascii="Franklin Gothic Book"/>
          <w:i/>
          <w:sz w:val="16"/>
        </w:rPr>
      </w:pPr>
      <w:r>
        <w:rPr>
          <w:rFonts w:ascii="Franklin Gothic Book"/>
          <w:i/>
          <w:sz w:val="17"/>
        </w:rPr>
        <w:t>pm. PIL nominale (valori assoluti in</w:t>
      </w:r>
      <w:r>
        <w:rPr>
          <w:rFonts w:ascii="Franklin Gothic Book"/>
          <w:i/>
          <w:spacing w:val="-7"/>
          <w:sz w:val="17"/>
        </w:rPr>
        <w:t> </w:t>
      </w:r>
      <w:r>
        <w:rPr>
          <w:rFonts w:ascii="Franklin Gothic Book"/>
          <w:i/>
          <w:sz w:val="17"/>
        </w:rPr>
        <w:t>milioni</w:t>
      </w:r>
      <w:r>
        <w:rPr>
          <w:rFonts w:ascii="Franklin Gothic Book"/>
          <w:i/>
          <w:spacing w:val="-1"/>
          <w:sz w:val="17"/>
        </w:rPr>
        <w:t> </w:t>
      </w:r>
      <w:r>
        <w:rPr>
          <w:rFonts w:ascii="Franklin Gothic Book"/>
          <w:i/>
          <w:sz w:val="17"/>
        </w:rPr>
        <w:t>euro)</w:t>
        <w:tab/>
      </w:r>
      <w:r>
        <w:rPr>
          <w:rFonts w:ascii="Franklin Gothic Book"/>
          <w:i/>
          <w:sz w:val="16"/>
        </w:rPr>
        <w:t>1765421 1783142 1817985 1867901</w:t>
      </w:r>
      <w:r>
        <w:rPr>
          <w:rFonts w:ascii="Franklin Gothic Book"/>
          <w:i/>
          <w:spacing w:val="16"/>
          <w:sz w:val="16"/>
        </w:rPr>
        <w:t> </w:t>
      </w:r>
      <w:r>
        <w:rPr>
          <w:rFonts w:ascii="Franklin Gothic Book"/>
          <w:i/>
          <w:sz w:val="16"/>
        </w:rPr>
        <w:t>1917350</w:t>
      </w:r>
    </w:p>
    <w:p>
      <w:pPr>
        <w:spacing w:before="62"/>
        <w:ind w:left="1157" w:right="5527" w:firstLine="0"/>
        <w:jc w:val="left"/>
        <w:rPr>
          <w:rFonts w:ascii="Franklin Gothic Book"/>
          <w:sz w:val="17"/>
        </w:rPr>
      </w:pPr>
      <w:r>
        <w:rPr/>
        <w:pict>
          <v:group style="position:absolute;margin-left:113.419998pt;margin-top:3.660291pt;width:411.2pt;height:.25pt;mso-position-horizontal-relative:page;mso-position-vertical-relative:paragraph;z-index:251787264" coordorigin="2268,73" coordsize="8224,5">
            <v:line style="position:absolute" from="2268,76" to="6923,76" stroked="true" strokeweight=".23999pt" strokecolor="#000000">
              <v:stroke dashstyle="solid"/>
            </v:line>
            <v:rect style="position:absolute;left:6923;top:73;width:5;height:5" filled="true" fillcolor="#000000" stroked="false">
              <v:fill type="solid"/>
            </v:rect>
            <v:line style="position:absolute" from="6928,76" to="7636,76" stroked="true" strokeweight=".23999pt" strokecolor="#000000">
              <v:stroke dashstyle="solid"/>
            </v:line>
            <v:rect style="position:absolute;left:7635;top:73;width:5;height:5" filled="true" fillcolor="#000000" stroked="false">
              <v:fill type="solid"/>
            </v:rect>
            <v:line style="position:absolute" from="7641,76" to="8349,76" stroked="true" strokeweight=".23999pt" strokecolor="#000000">
              <v:stroke dashstyle="solid"/>
            </v:line>
            <v:rect style="position:absolute;left:8348;top:73;width:5;height:5" filled="true" fillcolor="#000000" stroked="false">
              <v:fill type="solid"/>
            </v:rect>
            <v:line style="position:absolute" from="8353,76" to="9064,76" stroked="true" strokeweight=".23999pt" strokecolor="#000000">
              <v:stroke dashstyle="solid"/>
            </v:line>
            <v:rect style="position:absolute;left:9064;top:73;width:5;height:5" filled="true" fillcolor="#000000" stroked="false">
              <v:fill type="solid"/>
            </v:rect>
            <v:line style="position:absolute" from="9069,76" to="9777,76" stroked="true" strokeweight=".23999pt" strokecolor="#000000">
              <v:stroke dashstyle="solid"/>
            </v:line>
            <v:rect style="position:absolute;left:9777;top:73;width:5;height:5" filled="true" fillcolor="#000000" stroked="false">
              <v:fill type="solid"/>
            </v:rect>
            <v:line style="position:absolute" from="9782,76" to="10492,76" stroked="true" strokeweight=".23999pt" strokecolor="#000000">
              <v:stroke dashstyle="solid"/>
            </v:line>
            <w10:wrap type="none"/>
          </v:group>
        </w:pict>
      </w:r>
      <w:r>
        <w:rPr>
          <w:rFonts w:ascii="Franklin Gothic Book"/>
          <w:sz w:val="17"/>
        </w:rPr>
        <w:t>(*) Eventuali imprecisioni derivano dagli arrotondamenti. (**) Fonte: ISTAT.</w:t>
      </w:r>
    </w:p>
    <w:p>
      <w:pPr>
        <w:spacing w:before="1" w:after="17"/>
        <w:ind w:left="1157" w:right="1261" w:firstLine="0"/>
        <w:jc w:val="left"/>
        <w:rPr>
          <w:rFonts w:ascii="Franklin Gothic Book" w:hAnsi="Franklin Gothic Book"/>
          <w:sz w:val="17"/>
        </w:rPr>
      </w:pPr>
      <w:r>
        <w:rPr>
          <w:rFonts w:ascii="Franklin Gothic Book" w:hAnsi="Franklin Gothic Book"/>
          <w:sz w:val="17"/>
        </w:rPr>
        <w:t>Nota: Il quadro macroeconomico è stato elaborato sulla base delle informazioni disponibili al 23 settembre 2019. Per le esogene internazionali si fa riferimento alle informazioni disponibili al 10 settembre 2019.</w:t>
      </w:r>
    </w:p>
    <w:p>
      <w:pPr>
        <w:pStyle w:val="BodyText"/>
        <w:spacing w:line="30" w:lineRule="exact"/>
        <w:ind w:left="1099"/>
        <w:rPr>
          <w:rFonts w:ascii="Franklin Gothic Book"/>
          <w:sz w:val="3"/>
        </w:rPr>
      </w:pPr>
      <w:r>
        <w:rPr>
          <w:rFonts w:ascii="Franklin Gothic Book"/>
          <w:position w:val="0"/>
          <w:sz w:val="3"/>
        </w:rPr>
        <w:pict>
          <v:group style="width:411.95pt;height:1.45pt;mso-position-horizontal-relative:char;mso-position-vertical-relative:line" coordorigin="0,0" coordsize="8239,29">
            <v:line style="position:absolute" from="0,14" to="8238,14" stroked="true" strokeweight="1.44pt" strokecolor="#086d44">
              <v:stroke dashstyle="solid"/>
            </v:line>
          </v:group>
        </w:pict>
      </w:r>
      <w:r>
        <w:rPr>
          <w:rFonts w:ascii="Franklin Gothic Book"/>
          <w:position w:val="0"/>
          <w:sz w:val="3"/>
        </w:rPr>
      </w:r>
    </w:p>
    <w:p>
      <w:pPr>
        <w:spacing w:after="0" w:line="30" w:lineRule="exact"/>
        <w:rPr>
          <w:rFonts w:ascii="Franklin Gothic Book"/>
          <w:sz w:val="3"/>
        </w:rPr>
        <w:sectPr>
          <w:pgSz w:w="11910" w:h="16840"/>
          <w:pgMar w:header="838" w:footer="866" w:top="1100" w:bottom="1060" w:left="1140" w:right="0"/>
        </w:sectPr>
      </w:pPr>
    </w:p>
    <w:p>
      <w:pPr>
        <w:pStyle w:val="BodyText"/>
        <w:spacing w:line="20" w:lineRule="exact"/>
        <w:ind w:left="245"/>
        <w:rPr>
          <w:rFonts w:ascii="Franklin Gothic Book"/>
          <w:sz w:val="2"/>
        </w:rPr>
      </w:pPr>
      <w:r>
        <w:rPr>
          <w:rFonts w:ascii="Franklin Gothic Book"/>
          <w:sz w:val="2"/>
        </w:rPr>
        <w:pict>
          <v:group style="width:413.95pt;height:.5pt;mso-position-horizontal-relative:char;mso-position-vertical-relative:line" coordorigin="0,0" coordsize="8279,10">
            <v:line style="position:absolute" from="0,5" to="8279,5" stroked="true" strokeweight=".48pt" strokecolor="#000000">
              <v:stroke dashstyle="solid"/>
            </v:line>
          </v:group>
        </w:pict>
      </w:r>
      <w:r>
        <w:rPr>
          <w:rFonts w:ascii="Franklin Gothic Book"/>
          <w:sz w:val="2"/>
        </w:rPr>
      </w:r>
    </w:p>
    <w:p>
      <w:pPr>
        <w:pStyle w:val="BodyText"/>
        <w:rPr>
          <w:rFonts w:ascii="Franklin Gothic Book"/>
          <w:sz w:val="20"/>
        </w:rPr>
      </w:pPr>
    </w:p>
    <w:p>
      <w:pPr>
        <w:pStyle w:val="BodyText"/>
        <w:rPr>
          <w:rFonts w:ascii="Franklin Gothic Book"/>
          <w:sz w:val="20"/>
        </w:rPr>
      </w:pPr>
    </w:p>
    <w:p>
      <w:pPr>
        <w:pStyle w:val="BodyText"/>
        <w:spacing w:before="1"/>
        <w:rPr>
          <w:rFonts w:ascii="Franklin Gothic Book"/>
          <w:sz w:val="25"/>
        </w:rPr>
      </w:pPr>
    </w:p>
    <w:p>
      <w:pPr>
        <w:pStyle w:val="Heading1"/>
        <w:numPr>
          <w:ilvl w:val="0"/>
          <w:numId w:val="2"/>
        </w:numPr>
        <w:tabs>
          <w:tab w:pos="757" w:val="left" w:leader="none"/>
        </w:tabs>
        <w:spacing w:line="240" w:lineRule="auto" w:before="99" w:after="0"/>
        <w:ind w:left="756" w:right="0" w:hanging="479"/>
        <w:jc w:val="left"/>
      </w:pPr>
      <w:bookmarkStart w:name="CAPITOLO III" w:id="9"/>
      <w:bookmarkEnd w:id="9"/>
      <w:r>
        <w:rPr>
          <w:b w:val="0"/>
        </w:rPr>
      </w:r>
      <w:bookmarkStart w:name="CAPITOLO III" w:id="10"/>
      <w:bookmarkEnd w:id="10"/>
      <w:r>
        <w:rPr>
          <w:color w:val="086D44"/>
        </w:rPr>
        <w:t>INDEBI</w:t>
      </w:r>
      <w:r>
        <w:rPr>
          <w:color w:val="086D44"/>
        </w:rPr>
        <w:t>TAMENTO NETTO E DEBITO</w:t>
      </w:r>
      <w:r>
        <w:rPr>
          <w:color w:val="086D44"/>
          <w:spacing w:val="-4"/>
        </w:rPr>
        <w:t> </w:t>
      </w:r>
      <w:r>
        <w:rPr>
          <w:color w:val="086D44"/>
        </w:rPr>
        <w:t>PUBBLICO</w:t>
      </w:r>
    </w:p>
    <w:p>
      <w:pPr>
        <w:pStyle w:val="BodyText"/>
        <w:rPr>
          <w:rFonts w:ascii="Franklin Gothic Heavy"/>
          <w:b/>
          <w:sz w:val="36"/>
        </w:rPr>
      </w:pPr>
    </w:p>
    <w:p>
      <w:pPr>
        <w:pStyle w:val="BodyText"/>
        <w:rPr>
          <w:rFonts w:ascii="Franklin Gothic Heavy"/>
          <w:b/>
          <w:sz w:val="36"/>
        </w:rPr>
      </w:pPr>
    </w:p>
    <w:p>
      <w:pPr>
        <w:pStyle w:val="BodyText"/>
        <w:rPr>
          <w:rFonts w:ascii="Franklin Gothic Heavy"/>
          <w:b/>
          <w:sz w:val="36"/>
        </w:rPr>
      </w:pPr>
    </w:p>
    <w:p>
      <w:pPr>
        <w:pStyle w:val="BodyText"/>
        <w:spacing w:before="5"/>
        <w:rPr>
          <w:rFonts w:ascii="Franklin Gothic Heavy"/>
          <w:b/>
          <w:sz w:val="35"/>
        </w:rPr>
      </w:pPr>
    </w:p>
    <w:p>
      <w:pPr>
        <w:pStyle w:val="Heading2"/>
        <w:numPr>
          <w:ilvl w:val="1"/>
          <w:numId w:val="2"/>
        </w:numPr>
        <w:tabs>
          <w:tab w:pos="819" w:val="left" w:leader="none"/>
        </w:tabs>
        <w:spacing w:line="240" w:lineRule="auto" w:before="1" w:after="0"/>
        <w:ind w:left="818" w:right="0" w:hanging="541"/>
        <w:jc w:val="left"/>
      </w:pPr>
      <w:r>
        <w:rPr>
          <w:color w:val="086D44"/>
        </w:rPr>
        <w:t>DATI DI CONSUNTIVO E PREVISIONI A LEGISLAZIONE</w:t>
      </w:r>
      <w:r>
        <w:rPr>
          <w:color w:val="086D44"/>
          <w:spacing w:val="-5"/>
        </w:rPr>
        <w:t> </w:t>
      </w:r>
      <w:r>
        <w:rPr>
          <w:color w:val="086D44"/>
        </w:rPr>
        <w:t>VIGENTE</w:t>
      </w:r>
    </w:p>
    <w:p>
      <w:pPr>
        <w:pStyle w:val="BodyText"/>
        <w:spacing w:before="8"/>
        <w:rPr>
          <w:rFonts w:ascii="Franklin Gothic Heavy"/>
          <w:b/>
        </w:rPr>
      </w:pPr>
    </w:p>
    <w:p>
      <w:pPr>
        <w:pStyle w:val="BodyText"/>
        <w:spacing w:line="249" w:lineRule="auto"/>
        <w:ind w:left="278" w:right="2262" w:firstLine="453"/>
        <w:jc w:val="both"/>
      </w:pPr>
      <w:r>
        <w:rPr/>
        <w:t>L’aggiornamento degli andamenti della finanza pubblica si basa sui nuovi dati rilasciati dall’ISTAT</w:t>
      </w:r>
      <w:r>
        <w:rPr>
          <w:vertAlign w:val="superscript"/>
        </w:rPr>
        <w:t>1</w:t>
      </w:r>
      <w:r>
        <w:rPr>
          <w:vertAlign w:val="baseline"/>
        </w:rPr>
        <w:t>, che oltre alla disponibilità di nuove informazioni scontano anche una revisione generale dei Conti Economici Nazionali concordata in sede europea al fine di migliorare l’allineamento agli standard di compilazione del SEC 2010. Tale revisione ha comportato l’elaborazione ex novo delle stime per il 2016, grazie anche all’utilizzo da parte dell’ISTAT di nuove fonti e metodologie, e il riadattamento</w:t>
      </w:r>
      <w:r>
        <w:rPr>
          <w:spacing w:val="-6"/>
          <w:vertAlign w:val="baseline"/>
        </w:rPr>
        <w:t> </w:t>
      </w:r>
      <w:r>
        <w:rPr>
          <w:vertAlign w:val="baseline"/>
        </w:rPr>
        <w:t>delle</w:t>
      </w:r>
      <w:r>
        <w:rPr>
          <w:spacing w:val="-5"/>
          <w:vertAlign w:val="baseline"/>
        </w:rPr>
        <w:t> </w:t>
      </w:r>
      <w:r>
        <w:rPr>
          <w:vertAlign w:val="baseline"/>
        </w:rPr>
        <w:t>serie</w:t>
      </w:r>
      <w:r>
        <w:rPr>
          <w:spacing w:val="-5"/>
          <w:vertAlign w:val="baseline"/>
        </w:rPr>
        <w:t> </w:t>
      </w:r>
      <w:r>
        <w:rPr>
          <w:vertAlign w:val="baseline"/>
        </w:rPr>
        <w:t>storiche</w:t>
      </w:r>
      <w:r>
        <w:rPr>
          <w:spacing w:val="-5"/>
          <w:vertAlign w:val="baseline"/>
        </w:rPr>
        <w:t> </w:t>
      </w:r>
      <w:r>
        <w:rPr>
          <w:vertAlign w:val="baseline"/>
        </w:rPr>
        <w:t>dei</w:t>
      </w:r>
      <w:r>
        <w:rPr>
          <w:spacing w:val="-8"/>
          <w:vertAlign w:val="baseline"/>
        </w:rPr>
        <w:t> </w:t>
      </w:r>
      <w:r>
        <w:rPr>
          <w:vertAlign w:val="baseline"/>
        </w:rPr>
        <w:t>conti</w:t>
      </w:r>
      <w:r>
        <w:rPr>
          <w:spacing w:val="-5"/>
          <w:vertAlign w:val="baseline"/>
        </w:rPr>
        <w:t> </w:t>
      </w:r>
      <w:r>
        <w:rPr>
          <w:vertAlign w:val="baseline"/>
        </w:rPr>
        <w:t>economici</w:t>
      </w:r>
      <w:r>
        <w:rPr>
          <w:spacing w:val="-5"/>
          <w:vertAlign w:val="baseline"/>
        </w:rPr>
        <w:t> </w:t>
      </w:r>
      <w:r>
        <w:rPr>
          <w:vertAlign w:val="baseline"/>
        </w:rPr>
        <w:t>nazionali</w:t>
      </w:r>
      <w:r>
        <w:rPr>
          <w:spacing w:val="-4"/>
          <w:vertAlign w:val="baseline"/>
        </w:rPr>
        <w:t> </w:t>
      </w:r>
      <w:r>
        <w:rPr>
          <w:vertAlign w:val="baseline"/>
        </w:rPr>
        <w:t>dal</w:t>
      </w:r>
      <w:r>
        <w:rPr>
          <w:spacing w:val="-4"/>
          <w:vertAlign w:val="baseline"/>
        </w:rPr>
        <w:t> </w:t>
      </w:r>
      <w:r>
        <w:rPr>
          <w:vertAlign w:val="baseline"/>
        </w:rPr>
        <w:t>1995</w:t>
      </w:r>
      <w:r>
        <w:rPr>
          <w:spacing w:val="-8"/>
          <w:vertAlign w:val="baseline"/>
        </w:rPr>
        <w:t> </w:t>
      </w:r>
      <w:r>
        <w:rPr>
          <w:vertAlign w:val="baseline"/>
        </w:rPr>
        <w:t>al</w:t>
      </w:r>
      <w:r>
        <w:rPr>
          <w:spacing w:val="-4"/>
          <w:vertAlign w:val="baseline"/>
        </w:rPr>
        <w:t> </w:t>
      </w:r>
      <w:r>
        <w:rPr>
          <w:vertAlign w:val="baseline"/>
        </w:rPr>
        <w:t>2018</w:t>
      </w:r>
      <w:r>
        <w:rPr>
          <w:spacing w:val="-5"/>
          <w:vertAlign w:val="baseline"/>
        </w:rPr>
        <w:t> </w:t>
      </w:r>
      <w:r>
        <w:rPr>
          <w:vertAlign w:val="baseline"/>
        </w:rPr>
        <w:t>al nuovo </w:t>
      </w:r>
      <w:r>
        <w:rPr>
          <w:i/>
          <w:vertAlign w:val="baseline"/>
        </w:rPr>
        <w:t>benchmark</w:t>
      </w:r>
      <w:r>
        <w:rPr>
          <w:i/>
          <w:spacing w:val="-2"/>
          <w:vertAlign w:val="baseline"/>
        </w:rPr>
        <w:t> </w:t>
      </w:r>
      <w:r>
        <w:rPr>
          <w:vertAlign w:val="baseline"/>
        </w:rPr>
        <w:t>2016.</w:t>
      </w:r>
    </w:p>
    <w:p>
      <w:pPr>
        <w:pStyle w:val="BodyText"/>
        <w:spacing w:line="249" w:lineRule="auto" w:before="4"/>
        <w:ind w:left="278" w:right="2262" w:firstLine="453"/>
        <w:jc w:val="both"/>
      </w:pPr>
      <w:r>
        <w:rPr/>
        <w:t>Per</w:t>
      </w:r>
      <w:r>
        <w:rPr>
          <w:spacing w:val="-17"/>
        </w:rPr>
        <w:t> </w:t>
      </w:r>
      <w:r>
        <w:rPr/>
        <w:t>il</w:t>
      </w:r>
      <w:r>
        <w:rPr>
          <w:spacing w:val="-17"/>
        </w:rPr>
        <w:t> </w:t>
      </w:r>
      <w:r>
        <w:rPr/>
        <w:t>2017</w:t>
      </w:r>
      <w:r>
        <w:rPr>
          <w:spacing w:val="-17"/>
        </w:rPr>
        <w:t> </w:t>
      </w:r>
      <w:r>
        <w:rPr/>
        <w:t>e</w:t>
      </w:r>
      <w:r>
        <w:rPr>
          <w:spacing w:val="-19"/>
        </w:rPr>
        <w:t> </w:t>
      </w:r>
      <w:r>
        <w:rPr/>
        <w:t>il</w:t>
      </w:r>
      <w:r>
        <w:rPr>
          <w:spacing w:val="-17"/>
        </w:rPr>
        <w:t> </w:t>
      </w:r>
      <w:r>
        <w:rPr/>
        <w:t>2018,</w:t>
      </w:r>
      <w:r>
        <w:rPr>
          <w:spacing w:val="-16"/>
        </w:rPr>
        <w:t> </w:t>
      </w:r>
      <w:r>
        <w:rPr/>
        <w:t>la</w:t>
      </w:r>
      <w:r>
        <w:rPr>
          <w:spacing w:val="-19"/>
        </w:rPr>
        <w:t> </w:t>
      </w:r>
      <w:r>
        <w:rPr/>
        <w:t>revisione</w:t>
      </w:r>
      <w:r>
        <w:rPr>
          <w:spacing w:val="-17"/>
        </w:rPr>
        <w:t> </w:t>
      </w:r>
      <w:r>
        <w:rPr/>
        <w:t>apportata</w:t>
      </w:r>
      <w:r>
        <w:rPr>
          <w:spacing w:val="-18"/>
        </w:rPr>
        <w:t> </w:t>
      </w:r>
      <w:r>
        <w:rPr/>
        <w:t>al</w:t>
      </w:r>
      <w:r>
        <w:rPr>
          <w:spacing w:val="-16"/>
        </w:rPr>
        <w:t> </w:t>
      </w:r>
      <w:r>
        <w:rPr/>
        <w:t>PIL</w:t>
      </w:r>
      <w:r>
        <w:rPr>
          <w:spacing w:val="-15"/>
        </w:rPr>
        <w:t> </w:t>
      </w:r>
      <w:r>
        <w:rPr/>
        <w:t>ha</w:t>
      </w:r>
      <w:r>
        <w:rPr>
          <w:spacing w:val="-18"/>
        </w:rPr>
        <w:t> </w:t>
      </w:r>
      <w:r>
        <w:rPr/>
        <w:t>determinato</w:t>
      </w:r>
      <w:r>
        <w:rPr>
          <w:spacing w:val="-17"/>
        </w:rPr>
        <w:t> </w:t>
      </w:r>
      <w:r>
        <w:rPr/>
        <w:t>un</w:t>
      </w:r>
      <w:r>
        <w:rPr>
          <w:spacing w:val="-17"/>
        </w:rPr>
        <w:t> </w:t>
      </w:r>
      <w:r>
        <w:rPr/>
        <w:t>incremento dei livelli pari rispettivamente a circa 9,2 miliardi e 8,4 miliardi, mentre l’indebitamento netto delle Amministrazioni pubbliche ha subito una revisione peggiorativa pari rispettivamente a circa 762 milioni e oltre 1</w:t>
      </w:r>
      <w:r>
        <w:rPr>
          <w:spacing w:val="-12"/>
        </w:rPr>
        <w:t> </w:t>
      </w:r>
      <w:r>
        <w:rPr/>
        <w:t>miliardo.</w:t>
      </w:r>
    </w:p>
    <w:p>
      <w:pPr>
        <w:pStyle w:val="BodyText"/>
        <w:spacing w:line="249" w:lineRule="auto" w:before="3"/>
        <w:ind w:left="278" w:right="2261" w:firstLine="453"/>
        <w:jc w:val="both"/>
      </w:pPr>
      <w:r>
        <w:rPr/>
        <w:t>Il</w:t>
      </w:r>
      <w:r>
        <w:rPr>
          <w:spacing w:val="-7"/>
        </w:rPr>
        <w:t> </w:t>
      </w:r>
      <w:r>
        <w:rPr/>
        <w:t>deficit</w:t>
      </w:r>
      <w:r>
        <w:rPr>
          <w:spacing w:val="-6"/>
        </w:rPr>
        <w:t> </w:t>
      </w:r>
      <w:r>
        <w:rPr/>
        <w:t>nominale</w:t>
      </w:r>
      <w:r>
        <w:rPr>
          <w:spacing w:val="-7"/>
        </w:rPr>
        <w:t> </w:t>
      </w:r>
      <w:r>
        <w:rPr/>
        <w:t>si</w:t>
      </w:r>
      <w:r>
        <w:rPr>
          <w:spacing w:val="-6"/>
        </w:rPr>
        <w:t> </w:t>
      </w:r>
      <w:r>
        <w:rPr/>
        <w:t>attesta</w:t>
      </w:r>
      <w:r>
        <w:rPr>
          <w:spacing w:val="-5"/>
        </w:rPr>
        <w:t> </w:t>
      </w:r>
      <w:r>
        <w:rPr/>
        <w:t>pertanto</w:t>
      </w:r>
      <w:r>
        <w:rPr>
          <w:spacing w:val="-7"/>
        </w:rPr>
        <w:t> </w:t>
      </w:r>
      <w:r>
        <w:rPr/>
        <w:t>a</w:t>
      </w:r>
      <w:r>
        <w:rPr>
          <w:spacing w:val="-6"/>
        </w:rPr>
        <w:t> </w:t>
      </w:r>
      <w:r>
        <w:rPr/>
        <w:t>un</w:t>
      </w:r>
      <w:r>
        <w:rPr>
          <w:spacing w:val="-6"/>
        </w:rPr>
        <w:t> </w:t>
      </w:r>
      <w:r>
        <w:rPr/>
        <w:t>livello</w:t>
      </w:r>
      <w:r>
        <w:rPr>
          <w:spacing w:val="-6"/>
        </w:rPr>
        <w:t> </w:t>
      </w:r>
      <w:r>
        <w:rPr/>
        <w:t>di</w:t>
      </w:r>
      <w:r>
        <w:rPr>
          <w:spacing w:val="-6"/>
        </w:rPr>
        <w:t> </w:t>
      </w:r>
      <w:r>
        <w:rPr/>
        <w:t>42</w:t>
      </w:r>
      <w:r>
        <w:rPr>
          <w:spacing w:val="-6"/>
        </w:rPr>
        <w:t> </w:t>
      </w:r>
      <w:r>
        <w:rPr/>
        <w:t>miliardi</w:t>
      </w:r>
      <w:r>
        <w:rPr>
          <w:spacing w:val="-7"/>
        </w:rPr>
        <w:t> </w:t>
      </w:r>
      <w:r>
        <w:rPr/>
        <w:t>nel</w:t>
      </w:r>
      <w:r>
        <w:rPr>
          <w:spacing w:val="-6"/>
        </w:rPr>
        <w:t> </w:t>
      </w:r>
      <w:r>
        <w:rPr/>
        <w:t>2017</w:t>
      </w:r>
      <w:r>
        <w:rPr>
          <w:spacing w:val="-3"/>
        </w:rPr>
        <w:t> </w:t>
      </w:r>
      <w:r>
        <w:rPr/>
        <w:t>e</w:t>
      </w:r>
      <w:r>
        <w:rPr>
          <w:spacing w:val="-6"/>
        </w:rPr>
        <w:t> </w:t>
      </w:r>
      <w:r>
        <w:rPr/>
        <w:t>38,6 miliardi</w:t>
      </w:r>
      <w:r>
        <w:rPr>
          <w:spacing w:val="-6"/>
        </w:rPr>
        <w:t> </w:t>
      </w:r>
      <w:r>
        <w:rPr/>
        <w:t>nel</w:t>
      </w:r>
      <w:r>
        <w:rPr>
          <w:spacing w:val="-4"/>
        </w:rPr>
        <w:t> </w:t>
      </w:r>
      <w:r>
        <w:rPr/>
        <w:t>2018.</w:t>
      </w:r>
      <w:r>
        <w:rPr>
          <w:spacing w:val="-7"/>
        </w:rPr>
        <w:t> </w:t>
      </w:r>
      <w:r>
        <w:rPr/>
        <w:t>In</w:t>
      </w:r>
      <w:r>
        <w:rPr>
          <w:spacing w:val="-7"/>
        </w:rPr>
        <w:t> </w:t>
      </w:r>
      <w:r>
        <w:rPr/>
        <w:t>rapporto</w:t>
      </w:r>
      <w:r>
        <w:rPr>
          <w:spacing w:val="-6"/>
        </w:rPr>
        <w:t> </w:t>
      </w:r>
      <w:r>
        <w:rPr/>
        <w:t>al</w:t>
      </w:r>
      <w:r>
        <w:rPr>
          <w:spacing w:val="-4"/>
        </w:rPr>
        <w:t> </w:t>
      </w:r>
      <w:r>
        <w:rPr/>
        <w:t>PIL,</w:t>
      </w:r>
      <w:r>
        <w:rPr>
          <w:spacing w:val="-4"/>
        </w:rPr>
        <w:t> </w:t>
      </w:r>
      <w:r>
        <w:rPr/>
        <w:t>l’indebitamento</w:t>
      </w:r>
      <w:r>
        <w:rPr>
          <w:spacing w:val="-5"/>
        </w:rPr>
        <w:t> </w:t>
      </w:r>
      <w:r>
        <w:rPr/>
        <w:t>netto</w:t>
      </w:r>
      <w:r>
        <w:rPr>
          <w:spacing w:val="-5"/>
        </w:rPr>
        <w:t> </w:t>
      </w:r>
      <w:r>
        <w:rPr/>
        <w:t>è</w:t>
      </w:r>
      <w:r>
        <w:rPr>
          <w:spacing w:val="-4"/>
        </w:rPr>
        <w:t> </w:t>
      </w:r>
      <w:r>
        <w:rPr/>
        <w:t>confermato</w:t>
      </w:r>
      <w:r>
        <w:rPr>
          <w:spacing w:val="-5"/>
        </w:rPr>
        <w:t> </w:t>
      </w:r>
      <w:r>
        <w:rPr/>
        <w:t>al</w:t>
      </w:r>
      <w:r>
        <w:rPr>
          <w:spacing w:val="-5"/>
        </w:rPr>
        <w:t> </w:t>
      </w:r>
      <w:r>
        <w:rPr/>
        <w:t>2,4</w:t>
      </w:r>
      <w:r>
        <w:rPr>
          <w:spacing w:val="-7"/>
        </w:rPr>
        <w:t> </w:t>
      </w:r>
      <w:r>
        <w:rPr/>
        <w:t>per cento nel 2017 e rivisto lievemente al rialzo, dal 2,1 al 2,2 per cento, nel</w:t>
      </w:r>
      <w:r>
        <w:rPr>
          <w:spacing w:val="-24"/>
        </w:rPr>
        <w:t> </w:t>
      </w:r>
      <w:r>
        <w:rPr/>
        <w:t>2018</w:t>
      </w:r>
      <w:r>
        <w:rPr>
          <w:vertAlign w:val="superscript"/>
        </w:rPr>
        <w:t>2</w:t>
      </w:r>
      <w:r>
        <w:rPr>
          <w:vertAlign w:val="baseline"/>
        </w:rPr>
        <w:t>.</w:t>
      </w:r>
    </w:p>
    <w:p>
      <w:pPr>
        <w:pStyle w:val="BodyText"/>
        <w:spacing w:line="249" w:lineRule="auto"/>
        <w:ind w:left="278" w:right="2261" w:firstLine="520"/>
        <w:jc w:val="both"/>
      </w:pPr>
      <w:r>
        <w:rPr/>
        <w:t>L’avanzo</w:t>
      </w:r>
      <w:r>
        <w:rPr>
          <w:spacing w:val="-16"/>
        </w:rPr>
        <w:t> </w:t>
      </w:r>
      <w:r>
        <w:rPr/>
        <w:t>primario</w:t>
      </w:r>
      <w:r>
        <w:rPr>
          <w:spacing w:val="-14"/>
        </w:rPr>
        <w:t> </w:t>
      </w:r>
      <w:r>
        <w:rPr/>
        <w:t>è</w:t>
      </w:r>
      <w:r>
        <w:rPr>
          <w:spacing w:val="-15"/>
        </w:rPr>
        <w:t> </w:t>
      </w:r>
      <w:r>
        <w:rPr/>
        <w:t>rivisto</w:t>
      </w:r>
      <w:r>
        <w:rPr>
          <w:spacing w:val="-12"/>
        </w:rPr>
        <w:t> </w:t>
      </w:r>
      <w:r>
        <w:rPr/>
        <w:t>dall’1,4</w:t>
      </w:r>
      <w:r>
        <w:rPr>
          <w:spacing w:val="-12"/>
        </w:rPr>
        <w:t> </w:t>
      </w:r>
      <w:r>
        <w:rPr/>
        <w:t>per</w:t>
      </w:r>
      <w:r>
        <w:rPr>
          <w:spacing w:val="-15"/>
        </w:rPr>
        <w:t> </w:t>
      </w:r>
      <w:r>
        <w:rPr/>
        <w:t>cento</w:t>
      </w:r>
      <w:r>
        <w:rPr>
          <w:spacing w:val="-12"/>
        </w:rPr>
        <w:t> </w:t>
      </w:r>
      <w:r>
        <w:rPr/>
        <w:t>del</w:t>
      </w:r>
      <w:r>
        <w:rPr>
          <w:spacing w:val="-12"/>
        </w:rPr>
        <w:t> </w:t>
      </w:r>
      <w:r>
        <w:rPr/>
        <w:t>PIL</w:t>
      </w:r>
      <w:r>
        <w:rPr>
          <w:spacing w:val="-11"/>
        </w:rPr>
        <w:t> </w:t>
      </w:r>
      <w:r>
        <w:rPr/>
        <w:t>all’1,3</w:t>
      </w:r>
      <w:r>
        <w:rPr>
          <w:spacing w:val="-12"/>
        </w:rPr>
        <w:t> </w:t>
      </w:r>
      <w:r>
        <w:rPr/>
        <w:t>per</w:t>
      </w:r>
      <w:r>
        <w:rPr>
          <w:spacing w:val="-14"/>
        </w:rPr>
        <w:t> </w:t>
      </w:r>
      <w:r>
        <w:rPr/>
        <w:t>cento</w:t>
      </w:r>
      <w:r>
        <w:rPr>
          <w:spacing w:val="-12"/>
        </w:rPr>
        <w:t> </w:t>
      </w:r>
      <w:r>
        <w:rPr/>
        <w:t>nel</w:t>
      </w:r>
      <w:r>
        <w:rPr>
          <w:spacing w:val="-13"/>
        </w:rPr>
        <w:t> </w:t>
      </w:r>
      <w:r>
        <w:rPr/>
        <w:t>2017 e dall’1,6 all’1,5 per cento del PIL nel 2018, mentre la spesa per interessi in rapporto al PIL si riduce di circa un decimo di punto percentuale in entrambi gli anni, collocandosi al 3,7 per cento nel 2018. Sono confermati i principali trend per spesa</w:t>
      </w:r>
      <w:r>
        <w:rPr>
          <w:spacing w:val="-12"/>
        </w:rPr>
        <w:t> </w:t>
      </w:r>
      <w:r>
        <w:rPr/>
        <w:t>e</w:t>
      </w:r>
      <w:r>
        <w:rPr>
          <w:spacing w:val="-12"/>
        </w:rPr>
        <w:t> </w:t>
      </w:r>
      <w:r>
        <w:rPr/>
        <w:t>tassazione:</w:t>
      </w:r>
      <w:r>
        <w:rPr>
          <w:spacing w:val="-10"/>
        </w:rPr>
        <w:t> </w:t>
      </w:r>
      <w:r>
        <w:rPr/>
        <w:t>la</w:t>
      </w:r>
      <w:r>
        <w:rPr>
          <w:spacing w:val="-12"/>
        </w:rPr>
        <w:t> </w:t>
      </w:r>
      <w:r>
        <w:rPr/>
        <w:t>spesa</w:t>
      </w:r>
      <w:r>
        <w:rPr>
          <w:spacing w:val="-12"/>
        </w:rPr>
        <w:t> </w:t>
      </w:r>
      <w:r>
        <w:rPr/>
        <w:t>primaria</w:t>
      </w:r>
      <w:r>
        <w:rPr>
          <w:spacing w:val="-11"/>
        </w:rPr>
        <w:t> </w:t>
      </w:r>
      <w:r>
        <w:rPr/>
        <w:t>sul</w:t>
      </w:r>
      <w:r>
        <w:rPr>
          <w:spacing w:val="-12"/>
        </w:rPr>
        <w:t> </w:t>
      </w:r>
      <w:r>
        <w:rPr/>
        <w:t>PIL</w:t>
      </w:r>
      <w:r>
        <w:rPr>
          <w:spacing w:val="-10"/>
        </w:rPr>
        <w:t> </w:t>
      </w:r>
      <w:r>
        <w:rPr/>
        <w:t>registra</w:t>
      </w:r>
      <w:r>
        <w:rPr>
          <w:spacing w:val="-11"/>
        </w:rPr>
        <w:t> </w:t>
      </w:r>
      <w:r>
        <w:rPr/>
        <w:t>una</w:t>
      </w:r>
      <w:r>
        <w:rPr>
          <w:spacing w:val="-11"/>
        </w:rPr>
        <w:t> </w:t>
      </w:r>
      <w:r>
        <w:rPr/>
        <w:t>lieve</w:t>
      </w:r>
      <w:r>
        <w:rPr>
          <w:spacing w:val="-12"/>
        </w:rPr>
        <w:t> </w:t>
      </w:r>
      <w:r>
        <w:rPr/>
        <w:t>riduzione</w:t>
      </w:r>
      <w:r>
        <w:rPr>
          <w:spacing w:val="-12"/>
        </w:rPr>
        <w:t> </w:t>
      </w:r>
      <w:r>
        <w:rPr/>
        <w:t>dal</w:t>
      </w:r>
      <w:r>
        <w:rPr>
          <w:spacing w:val="-12"/>
        </w:rPr>
        <w:t> </w:t>
      </w:r>
      <w:r>
        <w:rPr/>
        <w:t>44,9</w:t>
      </w:r>
      <w:r>
        <w:rPr>
          <w:spacing w:val="-10"/>
        </w:rPr>
        <w:t> </w:t>
      </w:r>
      <w:r>
        <w:rPr/>
        <w:t>del 2017 al 44,7 per cento del 2018 mentre, dal lato delle entrate, la pressione fiscale rimane invariata nel 2018 rispetto all’anno precedente al 41,8 per cento (a fronte della stima precedente del 42,1 per cento), ovvero al 41,3 per cento al netto del bonus 80</w:t>
      </w:r>
      <w:r>
        <w:rPr>
          <w:spacing w:val="-1"/>
        </w:rPr>
        <w:t> </w:t>
      </w:r>
      <w:r>
        <w:rPr/>
        <w:t>euro.</w:t>
      </w:r>
    </w:p>
    <w:p>
      <w:pPr>
        <w:pStyle w:val="BodyText"/>
        <w:spacing w:line="249" w:lineRule="auto" w:before="4"/>
        <w:ind w:left="278" w:right="2262" w:firstLine="453"/>
        <w:jc w:val="both"/>
      </w:pPr>
      <w:r>
        <w:rPr/>
        <w:t>L’evoluzione del quadro di finanza pubblica a legislazione vigente per gli anni 2019-2022 sconta il rallentamento delle prospettive di crescita nel breve periodo rispetto</w:t>
      </w:r>
      <w:r>
        <w:rPr>
          <w:spacing w:val="-15"/>
        </w:rPr>
        <w:t> </w:t>
      </w:r>
      <w:r>
        <w:rPr/>
        <w:t>alle</w:t>
      </w:r>
      <w:r>
        <w:rPr>
          <w:spacing w:val="-14"/>
        </w:rPr>
        <w:t> </w:t>
      </w:r>
      <w:r>
        <w:rPr/>
        <w:t>attese</w:t>
      </w:r>
      <w:r>
        <w:rPr>
          <w:spacing w:val="-15"/>
        </w:rPr>
        <w:t> </w:t>
      </w:r>
      <w:r>
        <w:rPr/>
        <w:t>formulate</w:t>
      </w:r>
      <w:r>
        <w:rPr>
          <w:spacing w:val="-14"/>
        </w:rPr>
        <w:t> </w:t>
      </w:r>
      <w:r>
        <w:rPr/>
        <w:t>nel</w:t>
      </w:r>
      <w:r>
        <w:rPr>
          <w:spacing w:val="-14"/>
        </w:rPr>
        <w:t> </w:t>
      </w:r>
      <w:r>
        <w:rPr/>
        <w:t>DEF</w:t>
      </w:r>
      <w:r>
        <w:rPr>
          <w:spacing w:val="-15"/>
        </w:rPr>
        <w:t> </w:t>
      </w:r>
      <w:r>
        <w:rPr/>
        <w:t>di</w:t>
      </w:r>
      <w:r>
        <w:rPr>
          <w:spacing w:val="-15"/>
        </w:rPr>
        <w:t> </w:t>
      </w:r>
      <w:r>
        <w:rPr/>
        <w:t>aprile,</w:t>
      </w:r>
      <w:r>
        <w:rPr>
          <w:spacing w:val="-14"/>
        </w:rPr>
        <w:t> </w:t>
      </w:r>
      <w:r>
        <w:rPr/>
        <w:t>tiene</w:t>
      </w:r>
      <w:r>
        <w:rPr>
          <w:spacing w:val="-14"/>
        </w:rPr>
        <w:t> </w:t>
      </w:r>
      <w:r>
        <w:rPr/>
        <w:t>conto</w:t>
      </w:r>
      <w:r>
        <w:rPr>
          <w:spacing w:val="-14"/>
        </w:rPr>
        <w:t> </w:t>
      </w:r>
      <w:r>
        <w:rPr/>
        <w:t>dei</w:t>
      </w:r>
      <w:r>
        <w:rPr>
          <w:spacing w:val="-15"/>
        </w:rPr>
        <w:t> </w:t>
      </w:r>
      <w:r>
        <w:rPr/>
        <w:t>risultati</w:t>
      </w:r>
      <w:r>
        <w:rPr>
          <w:spacing w:val="-14"/>
        </w:rPr>
        <w:t> </w:t>
      </w:r>
      <w:r>
        <w:rPr/>
        <w:t>dell’attività di</w:t>
      </w:r>
      <w:r>
        <w:rPr>
          <w:spacing w:val="-14"/>
        </w:rPr>
        <w:t> </w:t>
      </w:r>
      <w:r>
        <w:rPr/>
        <w:t>monitoraggio</w:t>
      </w:r>
      <w:r>
        <w:rPr>
          <w:spacing w:val="-15"/>
        </w:rPr>
        <w:t> </w:t>
      </w:r>
      <w:r>
        <w:rPr/>
        <w:t>sulla</w:t>
      </w:r>
      <w:r>
        <w:rPr>
          <w:spacing w:val="-13"/>
        </w:rPr>
        <w:t> </w:t>
      </w:r>
      <w:r>
        <w:rPr/>
        <w:t>finanza</w:t>
      </w:r>
      <w:r>
        <w:rPr>
          <w:spacing w:val="-14"/>
        </w:rPr>
        <w:t> </w:t>
      </w:r>
      <w:r>
        <w:rPr/>
        <w:t>pubblica</w:t>
      </w:r>
      <w:r>
        <w:rPr>
          <w:spacing w:val="-16"/>
        </w:rPr>
        <w:t> </w:t>
      </w:r>
      <w:r>
        <w:rPr/>
        <w:t>e</w:t>
      </w:r>
      <w:r>
        <w:rPr>
          <w:spacing w:val="-14"/>
        </w:rPr>
        <w:t> </w:t>
      </w:r>
      <w:r>
        <w:rPr/>
        <w:t>dell’impatto</w:t>
      </w:r>
      <w:r>
        <w:rPr>
          <w:spacing w:val="-14"/>
        </w:rPr>
        <w:t> </w:t>
      </w:r>
      <w:r>
        <w:rPr/>
        <w:t>dei</w:t>
      </w:r>
      <w:r>
        <w:rPr>
          <w:spacing w:val="-13"/>
        </w:rPr>
        <w:t> </w:t>
      </w:r>
      <w:r>
        <w:rPr/>
        <w:t>provvedimenti</w:t>
      </w:r>
      <w:r>
        <w:rPr>
          <w:spacing w:val="-14"/>
        </w:rPr>
        <w:t> </w:t>
      </w:r>
      <w:r>
        <w:rPr/>
        <w:t>adottati</w:t>
      </w:r>
      <w:r>
        <w:rPr>
          <w:spacing w:val="-14"/>
        </w:rPr>
        <w:t> </w:t>
      </w:r>
      <w:r>
        <w:rPr/>
        <w:t>dal precedente Governo dopo il DEF. Tra questi vi sono, in particolare, l’assestamento di bilancio e il D.L. n. 61/2019 recante misure urgenti in materia di miglioramento dei</w:t>
      </w:r>
      <w:r>
        <w:rPr>
          <w:spacing w:val="35"/>
        </w:rPr>
        <w:t> </w:t>
      </w:r>
      <w:r>
        <w:rPr/>
        <w:t>saldi</w:t>
      </w:r>
      <w:r>
        <w:rPr>
          <w:spacing w:val="35"/>
        </w:rPr>
        <w:t> </w:t>
      </w:r>
      <w:r>
        <w:rPr/>
        <w:t>di</w:t>
      </w:r>
      <w:r>
        <w:rPr>
          <w:spacing w:val="33"/>
        </w:rPr>
        <w:t> </w:t>
      </w:r>
      <w:r>
        <w:rPr/>
        <w:t>finanza</w:t>
      </w:r>
      <w:r>
        <w:rPr>
          <w:spacing w:val="32"/>
        </w:rPr>
        <w:t> </w:t>
      </w:r>
      <w:r>
        <w:rPr/>
        <w:t>pubblica</w:t>
      </w:r>
      <w:r>
        <w:rPr>
          <w:vertAlign w:val="superscript"/>
        </w:rPr>
        <w:t>3</w:t>
      </w:r>
      <w:r>
        <w:rPr>
          <w:vertAlign w:val="baseline"/>
        </w:rPr>
        <w:t>.</w:t>
      </w:r>
      <w:r>
        <w:rPr>
          <w:spacing w:val="36"/>
          <w:vertAlign w:val="baseline"/>
        </w:rPr>
        <w:t> </w:t>
      </w:r>
      <w:r>
        <w:rPr>
          <w:vertAlign w:val="baseline"/>
        </w:rPr>
        <w:t>Questi</w:t>
      </w:r>
      <w:r>
        <w:rPr>
          <w:spacing w:val="36"/>
          <w:vertAlign w:val="baseline"/>
        </w:rPr>
        <w:t> </w:t>
      </w:r>
      <w:r>
        <w:rPr>
          <w:vertAlign w:val="baseline"/>
        </w:rPr>
        <w:t>provvedimenti</w:t>
      </w:r>
      <w:r>
        <w:rPr>
          <w:spacing w:val="36"/>
          <w:vertAlign w:val="baseline"/>
        </w:rPr>
        <w:t> </w:t>
      </w:r>
      <w:r>
        <w:rPr>
          <w:vertAlign w:val="baseline"/>
        </w:rPr>
        <w:t>hanno</w:t>
      </w:r>
      <w:r>
        <w:rPr>
          <w:spacing w:val="35"/>
          <w:vertAlign w:val="baseline"/>
        </w:rPr>
        <w:t> </w:t>
      </w:r>
      <w:r>
        <w:rPr>
          <w:vertAlign w:val="baseline"/>
        </w:rPr>
        <w:t>evidenziato</w:t>
      </w:r>
      <w:r>
        <w:rPr>
          <w:spacing w:val="37"/>
          <w:vertAlign w:val="baseline"/>
        </w:rPr>
        <w:t> </w:t>
      </w:r>
      <w:r>
        <w:rPr>
          <w:vertAlign w:val="baseline"/>
        </w:rPr>
        <w:t>un</w:t>
      </w:r>
    </w:p>
    <w:p>
      <w:pPr>
        <w:pStyle w:val="BodyText"/>
        <w:rPr>
          <w:sz w:val="20"/>
        </w:rPr>
      </w:pPr>
    </w:p>
    <w:p>
      <w:pPr>
        <w:pStyle w:val="BodyText"/>
        <w:rPr>
          <w:sz w:val="20"/>
        </w:rPr>
      </w:pPr>
    </w:p>
    <w:p>
      <w:pPr>
        <w:pStyle w:val="BodyText"/>
        <w:rPr>
          <w:sz w:val="20"/>
        </w:rPr>
      </w:pPr>
    </w:p>
    <w:p>
      <w:pPr>
        <w:pStyle w:val="BodyText"/>
        <w:spacing w:before="2"/>
        <w:rPr>
          <w:sz w:val="12"/>
        </w:rPr>
      </w:pPr>
      <w:r>
        <w:rPr/>
        <w:pict>
          <v:group style="position:absolute;margin-left:93.599998pt;margin-top:9.04625pt;width:21.4pt;height:2.2pt;mso-position-horizontal-relative:page;mso-position-vertical-relative:paragraph;z-index:-251527168;mso-wrap-distance-left:0;mso-wrap-distance-right:0" coordorigin="1872,181" coordsize="428,44">
            <v:line style="position:absolute" from="1872,201" to="2299,201" stroked="true" strokeweight="2.050pt" strokecolor="#aaaaaa">
              <v:stroke dashstyle="solid"/>
            </v:line>
            <v:rect style="position:absolute;left:1872;top:183;width:5;height:5" filled="true" fillcolor="#9f9f9f" stroked="false">
              <v:fill type="solid"/>
            </v:rect>
            <v:rect style="position:absolute;left:1872;top:183;width:5;height:5" filled="true" fillcolor="#9f9f9f" stroked="false">
              <v:fill type="solid"/>
            </v:rect>
            <v:line style="position:absolute" from="1877,186" to="2295,186" stroked="true" strokeweight=".23999pt" strokecolor="#9f9f9f">
              <v:stroke dashstyle="solid"/>
            </v:line>
            <v:rect style="position:absolute;left:2294;top:183;width:5;height:5" filled="true" fillcolor="#e2e2e2" stroked="false">
              <v:fill type="solid"/>
            </v:rect>
            <v:rect style="position:absolute;left:2294;top:183;width:5;height:5" filled="true" fillcolor="#9f9f9f" stroked="false">
              <v:fill type="solid"/>
            </v:rect>
            <v:rect style="position:absolute;left:1872;top:188;width:5;height:32" filled="true" fillcolor="#9f9f9f" stroked="false">
              <v:fill type="solid"/>
            </v:rect>
            <v:rect style="position:absolute;left:2294;top:188;width:5;height:32" filled="true" fillcolor="#e2e2e2" stroked="false">
              <v:fill type="solid"/>
            </v:rect>
            <v:rect style="position:absolute;left:1872;top:219;width:5;height:5" filled="true" fillcolor="#9f9f9f" stroked="false">
              <v:fill type="solid"/>
            </v:rect>
            <v:rect style="position:absolute;left:1872;top:219;width:5;height:5" filled="true" fillcolor="#e2e2e2" stroked="false">
              <v:fill type="solid"/>
            </v:rect>
            <v:line style="position:absolute" from="1877,222" to="2295,222" stroked="true" strokeweight=".23999pt" strokecolor="#e2e2e2">
              <v:stroke dashstyle="solid"/>
            </v:line>
            <v:rect style="position:absolute;left:2294;top:219;width:5;height:5" filled="true" fillcolor="#e2e2e2" stroked="false">
              <v:fill type="solid"/>
            </v:rect>
            <v:rect style="position:absolute;left:2294;top:219;width:5;height:5" filled="true" fillcolor="#e2e2e2" stroked="false">
              <v:fill type="solid"/>
            </v:rect>
            <w10:wrap type="topAndBottom"/>
          </v:group>
        </w:pict>
      </w:r>
    </w:p>
    <w:p>
      <w:pPr>
        <w:spacing w:line="187" w:lineRule="exact" w:before="20"/>
        <w:ind w:left="732" w:right="0" w:firstLine="0"/>
        <w:jc w:val="both"/>
        <w:rPr>
          <w:sz w:val="16"/>
        </w:rPr>
      </w:pPr>
      <w:r>
        <w:rPr>
          <w:position w:val="6"/>
          <w:sz w:val="10"/>
        </w:rPr>
        <w:t>1 </w:t>
      </w:r>
      <w:r>
        <w:rPr>
          <w:sz w:val="16"/>
        </w:rPr>
        <w:t>ISTAT, Conti Economici Nazionali, 23 settembre 2019.</w:t>
      </w:r>
    </w:p>
    <w:p>
      <w:pPr>
        <w:spacing w:line="240" w:lineRule="auto" w:before="0"/>
        <w:ind w:left="278" w:right="2263" w:firstLine="453"/>
        <w:jc w:val="both"/>
        <w:rPr>
          <w:sz w:val="16"/>
        </w:rPr>
      </w:pPr>
      <w:r>
        <w:rPr>
          <w:position w:val="6"/>
          <w:sz w:val="10"/>
        </w:rPr>
        <w:t>2 </w:t>
      </w:r>
      <w:r>
        <w:rPr>
          <w:sz w:val="16"/>
        </w:rPr>
        <w:t>È opportuno rilevare che, a causa della revisione straordinaria, la stima del PIL nominale per il 2017 è ancora provvisoria e quindi passibile di ulteriori revisioni in occasione del prossimo rilascio a marzo 2020, mentre negli anni passati la stima pubblicata a settembre relativa all’anno t-2 diveniva definitiva.</w:t>
      </w:r>
    </w:p>
    <w:p>
      <w:pPr>
        <w:spacing w:line="188" w:lineRule="exact" w:before="0"/>
        <w:ind w:left="732" w:right="0" w:firstLine="0"/>
        <w:jc w:val="both"/>
        <w:rPr>
          <w:sz w:val="16"/>
        </w:rPr>
      </w:pPr>
      <w:r>
        <w:rPr>
          <w:position w:val="6"/>
          <w:sz w:val="10"/>
        </w:rPr>
        <w:t>3 </w:t>
      </w:r>
      <w:r>
        <w:rPr>
          <w:sz w:val="16"/>
        </w:rPr>
        <w:t>D.L. n. 61/2019 cvt. dalla L. n. 85/2019.</w:t>
      </w:r>
    </w:p>
    <w:p>
      <w:pPr>
        <w:spacing w:after="0" w:line="188" w:lineRule="exact"/>
        <w:jc w:val="both"/>
        <w:rPr>
          <w:sz w:val="16"/>
        </w:rPr>
        <w:sectPr>
          <w:headerReference w:type="default" r:id="rId51"/>
          <w:footerReference w:type="default" r:id="rId52"/>
          <w:footerReference w:type="even" r:id="rId53"/>
          <w:pgSz w:w="11910" w:h="16840"/>
          <w:pgMar w:header="0" w:footer="866" w:top="1080" w:bottom="1060" w:left="1140" w:right="0"/>
          <w:pgNumType w:start="37"/>
        </w:sectPr>
      </w:pPr>
    </w:p>
    <w:p>
      <w:pPr>
        <w:pStyle w:val="BodyText"/>
        <w:rPr>
          <w:sz w:val="20"/>
        </w:rPr>
      </w:pPr>
    </w:p>
    <w:p>
      <w:pPr>
        <w:pStyle w:val="BodyText"/>
        <w:rPr>
          <w:sz w:val="20"/>
        </w:rPr>
      </w:pPr>
    </w:p>
    <w:p>
      <w:pPr>
        <w:pStyle w:val="BodyText"/>
        <w:spacing w:before="3"/>
        <w:rPr>
          <w:sz w:val="25"/>
        </w:rPr>
      </w:pPr>
    </w:p>
    <w:p>
      <w:pPr>
        <w:pStyle w:val="BodyText"/>
        <w:spacing w:line="249" w:lineRule="auto" w:before="101"/>
        <w:ind w:left="1128" w:right="1408"/>
        <w:jc w:val="both"/>
      </w:pPr>
      <w:r>
        <w:rPr/>
        <w:t>miglioramento del deficit nominale di circa 0,4 punti percentuali di PIL incluse alcune poste fuori dal perimetro del bilancio dello Stato</w:t>
      </w:r>
      <w:r>
        <w:rPr>
          <w:vertAlign w:val="superscript"/>
        </w:rPr>
        <w:t>4</w:t>
      </w:r>
      <w:r>
        <w:rPr>
          <w:vertAlign w:val="baseline"/>
        </w:rPr>
        <w:t>.</w:t>
      </w:r>
    </w:p>
    <w:p>
      <w:pPr>
        <w:pStyle w:val="BodyText"/>
        <w:spacing w:line="249" w:lineRule="auto" w:before="2"/>
        <w:ind w:left="1128" w:right="1410" w:firstLine="453"/>
        <w:jc w:val="both"/>
      </w:pPr>
      <w:r>
        <w:rPr/>
        <w:t>Le</w:t>
      </w:r>
      <w:r>
        <w:rPr>
          <w:spacing w:val="-10"/>
        </w:rPr>
        <w:t> </w:t>
      </w:r>
      <w:r>
        <w:rPr/>
        <w:t>valutazioni</w:t>
      </w:r>
      <w:r>
        <w:rPr>
          <w:spacing w:val="-11"/>
        </w:rPr>
        <w:t> </w:t>
      </w:r>
      <w:r>
        <w:rPr/>
        <w:t>più</w:t>
      </w:r>
      <w:r>
        <w:rPr>
          <w:spacing w:val="-11"/>
        </w:rPr>
        <w:t> </w:t>
      </w:r>
      <w:r>
        <w:rPr/>
        <w:t>aggiornate</w:t>
      </w:r>
      <w:r>
        <w:rPr>
          <w:spacing w:val="-10"/>
        </w:rPr>
        <w:t> </w:t>
      </w:r>
      <w:r>
        <w:rPr/>
        <w:t>circa</w:t>
      </w:r>
      <w:r>
        <w:rPr>
          <w:spacing w:val="-10"/>
        </w:rPr>
        <w:t> </w:t>
      </w:r>
      <w:r>
        <w:rPr/>
        <w:t>l’andamento</w:t>
      </w:r>
      <w:r>
        <w:rPr>
          <w:spacing w:val="-11"/>
        </w:rPr>
        <w:t> </w:t>
      </w:r>
      <w:r>
        <w:rPr/>
        <w:t>delle</w:t>
      </w:r>
      <w:r>
        <w:rPr>
          <w:spacing w:val="-10"/>
        </w:rPr>
        <w:t> </w:t>
      </w:r>
      <w:r>
        <w:rPr/>
        <w:t>entrate</w:t>
      </w:r>
      <w:r>
        <w:rPr>
          <w:spacing w:val="-8"/>
        </w:rPr>
        <w:t> </w:t>
      </w:r>
      <w:r>
        <w:rPr/>
        <w:t>tributarie</w:t>
      </w:r>
      <w:r>
        <w:rPr>
          <w:spacing w:val="-10"/>
        </w:rPr>
        <w:t> </w:t>
      </w:r>
      <w:r>
        <w:rPr/>
        <w:t>e</w:t>
      </w:r>
      <w:r>
        <w:rPr>
          <w:spacing w:val="-10"/>
        </w:rPr>
        <w:t> </w:t>
      </w:r>
      <w:r>
        <w:rPr/>
        <w:t>della spesa corrente primaria sono, tuttavia, lievemente meno favorevoli dell’aggiornamento effettuato a giugno, in considerazione dei risultati più consolidati del monitoraggio. Di conseguenza, la stima dell’indebitamento netto della PA nel 2019 è prudenzialmente rivista in misura più contenuta, dal 2,4 per cento del PIL stimato nel DEF di aprile</w:t>
      </w:r>
      <w:r>
        <w:rPr>
          <w:vertAlign w:val="superscript"/>
        </w:rPr>
        <w:t>5</w:t>
      </w:r>
      <w:r>
        <w:rPr>
          <w:vertAlign w:val="baseline"/>
        </w:rPr>
        <w:t> al 2,2 per cento di questo Documento. L’avanzo primario in rapporto al PIL è stimato all’1,3 per cento (1,2 per cento nel DEF di aprile), in calo di circa 0,2 punti percentuali rispetto al 2018, mentre l’incidenza</w:t>
      </w:r>
      <w:r>
        <w:rPr>
          <w:spacing w:val="-12"/>
          <w:vertAlign w:val="baseline"/>
        </w:rPr>
        <w:t> </w:t>
      </w:r>
      <w:r>
        <w:rPr>
          <w:vertAlign w:val="baseline"/>
        </w:rPr>
        <w:t>della</w:t>
      </w:r>
      <w:r>
        <w:rPr>
          <w:spacing w:val="-9"/>
          <w:vertAlign w:val="baseline"/>
        </w:rPr>
        <w:t> </w:t>
      </w:r>
      <w:r>
        <w:rPr>
          <w:vertAlign w:val="baseline"/>
        </w:rPr>
        <w:t>spesa</w:t>
      </w:r>
      <w:r>
        <w:rPr>
          <w:spacing w:val="-9"/>
          <w:vertAlign w:val="baseline"/>
        </w:rPr>
        <w:t> </w:t>
      </w:r>
      <w:r>
        <w:rPr>
          <w:vertAlign w:val="baseline"/>
        </w:rPr>
        <w:t>per</w:t>
      </w:r>
      <w:r>
        <w:rPr>
          <w:spacing w:val="-10"/>
          <w:vertAlign w:val="baseline"/>
        </w:rPr>
        <w:t> </w:t>
      </w:r>
      <w:r>
        <w:rPr>
          <w:vertAlign w:val="baseline"/>
        </w:rPr>
        <w:t>interessi</w:t>
      </w:r>
      <w:r>
        <w:rPr>
          <w:spacing w:val="-9"/>
          <w:vertAlign w:val="baseline"/>
        </w:rPr>
        <w:t> </w:t>
      </w:r>
      <w:r>
        <w:rPr>
          <w:vertAlign w:val="baseline"/>
        </w:rPr>
        <w:t>sul</w:t>
      </w:r>
      <w:r>
        <w:rPr>
          <w:spacing w:val="-11"/>
          <w:vertAlign w:val="baseline"/>
        </w:rPr>
        <w:t> </w:t>
      </w:r>
      <w:r>
        <w:rPr>
          <w:vertAlign w:val="baseline"/>
        </w:rPr>
        <w:t>PIL</w:t>
      </w:r>
      <w:r>
        <w:rPr>
          <w:spacing w:val="-10"/>
          <w:vertAlign w:val="baseline"/>
        </w:rPr>
        <w:t> </w:t>
      </w:r>
      <w:r>
        <w:rPr>
          <w:vertAlign w:val="baseline"/>
        </w:rPr>
        <w:t>è</w:t>
      </w:r>
      <w:r>
        <w:rPr>
          <w:spacing w:val="-11"/>
          <w:vertAlign w:val="baseline"/>
        </w:rPr>
        <w:t> </w:t>
      </w:r>
      <w:r>
        <w:rPr>
          <w:vertAlign w:val="baseline"/>
        </w:rPr>
        <w:t>stimata</w:t>
      </w:r>
      <w:r>
        <w:rPr>
          <w:spacing w:val="-9"/>
          <w:vertAlign w:val="baseline"/>
        </w:rPr>
        <w:t> </w:t>
      </w:r>
      <w:r>
        <w:rPr>
          <w:vertAlign w:val="baseline"/>
        </w:rPr>
        <w:t>al</w:t>
      </w:r>
      <w:r>
        <w:rPr>
          <w:spacing w:val="-9"/>
          <w:vertAlign w:val="baseline"/>
        </w:rPr>
        <w:t> </w:t>
      </w:r>
      <w:r>
        <w:rPr>
          <w:vertAlign w:val="baseline"/>
        </w:rPr>
        <w:t>3,4</w:t>
      </w:r>
      <w:r>
        <w:rPr>
          <w:spacing w:val="-12"/>
          <w:vertAlign w:val="baseline"/>
        </w:rPr>
        <w:t> </w:t>
      </w:r>
      <w:r>
        <w:rPr>
          <w:vertAlign w:val="baseline"/>
        </w:rPr>
        <w:t>per</w:t>
      </w:r>
      <w:r>
        <w:rPr>
          <w:spacing w:val="-11"/>
          <w:vertAlign w:val="baseline"/>
        </w:rPr>
        <w:t> </w:t>
      </w:r>
      <w:r>
        <w:rPr>
          <w:vertAlign w:val="baseline"/>
        </w:rPr>
        <w:t>cento</w:t>
      </w:r>
      <w:r>
        <w:rPr>
          <w:spacing w:val="-12"/>
          <w:vertAlign w:val="baseline"/>
        </w:rPr>
        <w:t> </w:t>
      </w:r>
      <w:r>
        <w:rPr>
          <w:vertAlign w:val="baseline"/>
        </w:rPr>
        <w:t>(3,6</w:t>
      </w:r>
      <w:r>
        <w:rPr>
          <w:spacing w:val="-13"/>
          <w:vertAlign w:val="baseline"/>
        </w:rPr>
        <w:t> </w:t>
      </w:r>
      <w:r>
        <w:rPr>
          <w:vertAlign w:val="baseline"/>
        </w:rPr>
        <w:t>per</w:t>
      </w:r>
      <w:r>
        <w:rPr>
          <w:spacing w:val="-11"/>
          <w:vertAlign w:val="baseline"/>
        </w:rPr>
        <w:t> </w:t>
      </w:r>
      <w:r>
        <w:rPr>
          <w:vertAlign w:val="baseline"/>
        </w:rPr>
        <w:t>cento nel DEF di aprile), in calo di circa 0,2 punti percentuali rispetto al 2018</w:t>
      </w:r>
      <w:r>
        <w:rPr>
          <w:vertAlign w:val="superscript"/>
        </w:rPr>
        <w:t>6</w:t>
      </w:r>
      <w:r>
        <w:rPr>
          <w:vertAlign w:val="baseline"/>
        </w:rPr>
        <w:t>. La netta correzione al ribasso dei tassi di interesse nominali rispetto al DEF, sia a breve sia a</w:t>
      </w:r>
      <w:r>
        <w:rPr>
          <w:spacing w:val="-14"/>
          <w:vertAlign w:val="baseline"/>
        </w:rPr>
        <w:t> </w:t>
      </w:r>
      <w:r>
        <w:rPr>
          <w:vertAlign w:val="baseline"/>
        </w:rPr>
        <w:t>lungo</w:t>
      </w:r>
      <w:r>
        <w:rPr>
          <w:spacing w:val="-13"/>
          <w:vertAlign w:val="baseline"/>
        </w:rPr>
        <w:t> </w:t>
      </w:r>
      <w:r>
        <w:rPr>
          <w:vertAlign w:val="baseline"/>
        </w:rPr>
        <w:t>termine,</w:t>
      </w:r>
      <w:r>
        <w:rPr>
          <w:spacing w:val="-12"/>
          <w:vertAlign w:val="baseline"/>
        </w:rPr>
        <w:t> </w:t>
      </w:r>
      <w:r>
        <w:rPr>
          <w:vertAlign w:val="baseline"/>
        </w:rPr>
        <w:t>è</w:t>
      </w:r>
      <w:r>
        <w:rPr>
          <w:spacing w:val="-13"/>
          <w:vertAlign w:val="baseline"/>
        </w:rPr>
        <w:t> </w:t>
      </w:r>
      <w:r>
        <w:rPr>
          <w:vertAlign w:val="baseline"/>
        </w:rPr>
        <w:t>correlata</w:t>
      </w:r>
      <w:r>
        <w:rPr>
          <w:spacing w:val="-13"/>
          <w:vertAlign w:val="baseline"/>
        </w:rPr>
        <w:t> </w:t>
      </w:r>
      <w:r>
        <w:rPr>
          <w:vertAlign w:val="baseline"/>
        </w:rPr>
        <w:t>non</w:t>
      </w:r>
      <w:r>
        <w:rPr>
          <w:spacing w:val="-13"/>
          <w:vertAlign w:val="baseline"/>
        </w:rPr>
        <w:t> </w:t>
      </w:r>
      <w:r>
        <w:rPr>
          <w:vertAlign w:val="baseline"/>
        </w:rPr>
        <w:t>solo</w:t>
      </w:r>
      <w:r>
        <w:rPr>
          <w:spacing w:val="-13"/>
          <w:vertAlign w:val="baseline"/>
        </w:rPr>
        <w:t> </w:t>
      </w:r>
      <w:r>
        <w:rPr>
          <w:vertAlign w:val="baseline"/>
        </w:rPr>
        <w:t>all’indebolimento</w:t>
      </w:r>
      <w:r>
        <w:rPr>
          <w:spacing w:val="-13"/>
          <w:vertAlign w:val="baseline"/>
        </w:rPr>
        <w:t> </w:t>
      </w:r>
      <w:r>
        <w:rPr>
          <w:vertAlign w:val="baseline"/>
        </w:rPr>
        <w:t>delle</w:t>
      </w:r>
      <w:r>
        <w:rPr>
          <w:spacing w:val="-13"/>
          <w:vertAlign w:val="baseline"/>
        </w:rPr>
        <w:t> </w:t>
      </w:r>
      <w:r>
        <w:rPr>
          <w:vertAlign w:val="baseline"/>
        </w:rPr>
        <w:t>aspettative</w:t>
      </w:r>
      <w:r>
        <w:rPr>
          <w:spacing w:val="-13"/>
          <w:vertAlign w:val="baseline"/>
        </w:rPr>
        <w:t> </w:t>
      </w:r>
      <w:r>
        <w:rPr>
          <w:vertAlign w:val="baseline"/>
        </w:rPr>
        <w:t>di</w:t>
      </w:r>
      <w:r>
        <w:rPr>
          <w:spacing w:val="-13"/>
          <w:vertAlign w:val="baseline"/>
        </w:rPr>
        <w:t> </w:t>
      </w:r>
      <w:r>
        <w:rPr>
          <w:vertAlign w:val="baseline"/>
        </w:rPr>
        <w:t>crescita dell’economia europea e globale, ma anche al recupero di credibilità dell’Italia, testimoniata anche dalle valutazioni espresse da agenzie di rating. I risparmi di spesa per interessi sono stimabili per l’anno in corso in circa 2,7 miliardi rispetto alla stima del</w:t>
      </w:r>
      <w:r>
        <w:rPr>
          <w:spacing w:val="-3"/>
          <w:vertAlign w:val="baseline"/>
        </w:rPr>
        <w:t> </w:t>
      </w:r>
      <w:r>
        <w:rPr>
          <w:vertAlign w:val="baseline"/>
        </w:rPr>
        <w:t>DEF.</w:t>
      </w:r>
    </w:p>
    <w:p>
      <w:pPr>
        <w:pStyle w:val="BodyText"/>
        <w:spacing w:line="249" w:lineRule="auto" w:before="7"/>
        <w:ind w:left="1128" w:right="1411" w:firstLine="453"/>
        <w:jc w:val="both"/>
      </w:pPr>
      <w:r>
        <w:rPr/>
        <w:t>Più nel dettaglio, la stima aggiornata dell’indebitamento netto include il miglioramento di circa 0,3 punti percentuali di PIL emerso dall’assestamento del bilancio dello Stato che ha certificato un miglior risultato di bilancio rispetto alla previsione iniziale stabilita con la Legge di Bilancio 2019. Inoltre, sconta il minor utilizzo, per circa 1,5 miliardi (quasi 0,1 punti percentuali di PIL), delle risorse previste</w:t>
      </w:r>
      <w:r>
        <w:rPr>
          <w:spacing w:val="-15"/>
        </w:rPr>
        <w:t> </w:t>
      </w:r>
      <w:r>
        <w:rPr/>
        <w:t>per</w:t>
      </w:r>
      <w:r>
        <w:rPr>
          <w:spacing w:val="-14"/>
        </w:rPr>
        <w:t> </w:t>
      </w:r>
      <w:r>
        <w:rPr/>
        <w:t>le</w:t>
      </w:r>
      <w:r>
        <w:rPr>
          <w:spacing w:val="-15"/>
        </w:rPr>
        <w:t> </w:t>
      </w:r>
      <w:r>
        <w:rPr/>
        <w:t>nuove</w:t>
      </w:r>
      <w:r>
        <w:rPr>
          <w:spacing w:val="-15"/>
        </w:rPr>
        <w:t> </w:t>
      </w:r>
      <w:r>
        <w:rPr/>
        <w:t>politiche</w:t>
      </w:r>
      <w:r>
        <w:rPr>
          <w:spacing w:val="-15"/>
        </w:rPr>
        <w:t> </w:t>
      </w:r>
      <w:r>
        <w:rPr/>
        <w:t>sociali</w:t>
      </w:r>
      <w:r>
        <w:rPr>
          <w:spacing w:val="-14"/>
        </w:rPr>
        <w:t> </w:t>
      </w:r>
      <w:r>
        <w:rPr/>
        <w:t>(Reddito</w:t>
      </w:r>
      <w:r>
        <w:rPr>
          <w:spacing w:val="-15"/>
        </w:rPr>
        <w:t> </w:t>
      </w:r>
      <w:r>
        <w:rPr/>
        <w:t>di</w:t>
      </w:r>
      <w:r>
        <w:rPr>
          <w:spacing w:val="-18"/>
        </w:rPr>
        <w:t> </w:t>
      </w:r>
      <w:r>
        <w:rPr/>
        <w:t>Cittadinanza</w:t>
      </w:r>
      <w:r>
        <w:rPr>
          <w:spacing w:val="-15"/>
        </w:rPr>
        <w:t> </w:t>
      </w:r>
      <w:r>
        <w:rPr/>
        <w:t>e</w:t>
      </w:r>
      <w:r>
        <w:rPr>
          <w:spacing w:val="-15"/>
        </w:rPr>
        <w:t> </w:t>
      </w:r>
      <w:r>
        <w:rPr/>
        <w:t>Quota</w:t>
      </w:r>
      <w:r>
        <w:rPr>
          <w:spacing w:val="-14"/>
        </w:rPr>
        <w:t> </w:t>
      </w:r>
      <w:r>
        <w:rPr/>
        <w:t>100)</w:t>
      </w:r>
      <w:r>
        <w:rPr>
          <w:spacing w:val="-12"/>
        </w:rPr>
        <w:t> </w:t>
      </w:r>
      <w:r>
        <w:rPr/>
        <w:t>rispetto alle</w:t>
      </w:r>
      <w:r>
        <w:rPr>
          <w:spacing w:val="-13"/>
        </w:rPr>
        <w:t> </w:t>
      </w:r>
      <w:r>
        <w:rPr/>
        <w:t>previsioni</w:t>
      </w:r>
      <w:r>
        <w:rPr>
          <w:spacing w:val="-12"/>
        </w:rPr>
        <w:t> </w:t>
      </w:r>
      <w:r>
        <w:rPr/>
        <w:t>contenute</w:t>
      </w:r>
      <w:r>
        <w:rPr>
          <w:spacing w:val="-9"/>
        </w:rPr>
        <w:t> </w:t>
      </w:r>
      <w:r>
        <w:rPr/>
        <w:t>nel</w:t>
      </w:r>
      <w:r>
        <w:rPr>
          <w:spacing w:val="-12"/>
        </w:rPr>
        <w:t> </w:t>
      </w:r>
      <w:r>
        <w:rPr/>
        <w:t>DEF</w:t>
      </w:r>
      <w:r>
        <w:rPr>
          <w:spacing w:val="-12"/>
        </w:rPr>
        <w:t> </w:t>
      </w:r>
      <w:r>
        <w:rPr/>
        <w:t>di</w:t>
      </w:r>
      <w:r>
        <w:rPr>
          <w:spacing w:val="-12"/>
        </w:rPr>
        <w:t> </w:t>
      </w:r>
      <w:r>
        <w:rPr/>
        <w:t>aprile.</w:t>
      </w:r>
      <w:r>
        <w:rPr>
          <w:spacing w:val="-12"/>
        </w:rPr>
        <w:t> </w:t>
      </w:r>
      <w:r>
        <w:rPr/>
        <w:t>Il</w:t>
      </w:r>
      <w:r>
        <w:rPr>
          <w:spacing w:val="-12"/>
        </w:rPr>
        <w:t> </w:t>
      </w:r>
      <w:r>
        <w:rPr/>
        <w:t>conseguimento</w:t>
      </w:r>
      <w:r>
        <w:rPr>
          <w:spacing w:val="-12"/>
        </w:rPr>
        <w:t> </w:t>
      </w:r>
      <w:r>
        <w:rPr/>
        <w:t>di</w:t>
      </w:r>
      <w:r>
        <w:rPr>
          <w:spacing w:val="-12"/>
        </w:rPr>
        <w:t> </w:t>
      </w:r>
      <w:r>
        <w:rPr/>
        <w:t>tali</w:t>
      </w:r>
      <w:r>
        <w:rPr>
          <w:spacing w:val="-11"/>
        </w:rPr>
        <w:t> </w:t>
      </w:r>
      <w:r>
        <w:rPr/>
        <w:t>risparmi</w:t>
      </w:r>
      <w:r>
        <w:rPr>
          <w:spacing w:val="-12"/>
        </w:rPr>
        <w:t> </w:t>
      </w:r>
      <w:r>
        <w:rPr/>
        <w:t>di</w:t>
      </w:r>
      <w:r>
        <w:rPr>
          <w:spacing w:val="-12"/>
        </w:rPr>
        <w:t> </w:t>
      </w:r>
      <w:r>
        <w:rPr/>
        <w:t>spesa è</w:t>
      </w:r>
      <w:r>
        <w:rPr>
          <w:spacing w:val="-17"/>
        </w:rPr>
        <w:t> </w:t>
      </w:r>
      <w:r>
        <w:rPr/>
        <w:t>confermato</w:t>
      </w:r>
      <w:r>
        <w:rPr>
          <w:spacing w:val="-17"/>
        </w:rPr>
        <w:t> </w:t>
      </w:r>
      <w:r>
        <w:rPr/>
        <w:t>dall’attività</w:t>
      </w:r>
      <w:r>
        <w:rPr>
          <w:spacing w:val="-18"/>
        </w:rPr>
        <w:t> </w:t>
      </w:r>
      <w:r>
        <w:rPr/>
        <w:t>di</w:t>
      </w:r>
      <w:r>
        <w:rPr>
          <w:spacing w:val="-17"/>
        </w:rPr>
        <w:t> </w:t>
      </w:r>
      <w:r>
        <w:rPr/>
        <w:t>monitoraggio</w:t>
      </w:r>
      <w:r>
        <w:rPr>
          <w:spacing w:val="-18"/>
        </w:rPr>
        <w:t> </w:t>
      </w:r>
      <w:r>
        <w:rPr/>
        <w:t>prevista</w:t>
      </w:r>
      <w:r>
        <w:rPr>
          <w:spacing w:val="-16"/>
        </w:rPr>
        <w:t> </w:t>
      </w:r>
      <w:r>
        <w:rPr/>
        <w:t>dal</w:t>
      </w:r>
      <w:r>
        <w:rPr>
          <w:spacing w:val="-17"/>
        </w:rPr>
        <w:t> </w:t>
      </w:r>
      <w:r>
        <w:rPr/>
        <w:t>D.L.</w:t>
      </w:r>
      <w:r>
        <w:rPr>
          <w:spacing w:val="-15"/>
        </w:rPr>
        <w:t> </w:t>
      </w:r>
      <w:r>
        <w:rPr/>
        <w:t>n.</w:t>
      </w:r>
      <w:r>
        <w:rPr>
          <w:spacing w:val="-17"/>
        </w:rPr>
        <w:t> </w:t>
      </w:r>
      <w:r>
        <w:rPr/>
        <w:t>61/2019.</w:t>
      </w:r>
      <w:r>
        <w:rPr>
          <w:spacing w:val="-18"/>
        </w:rPr>
        <w:t> </w:t>
      </w:r>
      <w:r>
        <w:rPr/>
        <w:t>Le</w:t>
      </w:r>
      <w:r>
        <w:rPr>
          <w:spacing w:val="-19"/>
        </w:rPr>
        <w:t> </w:t>
      </w:r>
      <w:r>
        <w:rPr/>
        <w:t>dotazioni del bilancio dello Stato che erano state accantonate a luglio dal decreto stesso, a garanzia della correzione fiscale negoziata dal precedente Governo con la Commissione Europea, sono state rese nuovamente</w:t>
      </w:r>
      <w:r>
        <w:rPr>
          <w:spacing w:val="-7"/>
        </w:rPr>
        <w:t> </w:t>
      </w:r>
      <w:r>
        <w:rPr/>
        <w:t>disponibili.</w:t>
      </w:r>
    </w:p>
    <w:p>
      <w:pPr>
        <w:pStyle w:val="BodyText"/>
        <w:spacing w:line="249" w:lineRule="auto" w:before="4"/>
        <w:ind w:left="1128" w:right="1410" w:firstLine="453"/>
        <w:jc w:val="both"/>
      </w:pPr>
      <w:r>
        <w:rPr/>
        <w:t>La stima dell’indebitamento netto per il 2019, in linea con quanto ipotizzato nel DEF di aprile, include i tagli di spesa per 2 miliardi (circa 0,1 punti percentuali di PIL, disposti con il disegno di legge di assestamento) previsti dalla Legge di Bilancio 2019, che aveva accantonato una dotazione di bilancio di importo corrispondente a garanzia del raggiungimento dell’obiettivo di deficit per l’anno in corso. Con i provvedimenti dello scorso luglio, gli accantonamenti sono stati resi definitivamente indisponibili alla gestione e destinati al miglioramento dei saldi.</w:t>
      </w:r>
    </w:p>
    <w:p>
      <w:pPr>
        <w:pStyle w:val="BodyText"/>
        <w:spacing w:line="249" w:lineRule="auto" w:before="3"/>
        <w:ind w:left="1128" w:right="1411" w:firstLine="453"/>
        <w:jc w:val="both"/>
      </w:pPr>
      <w:r>
        <w:rPr/>
        <w:t>Gli interventi descritti, insieme agli impegni assunti dal precedente Governo con riferimento alla politica di bilancio per il 2020 e alle riforme strutturali, hanno scongiurato l’apertura da parte della Commissione Europea di una Procedura per Deficit Eccessivi a carico dell’Italia, per il mancato rispetto della regola del debito nel 2018.</w:t>
      </w:r>
    </w:p>
    <w:p>
      <w:pPr>
        <w:pStyle w:val="BodyText"/>
        <w:spacing w:before="3"/>
        <w:ind w:left="278" w:right="1417"/>
        <w:jc w:val="right"/>
      </w:pPr>
      <w:r>
        <w:rPr/>
        <w:t>Per  gli anni  2020-2022 è  prevista  una marcata riduzione</w:t>
      </w:r>
      <w:r>
        <w:rPr>
          <w:spacing w:val="-10"/>
        </w:rPr>
        <w:t> </w:t>
      </w:r>
      <w:r>
        <w:rPr/>
        <w:t>dell’indebitamento</w:t>
      </w:r>
    </w:p>
    <w:p>
      <w:pPr>
        <w:pStyle w:val="BodyText"/>
        <w:spacing w:before="12"/>
        <w:ind w:left="278" w:right="1411"/>
        <w:jc w:val="right"/>
      </w:pPr>
      <w:r>
        <w:rPr/>
        <w:t>netto</w:t>
      </w:r>
      <w:r>
        <w:rPr>
          <w:spacing w:val="-6"/>
        </w:rPr>
        <w:t> </w:t>
      </w:r>
      <w:r>
        <w:rPr/>
        <w:t>nominale</w:t>
      </w:r>
      <w:r>
        <w:rPr>
          <w:spacing w:val="-5"/>
        </w:rPr>
        <w:t> </w:t>
      </w:r>
      <w:r>
        <w:rPr/>
        <w:t>a</w:t>
      </w:r>
      <w:r>
        <w:rPr>
          <w:spacing w:val="-6"/>
        </w:rPr>
        <w:t> </w:t>
      </w:r>
      <w:r>
        <w:rPr/>
        <w:t>legislazione</w:t>
      </w:r>
      <w:r>
        <w:rPr>
          <w:spacing w:val="-6"/>
        </w:rPr>
        <w:t> </w:t>
      </w:r>
      <w:r>
        <w:rPr/>
        <w:t>vigente,</w:t>
      </w:r>
      <w:r>
        <w:rPr>
          <w:spacing w:val="-7"/>
        </w:rPr>
        <w:t> </w:t>
      </w:r>
      <w:r>
        <w:rPr/>
        <w:t>che</w:t>
      </w:r>
      <w:r>
        <w:rPr>
          <w:spacing w:val="-8"/>
        </w:rPr>
        <w:t> </w:t>
      </w:r>
      <w:r>
        <w:rPr/>
        <w:t>è</w:t>
      </w:r>
      <w:r>
        <w:rPr>
          <w:spacing w:val="-8"/>
        </w:rPr>
        <w:t> </w:t>
      </w:r>
      <w:r>
        <w:rPr/>
        <w:t>atteso</w:t>
      </w:r>
      <w:r>
        <w:rPr>
          <w:spacing w:val="-6"/>
        </w:rPr>
        <w:t> </w:t>
      </w:r>
      <w:r>
        <w:rPr/>
        <w:t>attestarsi</w:t>
      </w:r>
      <w:r>
        <w:rPr>
          <w:spacing w:val="-5"/>
        </w:rPr>
        <w:t> </w:t>
      </w:r>
      <w:r>
        <w:rPr/>
        <w:t>allo</w:t>
      </w:r>
      <w:r>
        <w:rPr>
          <w:spacing w:val="-6"/>
        </w:rPr>
        <w:t> </w:t>
      </w:r>
      <w:r>
        <w:rPr/>
        <w:t>0,9</w:t>
      </w:r>
      <w:r>
        <w:rPr>
          <w:spacing w:val="-5"/>
        </w:rPr>
        <w:t> </w:t>
      </w:r>
      <w:r>
        <w:rPr/>
        <w:t>per</w:t>
      </w:r>
      <w:r>
        <w:rPr>
          <w:spacing w:val="-7"/>
        </w:rPr>
        <w:t> </w:t>
      </w:r>
      <w:r>
        <w:rPr/>
        <w:t>cento</w:t>
      </w:r>
      <w:r>
        <w:rPr>
          <w:spacing w:val="-6"/>
        </w:rPr>
        <w:t> </w:t>
      </w:r>
      <w:r>
        <w:rPr/>
        <w:t>del</w:t>
      </w:r>
    </w:p>
    <w:p>
      <w:pPr>
        <w:pStyle w:val="BodyText"/>
        <w:rPr>
          <w:sz w:val="20"/>
        </w:rPr>
      </w:pPr>
    </w:p>
    <w:p>
      <w:pPr>
        <w:pStyle w:val="BodyText"/>
        <w:rPr>
          <w:sz w:val="20"/>
        </w:rPr>
      </w:pPr>
    </w:p>
    <w:p>
      <w:pPr>
        <w:pStyle w:val="BodyText"/>
        <w:rPr>
          <w:sz w:val="13"/>
        </w:rPr>
      </w:pPr>
      <w:r>
        <w:rPr/>
        <w:pict>
          <v:group style="position:absolute;margin-left:136.100006pt;margin-top:9.527871pt;width:21.4pt;height:2.15pt;mso-position-horizontal-relative:page;mso-position-vertical-relative:paragraph;z-index:-251526144;mso-wrap-distance-left:0;mso-wrap-distance-right:0" coordorigin="2722,191" coordsize="428,43">
            <v:line style="position:absolute" from="2722,211" to="3149,211" stroked="true" strokeweight="2.050pt" strokecolor="#aaaaaa">
              <v:stroke dashstyle="solid"/>
            </v:line>
            <v:rect style="position:absolute;left:2722;top:192;width:5;height:5" filled="true" fillcolor="#9f9f9f" stroked="false">
              <v:fill type="solid"/>
            </v:rect>
            <v:rect style="position:absolute;left:2722;top:192;width:5;height:5" filled="true" fillcolor="#9f9f9f" stroked="false">
              <v:fill type="solid"/>
            </v:rect>
            <v:line style="position:absolute" from="2727,195" to="3144,195" stroked="true" strokeweight=".23999pt" strokecolor="#9f9f9f">
              <v:stroke dashstyle="solid"/>
            </v:line>
            <v:rect style="position:absolute;left:3144;top:192;width:5;height:5" filled="true" fillcolor="#e2e2e2" stroked="false">
              <v:fill type="solid"/>
            </v:rect>
            <v:rect style="position:absolute;left:3144;top:192;width:5;height:5" filled="true" fillcolor="#9f9f9f" stroked="false">
              <v:fill type="solid"/>
            </v:rect>
            <v:rect style="position:absolute;left:2722;top:197;width:5;height:32" filled="true" fillcolor="#9f9f9f" stroked="false">
              <v:fill type="solid"/>
            </v:rect>
            <v:rect style="position:absolute;left:3144;top:197;width:5;height:32" filled="true" fillcolor="#e2e2e2" stroked="false">
              <v:fill type="solid"/>
            </v:rect>
            <v:rect style="position:absolute;left:2722;top:228;width:5;height:5" filled="true" fillcolor="#9f9f9f" stroked="false">
              <v:fill type="solid"/>
            </v:rect>
            <v:rect style="position:absolute;left:2722;top:228;width:5;height:5" filled="true" fillcolor="#e2e2e2" stroked="false">
              <v:fill type="solid"/>
            </v:rect>
            <v:line style="position:absolute" from="2727,231" to="3144,231" stroked="true" strokeweight=".23999pt" strokecolor="#e2e2e2">
              <v:stroke dashstyle="solid"/>
            </v:line>
            <v:rect style="position:absolute;left:3144;top:228;width:5;height:5" filled="true" fillcolor="#e2e2e2" stroked="false">
              <v:fill type="solid"/>
            </v:rect>
            <v:rect style="position:absolute;left:3144;top:228;width:5;height:5" filled="true" fillcolor="#e2e2e2" stroked="false">
              <v:fill type="solid"/>
            </v:rect>
            <w10:wrap type="topAndBottom"/>
          </v:group>
        </w:pict>
      </w:r>
    </w:p>
    <w:p>
      <w:pPr>
        <w:spacing w:line="189" w:lineRule="exact" w:before="20"/>
        <w:ind w:left="1582" w:right="0" w:firstLine="0"/>
        <w:jc w:val="left"/>
        <w:rPr>
          <w:sz w:val="16"/>
        </w:rPr>
      </w:pPr>
      <w:r>
        <w:rPr>
          <w:position w:val="6"/>
          <w:sz w:val="10"/>
        </w:rPr>
        <w:t>4 </w:t>
      </w:r>
      <w:r>
        <w:rPr>
          <w:sz w:val="16"/>
        </w:rPr>
        <w:t>Il miglioramento include i maggiori introiti delle c.d. ‘Aste CO2’ e maggiori entrate per flussi con l’Unione</w:t>
      </w:r>
    </w:p>
    <w:p>
      <w:pPr>
        <w:spacing w:line="184" w:lineRule="exact" w:before="0"/>
        <w:ind w:left="1128" w:right="0" w:firstLine="0"/>
        <w:jc w:val="left"/>
        <w:rPr>
          <w:sz w:val="16"/>
        </w:rPr>
      </w:pPr>
      <w:r>
        <w:rPr>
          <w:sz w:val="16"/>
        </w:rPr>
        <w:t>Europea per 500 milioni.</w:t>
      </w:r>
    </w:p>
    <w:p>
      <w:pPr>
        <w:spacing w:line="186" w:lineRule="exact" w:before="0"/>
        <w:ind w:left="1582" w:right="0" w:firstLine="0"/>
        <w:jc w:val="left"/>
        <w:rPr>
          <w:sz w:val="16"/>
        </w:rPr>
      </w:pPr>
      <w:r>
        <w:rPr>
          <w:position w:val="6"/>
          <w:sz w:val="10"/>
        </w:rPr>
        <w:t>5 </w:t>
      </w:r>
      <w:r>
        <w:rPr>
          <w:sz w:val="16"/>
        </w:rPr>
        <w:t>La stima era 2,5 per cento del PIL secondo le previsioni di primavera 2019 della Commissione Europea.</w:t>
      </w:r>
    </w:p>
    <w:p>
      <w:pPr>
        <w:spacing w:line="187" w:lineRule="exact" w:before="0"/>
        <w:ind w:left="1582" w:right="0" w:firstLine="0"/>
        <w:jc w:val="left"/>
        <w:rPr>
          <w:sz w:val="16"/>
        </w:rPr>
      </w:pPr>
      <w:r>
        <w:rPr>
          <w:position w:val="6"/>
          <w:sz w:val="10"/>
        </w:rPr>
        <w:t>6 </w:t>
      </w:r>
      <w:r>
        <w:rPr>
          <w:sz w:val="16"/>
        </w:rPr>
        <w:t>Eventuali imprecisioni derivano dagli arrotondamenti.</w:t>
      </w:r>
    </w:p>
    <w:p>
      <w:pPr>
        <w:spacing w:after="0" w:line="187" w:lineRule="exact"/>
        <w:jc w:val="left"/>
        <w:rPr>
          <w:sz w:val="16"/>
        </w:rPr>
        <w:sectPr>
          <w:headerReference w:type="even" r:id="rId54"/>
          <w:headerReference w:type="default" r:id="rId55"/>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49" w:lineRule="auto" w:before="101"/>
        <w:ind w:left="278" w:right="2258"/>
        <w:jc w:val="both"/>
      </w:pPr>
      <w:r>
        <w:rPr/>
        <w:t>PIL alla fine del periodo di previsione, a fronte di un obiettivo programmatico per il</w:t>
      </w:r>
      <w:r>
        <w:rPr>
          <w:spacing w:val="-5"/>
        </w:rPr>
        <w:t> </w:t>
      </w:r>
      <w:r>
        <w:rPr/>
        <w:t>2022</w:t>
      </w:r>
      <w:r>
        <w:rPr>
          <w:spacing w:val="-4"/>
        </w:rPr>
        <w:t> </w:t>
      </w:r>
      <w:r>
        <w:rPr/>
        <w:t>che</w:t>
      </w:r>
      <w:r>
        <w:rPr>
          <w:spacing w:val="-3"/>
        </w:rPr>
        <w:t> </w:t>
      </w:r>
      <w:r>
        <w:rPr/>
        <w:t>nel</w:t>
      </w:r>
      <w:r>
        <w:rPr>
          <w:spacing w:val="-3"/>
        </w:rPr>
        <w:t> </w:t>
      </w:r>
      <w:r>
        <w:rPr/>
        <w:t>DEF</w:t>
      </w:r>
      <w:r>
        <w:rPr>
          <w:spacing w:val="-5"/>
        </w:rPr>
        <w:t> </w:t>
      </w:r>
      <w:r>
        <w:rPr/>
        <w:t>di</w:t>
      </w:r>
      <w:r>
        <w:rPr>
          <w:spacing w:val="-2"/>
        </w:rPr>
        <w:t> </w:t>
      </w:r>
      <w:r>
        <w:rPr/>
        <w:t>aprile</w:t>
      </w:r>
      <w:r>
        <w:rPr>
          <w:spacing w:val="-3"/>
        </w:rPr>
        <w:t> </w:t>
      </w:r>
      <w:r>
        <w:rPr/>
        <w:t>era</w:t>
      </w:r>
      <w:r>
        <w:rPr>
          <w:spacing w:val="-4"/>
        </w:rPr>
        <w:t> </w:t>
      </w:r>
      <w:r>
        <w:rPr/>
        <w:t>fissato</w:t>
      </w:r>
      <w:r>
        <w:rPr>
          <w:spacing w:val="-5"/>
        </w:rPr>
        <w:t> </w:t>
      </w:r>
      <w:r>
        <w:rPr/>
        <w:t>all’1,5</w:t>
      </w:r>
      <w:r>
        <w:rPr>
          <w:spacing w:val="-3"/>
        </w:rPr>
        <w:t> </w:t>
      </w:r>
      <w:r>
        <w:rPr/>
        <w:t>per</w:t>
      </w:r>
      <w:r>
        <w:rPr>
          <w:spacing w:val="-2"/>
        </w:rPr>
        <w:t> </w:t>
      </w:r>
      <w:r>
        <w:rPr/>
        <w:t>cento</w:t>
      </w:r>
      <w:r>
        <w:rPr>
          <w:spacing w:val="-4"/>
        </w:rPr>
        <w:t> </w:t>
      </w:r>
      <w:r>
        <w:rPr/>
        <w:t>del</w:t>
      </w:r>
      <w:r>
        <w:rPr>
          <w:spacing w:val="-4"/>
        </w:rPr>
        <w:t> </w:t>
      </w:r>
      <w:r>
        <w:rPr/>
        <w:t>PIL.</w:t>
      </w:r>
      <w:r>
        <w:rPr>
          <w:spacing w:val="-4"/>
        </w:rPr>
        <w:t> </w:t>
      </w:r>
      <w:r>
        <w:rPr/>
        <w:t>L’avanzo</w:t>
      </w:r>
      <w:r>
        <w:rPr>
          <w:spacing w:val="-4"/>
        </w:rPr>
        <w:t> </w:t>
      </w:r>
      <w:r>
        <w:rPr/>
        <w:t>primario segnerà un’accelerazione collocandosi all’1,9 per cento del PIL nel 2020 e 2021 e raggiungerà il 2,0 per cento nel 2022, grazie ad una crescita più sostenuta delle entrate fiscali e ad una dinamica più contenuta della spesa primaria. L’incidenza della spesa per interessi passivi sul PIL scenderà dal 3,2 per cento del 2020 al 3,1 per cento del 2021, per attestarsi al 2,9 per cento nel 2022. I conti pubblici continueranno a beneficiare di significativi risparmi di spesa per interessi, a fronte del trend in riduzione dei rendimenti, dell’ordine di 2,1 miliardi nel 2020, 1,5 miliardi nel 2021 e 1,6 miliardi nel</w:t>
      </w:r>
      <w:r>
        <w:rPr>
          <w:spacing w:val="-6"/>
        </w:rPr>
        <w:t> </w:t>
      </w:r>
      <w:r>
        <w:rPr/>
        <w:t>2022.</w:t>
      </w:r>
    </w:p>
    <w:p>
      <w:pPr>
        <w:pStyle w:val="BodyText"/>
        <w:spacing w:line="252" w:lineRule="auto" w:before="5"/>
        <w:ind w:left="278" w:right="2260" w:firstLine="453"/>
        <w:jc w:val="both"/>
      </w:pPr>
      <w:r>
        <w:rPr/>
        <w:t>Il</w:t>
      </w:r>
      <w:r>
        <w:rPr>
          <w:spacing w:val="-8"/>
        </w:rPr>
        <w:t> </w:t>
      </w:r>
      <w:r>
        <w:rPr/>
        <w:t>gettito</w:t>
      </w:r>
      <w:r>
        <w:rPr>
          <w:spacing w:val="-8"/>
        </w:rPr>
        <w:t> </w:t>
      </w:r>
      <w:r>
        <w:rPr/>
        <w:t>fiscale,</w:t>
      </w:r>
      <w:r>
        <w:rPr>
          <w:spacing w:val="-6"/>
        </w:rPr>
        <w:t> </w:t>
      </w:r>
      <w:r>
        <w:rPr/>
        <w:t>tributario</w:t>
      </w:r>
      <w:r>
        <w:rPr>
          <w:spacing w:val="-8"/>
        </w:rPr>
        <w:t> </w:t>
      </w:r>
      <w:r>
        <w:rPr/>
        <w:t>e</w:t>
      </w:r>
      <w:r>
        <w:rPr>
          <w:spacing w:val="-9"/>
        </w:rPr>
        <w:t> </w:t>
      </w:r>
      <w:r>
        <w:rPr/>
        <w:t>contributivo,</w:t>
      </w:r>
      <w:r>
        <w:rPr>
          <w:spacing w:val="-7"/>
        </w:rPr>
        <w:t> </w:t>
      </w:r>
      <w:r>
        <w:rPr/>
        <w:t>è</w:t>
      </w:r>
      <w:r>
        <w:rPr>
          <w:spacing w:val="-8"/>
        </w:rPr>
        <w:t> </w:t>
      </w:r>
      <w:r>
        <w:rPr/>
        <w:t>atteso</w:t>
      </w:r>
      <w:r>
        <w:rPr>
          <w:spacing w:val="-7"/>
        </w:rPr>
        <w:t> </w:t>
      </w:r>
      <w:r>
        <w:rPr/>
        <w:t>crescere</w:t>
      </w:r>
      <w:r>
        <w:rPr>
          <w:spacing w:val="-9"/>
        </w:rPr>
        <w:t> </w:t>
      </w:r>
      <w:r>
        <w:rPr/>
        <w:t>dell’1,3</w:t>
      </w:r>
      <w:r>
        <w:rPr>
          <w:spacing w:val="-7"/>
        </w:rPr>
        <w:t> </w:t>
      </w:r>
      <w:r>
        <w:rPr/>
        <w:t>per</w:t>
      </w:r>
      <w:r>
        <w:rPr>
          <w:spacing w:val="-9"/>
        </w:rPr>
        <w:t> </w:t>
      </w:r>
      <w:r>
        <w:rPr/>
        <w:t>cento nel 2019 e in media del 2,7 all’anno nel triennio 2020-2022, sostenuto prevalentemente</w:t>
      </w:r>
      <w:r>
        <w:rPr>
          <w:spacing w:val="-13"/>
        </w:rPr>
        <w:t> </w:t>
      </w:r>
      <w:r>
        <w:rPr/>
        <w:t>dalle</w:t>
      </w:r>
      <w:r>
        <w:rPr>
          <w:spacing w:val="-13"/>
        </w:rPr>
        <w:t> </w:t>
      </w:r>
      <w:r>
        <w:rPr/>
        <w:t>imposte</w:t>
      </w:r>
      <w:r>
        <w:rPr>
          <w:spacing w:val="-13"/>
        </w:rPr>
        <w:t> </w:t>
      </w:r>
      <w:r>
        <w:rPr/>
        <w:t>indirette,</w:t>
      </w:r>
      <w:r>
        <w:rPr>
          <w:spacing w:val="-11"/>
        </w:rPr>
        <w:t> </w:t>
      </w:r>
      <w:r>
        <w:rPr/>
        <w:t>che</w:t>
      </w:r>
      <w:r>
        <w:rPr>
          <w:spacing w:val="-13"/>
        </w:rPr>
        <w:t> </w:t>
      </w:r>
      <w:r>
        <w:rPr/>
        <w:t>segneranno</w:t>
      </w:r>
      <w:r>
        <w:rPr>
          <w:spacing w:val="-13"/>
        </w:rPr>
        <w:t> </w:t>
      </w:r>
      <w:r>
        <w:rPr/>
        <w:t>un</w:t>
      </w:r>
      <w:r>
        <w:rPr>
          <w:spacing w:val="-13"/>
        </w:rPr>
        <w:t> </w:t>
      </w:r>
      <w:r>
        <w:rPr/>
        <w:t>aumento</w:t>
      </w:r>
      <w:r>
        <w:rPr>
          <w:spacing w:val="-13"/>
        </w:rPr>
        <w:t> </w:t>
      </w:r>
      <w:r>
        <w:rPr/>
        <w:t>di</w:t>
      </w:r>
      <w:r>
        <w:rPr>
          <w:spacing w:val="-11"/>
        </w:rPr>
        <w:t> </w:t>
      </w:r>
      <w:r>
        <w:rPr/>
        <w:t>circa</w:t>
      </w:r>
      <w:r>
        <w:rPr>
          <w:spacing w:val="-12"/>
        </w:rPr>
        <w:t> </w:t>
      </w:r>
      <w:r>
        <w:rPr/>
        <w:t>il</w:t>
      </w:r>
      <w:r>
        <w:rPr>
          <w:spacing w:val="-11"/>
        </w:rPr>
        <w:t> </w:t>
      </w:r>
      <w:r>
        <w:rPr/>
        <w:t>9,9 per</w:t>
      </w:r>
      <w:r>
        <w:rPr>
          <w:spacing w:val="-9"/>
        </w:rPr>
        <w:t> </w:t>
      </w:r>
      <w:r>
        <w:rPr/>
        <w:t>cento</w:t>
      </w:r>
      <w:r>
        <w:rPr>
          <w:spacing w:val="-7"/>
        </w:rPr>
        <w:t> </w:t>
      </w:r>
      <w:r>
        <w:rPr/>
        <w:t>nel</w:t>
      </w:r>
      <w:r>
        <w:rPr>
          <w:spacing w:val="-7"/>
        </w:rPr>
        <w:t> </w:t>
      </w:r>
      <w:r>
        <w:rPr/>
        <w:t>2020</w:t>
      </w:r>
      <w:r>
        <w:rPr>
          <w:spacing w:val="-10"/>
        </w:rPr>
        <w:t> </w:t>
      </w:r>
      <w:r>
        <w:rPr/>
        <w:t>e</w:t>
      </w:r>
      <w:r>
        <w:rPr>
          <w:spacing w:val="-9"/>
        </w:rPr>
        <w:t> </w:t>
      </w:r>
      <w:r>
        <w:rPr/>
        <w:t>del</w:t>
      </w:r>
      <w:r>
        <w:rPr>
          <w:spacing w:val="-9"/>
        </w:rPr>
        <w:t> </w:t>
      </w:r>
      <w:r>
        <w:rPr/>
        <w:t>2,7</w:t>
      </w:r>
      <w:r>
        <w:rPr>
          <w:spacing w:val="-7"/>
        </w:rPr>
        <w:t> </w:t>
      </w:r>
      <w:r>
        <w:rPr/>
        <w:t>per</w:t>
      </w:r>
      <w:r>
        <w:rPr>
          <w:spacing w:val="-11"/>
        </w:rPr>
        <w:t> </w:t>
      </w:r>
      <w:r>
        <w:rPr/>
        <w:t>cento</w:t>
      </w:r>
      <w:r>
        <w:rPr>
          <w:spacing w:val="-7"/>
        </w:rPr>
        <w:t> </w:t>
      </w:r>
      <w:r>
        <w:rPr/>
        <w:t>in</w:t>
      </w:r>
      <w:r>
        <w:rPr>
          <w:spacing w:val="-8"/>
        </w:rPr>
        <w:t> </w:t>
      </w:r>
      <w:r>
        <w:rPr/>
        <w:t>media</w:t>
      </w:r>
      <w:r>
        <w:rPr>
          <w:spacing w:val="-10"/>
        </w:rPr>
        <w:t> </w:t>
      </w:r>
      <w:r>
        <w:rPr/>
        <w:t>nei</w:t>
      </w:r>
      <w:r>
        <w:rPr>
          <w:spacing w:val="-7"/>
        </w:rPr>
        <w:t> </w:t>
      </w:r>
      <w:r>
        <w:rPr/>
        <w:t>rimanenti</w:t>
      </w:r>
      <w:r>
        <w:rPr>
          <w:spacing w:val="-7"/>
        </w:rPr>
        <w:t> </w:t>
      </w:r>
      <w:r>
        <w:rPr/>
        <w:t>anni.</w:t>
      </w:r>
      <w:r>
        <w:rPr>
          <w:spacing w:val="-8"/>
        </w:rPr>
        <w:t> </w:t>
      </w:r>
      <w:r>
        <w:rPr/>
        <w:t>L’accelerazione è legata, da un lato, al fatto che lo scenario a legislazione vigente sconta l’entrata in vigore degli aumenti automatici dell’IVA e delle accise posti a garanzia dei saldi di finanza pubblica</w:t>
      </w:r>
      <w:r>
        <w:rPr>
          <w:vertAlign w:val="superscript"/>
        </w:rPr>
        <w:t>7</w:t>
      </w:r>
      <w:r>
        <w:rPr>
          <w:vertAlign w:val="baseline"/>
        </w:rPr>
        <w:t> e gli altri interventi in campo fiscale introdotti dalla Legge di Bilancio 2019 che hanno riguardato, tra l’altro, l’obbligo della trasmissione elettronica</w:t>
      </w:r>
      <w:r>
        <w:rPr>
          <w:spacing w:val="-14"/>
          <w:vertAlign w:val="baseline"/>
        </w:rPr>
        <w:t> </w:t>
      </w:r>
      <w:r>
        <w:rPr>
          <w:vertAlign w:val="baseline"/>
        </w:rPr>
        <w:t>dei</w:t>
      </w:r>
      <w:r>
        <w:rPr>
          <w:spacing w:val="-14"/>
          <w:vertAlign w:val="baseline"/>
        </w:rPr>
        <w:t> </w:t>
      </w:r>
      <w:r>
        <w:rPr>
          <w:vertAlign w:val="baseline"/>
        </w:rPr>
        <w:t>corrispettivi</w:t>
      </w:r>
      <w:r>
        <w:rPr>
          <w:spacing w:val="-14"/>
          <w:vertAlign w:val="baseline"/>
        </w:rPr>
        <w:t> </w:t>
      </w:r>
      <w:r>
        <w:rPr>
          <w:vertAlign w:val="baseline"/>
        </w:rPr>
        <w:t>all’Agenzia</w:t>
      </w:r>
      <w:r>
        <w:rPr>
          <w:spacing w:val="-14"/>
          <w:vertAlign w:val="baseline"/>
        </w:rPr>
        <w:t> </w:t>
      </w:r>
      <w:r>
        <w:rPr>
          <w:vertAlign w:val="baseline"/>
        </w:rPr>
        <w:t>delle</w:t>
      </w:r>
      <w:r>
        <w:rPr>
          <w:spacing w:val="-15"/>
          <w:vertAlign w:val="baseline"/>
        </w:rPr>
        <w:t> </w:t>
      </w:r>
      <w:r>
        <w:rPr>
          <w:vertAlign w:val="baseline"/>
        </w:rPr>
        <w:t>Entrate,</w:t>
      </w:r>
      <w:r>
        <w:rPr>
          <w:spacing w:val="-13"/>
          <w:vertAlign w:val="baseline"/>
        </w:rPr>
        <w:t> </w:t>
      </w:r>
      <w:r>
        <w:rPr>
          <w:vertAlign w:val="baseline"/>
        </w:rPr>
        <w:t>la</w:t>
      </w:r>
      <w:r>
        <w:rPr>
          <w:spacing w:val="-14"/>
          <w:vertAlign w:val="baseline"/>
        </w:rPr>
        <w:t> </w:t>
      </w:r>
      <w:r>
        <w:rPr>
          <w:vertAlign w:val="baseline"/>
        </w:rPr>
        <w:t>definizione</w:t>
      </w:r>
      <w:r>
        <w:rPr>
          <w:spacing w:val="-14"/>
          <w:vertAlign w:val="baseline"/>
        </w:rPr>
        <w:t> </w:t>
      </w:r>
      <w:r>
        <w:rPr>
          <w:vertAlign w:val="baseline"/>
        </w:rPr>
        <w:t>agevolata</w:t>
      </w:r>
      <w:r>
        <w:rPr>
          <w:spacing w:val="-15"/>
          <w:vertAlign w:val="baseline"/>
        </w:rPr>
        <w:t> </w:t>
      </w:r>
      <w:r>
        <w:rPr>
          <w:vertAlign w:val="baseline"/>
        </w:rPr>
        <w:t>delle controversie fiscali pendenti, e l’inasprimento dei prelievi sui giochi e tabacchi. Dall’altro,</w:t>
      </w:r>
      <w:r>
        <w:rPr>
          <w:spacing w:val="-11"/>
          <w:vertAlign w:val="baseline"/>
        </w:rPr>
        <w:t> </w:t>
      </w:r>
      <w:r>
        <w:rPr>
          <w:vertAlign w:val="baseline"/>
        </w:rPr>
        <w:t>l’andamento</w:t>
      </w:r>
      <w:r>
        <w:rPr>
          <w:spacing w:val="-12"/>
          <w:vertAlign w:val="baseline"/>
        </w:rPr>
        <w:t> </w:t>
      </w:r>
      <w:r>
        <w:rPr>
          <w:vertAlign w:val="baseline"/>
        </w:rPr>
        <w:t>tendenziale</w:t>
      </w:r>
      <w:r>
        <w:rPr>
          <w:spacing w:val="-11"/>
          <w:vertAlign w:val="baseline"/>
        </w:rPr>
        <w:t> </w:t>
      </w:r>
      <w:r>
        <w:rPr>
          <w:vertAlign w:val="baseline"/>
        </w:rPr>
        <w:t>delle</w:t>
      </w:r>
      <w:r>
        <w:rPr>
          <w:spacing w:val="-11"/>
          <w:vertAlign w:val="baseline"/>
        </w:rPr>
        <w:t> </w:t>
      </w:r>
      <w:r>
        <w:rPr>
          <w:vertAlign w:val="baseline"/>
        </w:rPr>
        <w:t>imposte</w:t>
      </w:r>
      <w:r>
        <w:rPr>
          <w:spacing w:val="-11"/>
          <w:vertAlign w:val="baseline"/>
        </w:rPr>
        <w:t> </w:t>
      </w:r>
      <w:r>
        <w:rPr>
          <w:vertAlign w:val="baseline"/>
        </w:rPr>
        <w:t>indirette</w:t>
      </w:r>
      <w:r>
        <w:rPr>
          <w:spacing w:val="-11"/>
          <w:vertAlign w:val="baseline"/>
        </w:rPr>
        <w:t> </w:t>
      </w:r>
      <w:r>
        <w:rPr>
          <w:vertAlign w:val="baseline"/>
        </w:rPr>
        <w:t>beneficia</w:t>
      </w:r>
      <w:r>
        <w:rPr>
          <w:spacing w:val="-11"/>
          <w:vertAlign w:val="baseline"/>
        </w:rPr>
        <w:t> </w:t>
      </w:r>
      <w:r>
        <w:rPr>
          <w:vertAlign w:val="baseline"/>
        </w:rPr>
        <w:t>della</w:t>
      </w:r>
      <w:r>
        <w:rPr>
          <w:spacing w:val="-12"/>
          <w:vertAlign w:val="baseline"/>
        </w:rPr>
        <w:t> </w:t>
      </w:r>
      <w:r>
        <w:rPr>
          <w:vertAlign w:val="baseline"/>
        </w:rPr>
        <w:t>maggior crescita economica</w:t>
      </w:r>
      <w:r>
        <w:rPr>
          <w:spacing w:val="-1"/>
          <w:vertAlign w:val="baseline"/>
        </w:rPr>
        <w:t> </w:t>
      </w:r>
      <w:r>
        <w:rPr>
          <w:vertAlign w:val="baseline"/>
        </w:rPr>
        <w:t>attesa.</w:t>
      </w:r>
    </w:p>
    <w:p>
      <w:pPr>
        <w:pStyle w:val="BodyText"/>
        <w:spacing w:line="252" w:lineRule="auto" w:before="1"/>
        <w:ind w:left="278" w:right="2260" w:firstLine="453"/>
        <w:jc w:val="both"/>
      </w:pPr>
      <w:r>
        <w:rPr/>
        <w:t>Il</w:t>
      </w:r>
      <w:r>
        <w:rPr>
          <w:spacing w:val="-20"/>
        </w:rPr>
        <w:t> </w:t>
      </w:r>
      <w:r>
        <w:rPr/>
        <w:t>ritmo</w:t>
      </w:r>
      <w:r>
        <w:rPr>
          <w:spacing w:val="-18"/>
        </w:rPr>
        <w:t> </w:t>
      </w:r>
      <w:r>
        <w:rPr/>
        <w:t>di</w:t>
      </w:r>
      <w:r>
        <w:rPr>
          <w:spacing w:val="-21"/>
        </w:rPr>
        <w:t> </w:t>
      </w:r>
      <w:r>
        <w:rPr/>
        <w:t>crescita</w:t>
      </w:r>
      <w:r>
        <w:rPr>
          <w:spacing w:val="-18"/>
        </w:rPr>
        <w:t> </w:t>
      </w:r>
      <w:r>
        <w:rPr/>
        <w:t>previsto</w:t>
      </w:r>
      <w:r>
        <w:rPr>
          <w:spacing w:val="-17"/>
        </w:rPr>
        <w:t> </w:t>
      </w:r>
      <w:r>
        <w:rPr/>
        <w:t>delle</w:t>
      </w:r>
      <w:r>
        <w:rPr>
          <w:spacing w:val="-17"/>
        </w:rPr>
        <w:t> </w:t>
      </w:r>
      <w:r>
        <w:rPr/>
        <w:t>imposte</w:t>
      </w:r>
      <w:r>
        <w:rPr>
          <w:spacing w:val="-17"/>
        </w:rPr>
        <w:t> </w:t>
      </w:r>
      <w:r>
        <w:rPr/>
        <w:t>dirette</w:t>
      </w:r>
      <w:r>
        <w:rPr>
          <w:spacing w:val="-20"/>
        </w:rPr>
        <w:t> </w:t>
      </w:r>
      <w:r>
        <w:rPr/>
        <w:t>è</w:t>
      </w:r>
      <w:r>
        <w:rPr>
          <w:spacing w:val="-17"/>
        </w:rPr>
        <w:t> </w:t>
      </w:r>
      <w:r>
        <w:rPr/>
        <w:t>dello</w:t>
      </w:r>
      <w:r>
        <w:rPr>
          <w:spacing w:val="-18"/>
        </w:rPr>
        <w:t> </w:t>
      </w:r>
      <w:r>
        <w:rPr/>
        <w:t>0,5</w:t>
      </w:r>
      <w:r>
        <w:rPr>
          <w:spacing w:val="-17"/>
        </w:rPr>
        <w:t> </w:t>
      </w:r>
      <w:r>
        <w:rPr/>
        <w:t>per</w:t>
      </w:r>
      <w:r>
        <w:rPr>
          <w:spacing w:val="-19"/>
        </w:rPr>
        <w:t> </w:t>
      </w:r>
      <w:r>
        <w:rPr/>
        <w:t>cento</w:t>
      </w:r>
      <w:r>
        <w:rPr>
          <w:spacing w:val="-18"/>
        </w:rPr>
        <w:t> </w:t>
      </w:r>
      <w:r>
        <w:rPr/>
        <w:t>nell’anno in</w:t>
      </w:r>
      <w:r>
        <w:rPr>
          <w:spacing w:val="-9"/>
        </w:rPr>
        <w:t> </w:t>
      </w:r>
      <w:r>
        <w:rPr/>
        <w:t>corso</w:t>
      </w:r>
      <w:r>
        <w:rPr>
          <w:spacing w:val="-9"/>
        </w:rPr>
        <w:t> </w:t>
      </w:r>
      <w:r>
        <w:rPr/>
        <w:t>e</w:t>
      </w:r>
      <w:r>
        <w:rPr>
          <w:spacing w:val="-8"/>
        </w:rPr>
        <w:t> </w:t>
      </w:r>
      <w:r>
        <w:rPr/>
        <w:t>circa</w:t>
      </w:r>
      <w:r>
        <w:rPr>
          <w:spacing w:val="-8"/>
        </w:rPr>
        <w:t> </w:t>
      </w:r>
      <w:r>
        <w:rPr/>
        <w:t>l’1,1</w:t>
      </w:r>
      <w:r>
        <w:rPr>
          <w:spacing w:val="-8"/>
        </w:rPr>
        <w:t> </w:t>
      </w:r>
      <w:r>
        <w:rPr/>
        <w:t>per</w:t>
      </w:r>
      <w:r>
        <w:rPr>
          <w:spacing w:val="-9"/>
        </w:rPr>
        <w:t> </w:t>
      </w:r>
      <w:r>
        <w:rPr/>
        <w:t>cento</w:t>
      </w:r>
      <w:r>
        <w:rPr>
          <w:spacing w:val="-8"/>
        </w:rPr>
        <w:t> </w:t>
      </w:r>
      <w:r>
        <w:rPr/>
        <w:t>in</w:t>
      </w:r>
      <w:r>
        <w:rPr>
          <w:spacing w:val="-9"/>
        </w:rPr>
        <w:t> </w:t>
      </w:r>
      <w:r>
        <w:rPr/>
        <w:t>media</w:t>
      </w:r>
      <w:r>
        <w:rPr>
          <w:spacing w:val="-9"/>
        </w:rPr>
        <w:t> </w:t>
      </w:r>
      <w:r>
        <w:rPr/>
        <w:t>nel</w:t>
      </w:r>
      <w:r>
        <w:rPr>
          <w:spacing w:val="-8"/>
        </w:rPr>
        <w:t> </w:t>
      </w:r>
      <w:r>
        <w:rPr/>
        <w:t>periodo</w:t>
      </w:r>
      <w:r>
        <w:rPr>
          <w:spacing w:val="-9"/>
        </w:rPr>
        <w:t> </w:t>
      </w:r>
      <w:r>
        <w:rPr/>
        <w:t>2020-2022.</w:t>
      </w:r>
      <w:r>
        <w:rPr>
          <w:spacing w:val="-7"/>
        </w:rPr>
        <w:t> </w:t>
      </w:r>
      <w:r>
        <w:rPr/>
        <w:t>Le</w:t>
      </w:r>
      <w:r>
        <w:rPr>
          <w:spacing w:val="-8"/>
        </w:rPr>
        <w:t> </w:t>
      </w:r>
      <w:r>
        <w:rPr/>
        <w:t>imposte</w:t>
      </w:r>
      <w:r>
        <w:rPr>
          <w:spacing w:val="-8"/>
        </w:rPr>
        <w:t> </w:t>
      </w:r>
      <w:r>
        <w:rPr/>
        <w:t>in</w:t>
      </w:r>
      <w:r>
        <w:rPr>
          <w:spacing w:val="-9"/>
        </w:rPr>
        <w:t> </w:t>
      </w:r>
      <w:r>
        <w:rPr/>
        <w:t>conto capitale,</w:t>
      </w:r>
      <w:r>
        <w:rPr>
          <w:spacing w:val="-8"/>
        </w:rPr>
        <w:t> </w:t>
      </w:r>
      <w:r>
        <w:rPr/>
        <w:t>sostenute</w:t>
      </w:r>
      <w:r>
        <w:rPr>
          <w:spacing w:val="-9"/>
        </w:rPr>
        <w:t> </w:t>
      </w:r>
      <w:r>
        <w:rPr/>
        <w:t>in</w:t>
      </w:r>
      <w:r>
        <w:rPr>
          <w:spacing w:val="-9"/>
        </w:rPr>
        <w:t> </w:t>
      </w:r>
      <w:r>
        <w:rPr/>
        <w:t>passato</w:t>
      </w:r>
      <w:r>
        <w:rPr>
          <w:spacing w:val="-9"/>
        </w:rPr>
        <w:t> </w:t>
      </w:r>
      <w:r>
        <w:rPr/>
        <w:t>dal</w:t>
      </w:r>
      <w:r>
        <w:rPr>
          <w:spacing w:val="-9"/>
        </w:rPr>
        <w:t> </w:t>
      </w:r>
      <w:r>
        <w:rPr/>
        <w:t>gettito</w:t>
      </w:r>
      <w:r>
        <w:rPr>
          <w:spacing w:val="-9"/>
        </w:rPr>
        <w:t> </w:t>
      </w:r>
      <w:r>
        <w:rPr/>
        <w:t>derivante</w:t>
      </w:r>
      <w:r>
        <w:rPr>
          <w:spacing w:val="-8"/>
        </w:rPr>
        <w:t> </w:t>
      </w:r>
      <w:r>
        <w:rPr/>
        <w:t>dalla</w:t>
      </w:r>
      <w:r>
        <w:rPr>
          <w:spacing w:val="-9"/>
        </w:rPr>
        <w:t> </w:t>
      </w:r>
      <w:r>
        <w:rPr>
          <w:i/>
        </w:rPr>
        <w:t>voluntary</w:t>
      </w:r>
      <w:r>
        <w:rPr>
          <w:i/>
          <w:spacing w:val="-9"/>
        </w:rPr>
        <w:t> </w:t>
      </w:r>
      <w:r>
        <w:rPr>
          <w:i/>
        </w:rPr>
        <w:t>disclosure</w:t>
      </w:r>
      <w:r>
        <w:rPr/>
        <w:t>,</w:t>
      </w:r>
      <w:r>
        <w:rPr>
          <w:spacing w:val="-8"/>
        </w:rPr>
        <w:t> </w:t>
      </w:r>
      <w:r>
        <w:rPr/>
        <w:t>sono previste</w:t>
      </w:r>
      <w:r>
        <w:rPr>
          <w:spacing w:val="-4"/>
        </w:rPr>
        <w:t> </w:t>
      </w:r>
      <w:r>
        <w:rPr/>
        <w:t>in</w:t>
      </w:r>
      <w:r>
        <w:rPr>
          <w:spacing w:val="-5"/>
        </w:rPr>
        <w:t> </w:t>
      </w:r>
      <w:r>
        <w:rPr/>
        <w:t>calo</w:t>
      </w:r>
      <w:r>
        <w:rPr>
          <w:spacing w:val="-4"/>
        </w:rPr>
        <w:t> </w:t>
      </w:r>
      <w:r>
        <w:rPr/>
        <w:t>nell’anno</w:t>
      </w:r>
      <w:r>
        <w:rPr>
          <w:spacing w:val="-6"/>
        </w:rPr>
        <w:t> </w:t>
      </w:r>
      <w:r>
        <w:rPr/>
        <w:t>in</w:t>
      </w:r>
      <w:r>
        <w:rPr>
          <w:spacing w:val="-5"/>
        </w:rPr>
        <w:t> </w:t>
      </w:r>
      <w:r>
        <w:rPr/>
        <w:t>corso</w:t>
      </w:r>
      <w:r>
        <w:rPr>
          <w:spacing w:val="-4"/>
        </w:rPr>
        <w:t> </w:t>
      </w:r>
      <w:r>
        <w:rPr/>
        <w:t>e</w:t>
      </w:r>
      <w:r>
        <w:rPr>
          <w:spacing w:val="-4"/>
        </w:rPr>
        <w:t> </w:t>
      </w:r>
      <w:r>
        <w:rPr/>
        <w:t>nel</w:t>
      </w:r>
      <w:r>
        <w:rPr>
          <w:spacing w:val="-4"/>
        </w:rPr>
        <w:t> </w:t>
      </w:r>
      <w:r>
        <w:rPr/>
        <w:t>successivo</w:t>
      </w:r>
      <w:r>
        <w:rPr>
          <w:spacing w:val="-4"/>
        </w:rPr>
        <w:t> </w:t>
      </w:r>
      <w:r>
        <w:rPr/>
        <w:t>e</w:t>
      </w:r>
      <w:r>
        <w:rPr>
          <w:spacing w:val="-4"/>
        </w:rPr>
        <w:t> </w:t>
      </w:r>
      <w:r>
        <w:rPr/>
        <w:t>sono</w:t>
      </w:r>
      <w:r>
        <w:rPr>
          <w:spacing w:val="-6"/>
        </w:rPr>
        <w:t> </w:t>
      </w:r>
      <w:r>
        <w:rPr/>
        <w:t>attese</w:t>
      </w:r>
      <w:r>
        <w:rPr>
          <w:spacing w:val="-3"/>
        </w:rPr>
        <w:t> </w:t>
      </w:r>
      <w:r>
        <w:rPr/>
        <w:t>tornare</w:t>
      </w:r>
      <w:r>
        <w:rPr>
          <w:spacing w:val="-2"/>
        </w:rPr>
        <w:t> </w:t>
      </w:r>
      <w:r>
        <w:rPr/>
        <w:t>a</w:t>
      </w:r>
      <w:r>
        <w:rPr>
          <w:spacing w:val="-5"/>
        </w:rPr>
        <w:t> </w:t>
      </w:r>
      <w:r>
        <w:rPr/>
        <w:t>crescere dal</w:t>
      </w:r>
      <w:r>
        <w:rPr>
          <w:spacing w:val="-1"/>
        </w:rPr>
        <w:t> </w:t>
      </w:r>
      <w:r>
        <w:rPr/>
        <w:t>2021.</w:t>
      </w:r>
    </w:p>
    <w:p>
      <w:pPr>
        <w:pStyle w:val="BodyText"/>
        <w:spacing w:line="252" w:lineRule="auto"/>
        <w:ind w:left="278" w:right="2260"/>
        <w:jc w:val="both"/>
      </w:pPr>
      <w:r>
        <w:rPr/>
        <w:t>Per i contributi sociali è stimata una crescita del 2,8 per cento nel 2019 ed una crescita media dell’1,8 per cento all’anno nel triennio successivo. L’andamento riflette l’evoluzione delle variabili macroeconomiche rilevanti, il venir meno degli effetti economici delle misure di esonero contributivo previste dalle leggi di stabilità 2015 e 2016 per le nuove assunzioni a tempo indeterminato, gli interventi di</w:t>
      </w:r>
      <w:r>
        <w:rPr>
          <w:spacing w:val="-4"/>
        </w:rPr>
        <w:t> </w:t>
      </w:r>
      <w:r>
        <w:rPr/>
        <w:t>agevolazione</w:t>
      </w:r>
      <w:r>
        <w:rPr>
          <w:spacing w:val="-3"/>
        </w:rPr>
        <w:t> </w:t>
      </w:r>
      <w:r>
        <w:rPr/>
        <w:t>per</w:t>
      </w:r>
      <w:r>
        <w:rPr>
          <w:spacing w:val="-5"/>
        </w:rPr>
        <w:t> </w:t>
      </w:r>
      <w:r>
        <w:rPr/>
        <w:t>le</w:t>
      </w:r>
      <w:r>
        <w:rPr>
          <w:spacing w:val="-5"/>
        </w:rPr>
        <w:t> </w:t>
      </w:r>
      <w:r>
        <w:rPr/>
        <w:t>assunzioni</w:t>
      </w:r>
      <w:r>
        <w:rPr>
          <w:spacing w:val="-3"/>
        </w:rPr>
        <w:t> </w:t>
      </w:r>
      <w:r>
        <w:rPr/>
        <w:t>di</w:t>
      </w:r>
      <w:r>
        <w:rPr>
          <w:spacing w:val="-4"/>
        </w:rPr>
        <w:t> </w:t>
      </w:r>
      <w:r>
        <w:rPr/>
        <w:t>giovani</w:t>
      </w:r>
      <w:r>
        <w:rPr>
          <w:spacing w:val="-3"/>
        </w:rPr>
        <w:t> </w:t>
      </w:r>
      <w:r>
        <w:rPr/>
        <w:t>introdotti</w:t>
      </w:r>
      <w:r>
        <w:rPr>
          <w:spacing w:val="-3"/>
        </w:rPr>
        <w:t> </w:t>
      </w:r>
      <w:r>
        <w:rPr/>
        <w:t>con</w:t>
      </w:r>
      <w:r>
        <w:rPr>
          <w:spacing w:val="-2"/>
        </w:rPr>
        <w:t> </w:t>
      </w:r>
      <w:r>
        <w:rPr/>
        <w:t>la</w:t>
      </w:r>
      <w:r>
        <w:rPr>
          <w:spacing w:val="-4"/>
        </w:rPr>
        <w:t> </w:t>
      </w:r>
      <w:r>
        <w:rPr/>
        <w:t>legge</w:t>
      </w:r>
      <w:r>
        <w:rPr>
          <w:spacing w:val="-5"/>
        </w:rPr>
        <w:t> </w:t>
      </w:r>
      <w:r>
        <w:rPr/>
        <w:t>di</w:t>
      </w:r>
      <w:r>
        <w:rPr>
          <w:spacing w:val="-5"/>
        </w:rPr>
        <w:t> </w:t>
      </w:r>
      <w:r>
        <w:rPr/>
        <w:t>Bilancio</w:t>
      </w:r>
      <w:r>
        <w:rPr>
          <w:spacing w:val="-4"/>
        </w:rPr>
        <w:t> </w:t>
      </w:r>
      <w:r>
        <w:rPr/>
        <w:t>2018, nonché la revisione delle tariffe INAIL introdotta dalla legge di Bilancio 2019. In rapporto</w:t>
      </w:r>
      <w:r>
        <w:rPr>
          <w:spacing w:val="-15"/>
        </w:rPr>
        <w:t> </w:t>
      </w:r>
      <w:r>
        <w:rPr/>
        <w:t>al</w:t>
      </w:r>
      <w:r>
        <w:rPr>
          <w:spacing w:val="-14"/>
        </w:rPr>
        <w:t> </w:t>
      </w:r>
      <w:r>
        <w:rPr/>
        <w:t>PIL,</w:t>
      </w:r>
      <w:r>
        <w:rPr>
          <w:spacing w:val="-12"/>
        </w:rPr>
        <w:t> </w:t>
      </w:r>
      <w:r>
        <w:rPr/>
        <w:t>i</w:t>
      </w:r>
      <w:r>
        <w:rPr>
          <w:spacing w:val="-17"/>
        </w:rPr>
        <w:t> </w:t>
      </w:r>
      <w:r>
        <w:rPr/>
        <w:t>contributi</w:t>
      </w:r>
      <w:r>
        <w:rPr>
          <w:spacing w:val="-13"/>
        </w:rPr>
        <w:t> </w:t>
      </w:r>
      <w:r>
        <w:rPr/>
        <w:t>sociali</w:t>
      </w:r>
      <w:r>
        <w:rPr>
          <w:spacing w:val="-14"/>
        </w:rPr>
        <w:t> </w:t>
      </w:r>
      <w:r>
        <w:rPr/>
        <w:t>raggiungeranno</w:t>
      </w:r>
      <w:r>
        <w:rPr>
          <w:spacing w:val="-14"/>
        </w:rPr>
        <w:t> </w:t>
      </w:r>
      <w:r>
        <w:rPr/>
        <w:t>il</w:t>
      </w:r>
      <w:r>
        <w:rPr>
          <w:spacing w:val="-13"/>
        </w:rPr>
        <w:t> </w:t>
      </w:r>
      <w:r>
        <w:rPr/>
        <w:t>13,5</w:t>
      </w:r>
      <w:r>
        <w:rPr>
          <w:spacing w:val="-14"/>
        </w:rPr>
        <w:t> </w:t>
      </w:r>
      <w:r>
        <w:rPr/>
        <w:t>per</w:t>
      </w:r>
      <w:r>
        <w:rPr>
          <w:spacing w:val="-13"/>
        </w:rPr>
        <w:t> </w:t>
      </w:r>
      <w:r>
        <w:rPr/>
        <w:t>cento</w:t>
      </w:r>
      <w:r>
        <w:rPr>
          <w:spacing w:val="-13"/>
        </w:rPr>
        <w:t> </w:t>
      </w:r>
      <w:r>
        <w:rPr/>
        <w:t>nel</w:t>
      </w:r>
      <w:r>
        <w:rPr>
          <w:spacing w:val="-14"/>
        </w:rPr>
        <w:t> </w:t>
      </w:r>
      <w:r>
        <w:rPr/>
        <w:t>2019</w:t>
      </w:r>
      <w:r>
        <w:rPr>
          <w:spacing w:val="-13"/>
        </w:rPr>
        <w:t> </w:t>
      </w:r>
      <w:r>
        <w:rPr/>
        <w:t>e</w:t>
      </w:r>
      <w:r>
        <w:rPr>
          <w:spacing w:val="-14"/>
        </w:rPr>
        <w:t> </w:t>
      </w:r>
      <w:r>
        <w:rPr/>
        <w:t>2020, per poi ridursi al 13,4 per cento nel 2021 e al 13,3 per cento nel</w:t>
      </w:r>
      <w:r>
        <w:rPr>
          <w:spacing w:val="-15"/>
        </w:rPr>
        <w:t> </w:t>
      </w:r>
      <w:r>
        <w:rPr/>
        <w:t>2022.</w:t>
      </w:r>
    </w:p>
    <w:p>
      <w:pPr>
        <w:pStyle w:val="BodyText"/>
        <w:spacing w:line="249" w:lineRule="auto" w:before="1"/>
        <w:ind w:left="278" w:right="2261" w:firstLine="453"/>
        <w:jc w:val="both"/>
      </w:pPr>
      <w:r>
        <w:rPr/>
        <w:t>La</w:t>
      </w:r>
      <w:r>
        <w:rPr>
          <w:spacing w:val="-7"/>
        </w:rPr>
        <w:t> </w:t>
      </w:r>
      <w:r>
        <w:rPr/>
        <w:t>pressione</w:t>
      </w:r>
      <w:r>
        <w:rPr>
          <w:spacing w:val="-7"/>
        </w:rPr>
        <w:t> </w:t>
      </w:r>
      <w:r>
        <w:rPr/>
        <w:t>fiscale</w:t>
      </w:r>
      <w:r>
        <w:rPr>
          <w:spacing w:val="-7"/>
        </w:rPr>
        <w:t> </w:t>
      </w:r>
      <w:r>
        <w:rPr/>
        <w:t>a</w:t>
      </w:r>
      <w:r>
        <w:rPr>
          <w:spacing w:val="-7"/>
        </w:rPr>
        <w:t> </w:t>
      </w:r>
      <w:r>
        <w:rPr/>
        <w:t>legislazione</w:t>
      </w:r>
      <w:r>
        <w:rPr>
          <w:spacing w:val="-7"/>
        </w:rPr>
        <w:t> </w:t>
      </w:r>
      <w:r>
        <w:rPr/>
        <w:t>vigente</w:t>
      </w:r>
      <w:r>
        <w:rPr>
          <w:spacing w:val="-7"/>
        </w:rPr>
        <w:t> </w:t>
      </w:r>
      <w:r>
        <w:rPr/>
        <w:t>è</w:t>
      </w:r>
      <w:r>
        <w:rPr>
          <w:spacing w:val="-7"/>
        </w:rPr>
        <w:t> </w:t>
      </w:r>
      <w:r>
        <w:rPr/>
        <w:t>attesa</w:t>
      </w:r>
      <w:r>
        <w:rPr>
          <w:spacing w:val="-5"/>
        </w:rPr>
        <w:t> </w:t>
      </w:r>
      <w:r>
        <w:rPr/>
        <w:t>salire</w:t>
      </w:r>
      <w:r>
        <w:rPr>
          <w:spacing w:val="-6"/>
        </w:rPr>
        <w:t> </w:t>
      </w:r>
      <w:r>
        <w:rPr/>
        <w:t>di</w:t>
      </w:r>
      <w:r>
        <w:rPr>
          <w:spacing w:val="-7"/>
        </w:rPr>
        <w:t> </w:t>
      </w:r>
      <w:r>
        <w:rPr/>
        <w:t>un</w:t>
      </w:r>
      <w:r>
        <w:rPr>
          <w:spacing w:val="-7"/>
        </w:rPr>
        <w:t> </w:t>
      </w:r>
      <w:r>
        <w:rPr/>
        <w:t>decimo</w:t>
      </w:r>
      <w:r>
        <w:rPr>
          <w:spacing w:val="-7"/>
        </w:rPr>
        <w:t> </w:t>
      </w:r>
      <w:r>
        <w:rPr/>
        <w:t>di</w:t>
      </w:r>
      <w:r>
        <w:rPr>
          <w:spacing w:val="-7"/>
        </w:rPr>
        <w:t> </w:t>
      </w:r>
      <w:r>
        <w:rPr/>
        <w:t>punto percentuale</w:t>
      </w:r>
      <w:r>
        <w:rPr>
          <w:spacing w:val="-18"/>
        </w:rPr>
        <w:t> </w:t>
      </w:r>
      <w:r>
        <w:rPr/>
        <w:t>nel</w:t>
      </w:r>
      <w:r>
        <w:rPr>
          <w:spacing w:val="-20"/>
        </w:rPr>
        <w:t> </w:t>
      </w:r>
      <w:r>
        <w:rPr/>
        <w:t>2019,</w:t>
      </w:r>
      <w:r>
        <w:rPr>
          <w:spacing w:val="-20"/>
        </w:rPr>
        <w:t> </w:t>
      </w:r>
      <w:r>
        <w:rPr/>
        <w:t>collocandosi</w:t>
      </w:r>
      <w:r>
        <w:rPr>
          <w:spacing w:val="-18"/>
        </w:rPr>
        <w:t> </w:t>
      </w:r>
      <w:r>
        <w:rPr/>
        <w:t>al</w:t>
      </w:r>
      <w:r>
        <w:rPr>
          <w:spacing w:val="-17"/>
        </w:rPr>
        <w:t> </w:t>
      </w:r>
      <w:r>
        <w:rPr/>
        <w:t>41,9</w:t>
      </w:r>
      <w:r>
        <w:rPr>
          <w:spacing w:val="-21"/>
        </w:rPr>
        <w:t> </w:t>
      </w:r>
      <w:r>
        <w:rPr/>
        <w:t>per</w:t>
      </w:r>
      <w:r>
        <w:rPr>
          <w:spacing w:val="-19"/>
        </w:rPr>
        <w:t> </w:t>
      </w:r>
      <w:r>
        <w:rPr/>
        <w:t>cento.</w:t>
      </w:r>
      <w:r>
        <w:rPr>
          <w:spacing w:val="-17"/>
        </w:rPr>
        <w:t> </w:t>
      </w:r>
      <w:r>
        <w:rPr/>
        <w:t>Considerando</w:t>
      </w:r>
      <w:r>
        <w:rPr>
          <w:spacing w:val="-19"/>
        </w:rPr>
        <w:t> </w:t>
      </w:r>
      <w:r>
        <w:rPr/>
        <w:t>l’intero</w:t>
      </w:r>
      <w:r>
        <w:rPr>
          <w:spacing w:val="-18"/>
        </w:rPr>
        <w:t> </w:t>
      </w:r>
      <w:r>
        <w:rPr/>
        <w:t>periodo, crescerà</w:t>
      </w:r>
      <w:r>
        <w:rPr>
          <w:spacing w:val="-15"/>
        </w:rPr>
        <w:t> </w:t>
      </w:r>
      <w:r>
        <w:rPr/>
        <w:t>ulteriormente</w:t>
      </w:r>
      <w:r>
        <w:rPr>
          <w:spacing w:val="-14"/>
        </w:rPr>
        <w:t> </w:t>
      </w:r>
      <w:r>
        <w:rPr/>
        <w:t>di</w:t>
      </w:r>
      <w:r>
        <w:rPr>
          <w:spacing w:val="-15"/>
        </w:rPr>
        <w:t> </w:t>
      </w:r>
      <w:r>
        <w:rPr/>
        <w:t>circa</w:t>
      </w:r>
      <w:r>
        <w:rPr>
          <w:spacing w:val="-14"/>
        </w:rPr>
        <w:t> </w:t>
      </w:r>
      <w:r>
        <w:rPr/>
        <w:t>0,4</w:t>
      </w:r>
      <w:r>
        <w:rPr>
          <w:spacing w:val="-14"/>
        </w:rPr>
        <w:t> </w:t>
      </w:r>
      <w:r>
        <w:rPr/>
        <w:t>punti</w:t>
      </w:r>
      <w:r>
        <w:rPr>
          <w:spacing w:val="-14"/>
        </w:rPr>
        <w:t> </w:t>
      </w:r>
      <w:r>
        <w:rPr/>
        <w:t>percentuali,</w:t>
      </w:r>
      <w:r>
        <w:rPr>
          <w:spacing w:val="-14"/>
        </w:rPr>
        <w:t> </w:t>
      </w:r>
      <w:r>
        <w:rPr/>
        <w:t>attestandosi</w:t>
      </w:r>
      <w:r>
        <w:rPr>
          <w:spacing w:val="-15"/>
        </w:rPr>
        <w:t> </w:t>
      </w:r>
      <w:r>
        <w:rPr/>
        <w:t>al</w:t>
      </w:r>
      <w:r>
        <w:rPr>
          <w:spacing w:val="-14"/>
        </w:rPr>
        <w:t> </w:t>
      </w:r>
      <w:r>
        <w:rPr/>
        <w:t>42,3</w:t>
      </w:r>
      <w:r>
        <w:rPr>
          <w:spacing w:val="-14"/>
        </w:rPr>
        <w:t> </w:t>
      </w:r>
      <w:r>
        <w:rPr/>
        <w:t>per</w:t>
      </w:r>
      <w:r>
        <w:rPr>
          <w:spacing w:val="-14"/>
        </w:rPr>
        <w:t> </w:t>
      </w:r>
      <w:r>
        <w:rPr/>
        <w:t>cento nel 2022. Tale andamento sconta, come già chiarito, gli aumenti IVA previsti dalla legislazione vigente. Al netto delle misure riguardanti l’erogazione del beneficio degli 80 euro, la pressione fiscale passerebbe dal 41,4 per cento del 2019 al 41,8 per cento nel 2022.</w:t>
      </w:r>
    </w:p>
    <w:p>
      <w:pPr>
        <w:pStyle w:val="BodyText"/>
        <w:spacing w:line="249" w:lineRule="auto" w:before="3"/>
        <w:ind w:left="278" w:right="2262" w:firstLine="453"/>
        <w:jc w:val="both"/>
      </w:pPr>
      <w:r>
        <w:rPr/>
        <w:t>Le proiezioni della spesa pubblica stimano una crescita della spesa primaria, ovvero della spesa totale al netto degli interessi, del 2,2 per cento per l’anno in</w:t>
      </w:r>
    </w:p>
    <w:p>
      <w:pPr>
        <w:pStyle w:val="BodyText"/>
        <w:rPr>
          <w:sz w:val="20"/>
        </w:rPr>
      </w:pPr>
    </w:p>
    <w:p>
      <w:pPr>
        <w:pStyle w:val="BodyText"/>
        <w:spacing w:before="7"/>
        <w:rPr>
          <w:sz w:val="13"/>
        </w:rPr>
      </w:pPr>
      <w:r>
        <w:rPr/>
        <w:pict>
          <v:group style="position:absolute;margin-left:93.599998pt;margin-top:9.879844pt;width:21.4pt;height:2.15pt;mso-position-horizontal-relative:page;mso-position-vertical-relative:paragraph;z-index:-251525120;mso-wrap-distance-left:0;mso-wrap-distance-right:0" coordorigin="1872,198" coordsize="428,43">
            <v:line style="position:absolute" from="1872,218" to="2299,218" stroked="true" strokeweight="2.050pt" strokecolor="#aaaaaa">
              <v:stroke dashstyle="solid"/>
            </v:line>
            <v:rect style="position:absolute;left:1872;top:199;width:5;height:5" filled="true" fillcolor="#9f9f9f" stroked="false">
              <v:fill type="solid"/>
            </v:rect>
            <v:rect style="position:absolute;left:1872;top:199;width:5;height:5" filled="true" fillcolor="#9f9f9f" stroked="false">
              <v:fill type="solid"/>
            </v:rect>
            <v:line style="position:absolute" from="1877,202" to="2295,202" stroked="true" strokeweight=".23999pt" strokecolor="#9f9f9f">
              <v:stroke dashstyle="solid"/>
            </v:line>
            <v:rect style="position:absolute;left:2294;top:199;width:5;height:5" filled="true" fillcolor="#e2e2e2" stroked="false">
              <v:fill type="solid"/>
            </v:rect>
            <v:rect style="position:absolute;left:2294;top:199;width:5;height:5" filled="true" fillcolor="#9f9f9f" stroked="false">
              <v:fill type="solid"/>
            </v:rect>
            <v:rect style="position:absolute;left:1872;top:204;width:5;height:32" filled="true" fillcolor="#9f9f9f" stroked="false">
              <v:fill type="solid"/>
            </v:rect>
            <v:rect style="position:absolute;left:2294;top:204;width:5;height:32" filled="true" fillcolor="#e2e2e2" stroked="false">
              <v:fill type="solid"/>
            </v:rect>
            <v:rect style="position:absolute;left:1872;top:235;width:5;height:5" filled="true" fillcolor="#9f9f9f" stroked="false">
              <v:fill type="solid"/>
            </v:rect>
            <v:rect style="position:absolute;left:1872;top:235;width:5;height:5" filled="true" fillcolor="#e2e2e2" stroked="false">
              <v:fill type="solid"/>
            </v:rect>
            <v:line style="position:absolute" from="1877,238" to="2295,238" stroked="true" strokeweight=".24005pt" strokecolor="#e2e2e2">
              <v:stroke dashstyle="solid"/>
            </v:line>
            <v:rect style="position:absolute;left:2294;top:235;width:5;height:5" filled="true" fillcolor="#e2e2e2" stroked="false">
              <v:fill type="solid"/>
            </v:rect>
            <v:rect style="position:absolute;left:2294;top:235;width:5;height:5" filled="true" fillcolor="#e2e2e2" stroked="false">
              <v:fill type="solid"/>
            </v:rect>
            <w10:wrap type="topAndBottom"/>
          </v:group>
        </w:pict>
      </w:r>
    </w:p>
    <w:p>
      <w:pPr>
        <w:spacing w:before="20"/>
        <w:ind w:left="278" w:right="1915" w:firstLine="453"/>
        <w:jc w:val="left"/>
        <w:rPr>
          <w:sz w:val="16"/>
        </w:rPr>
      </w:pPr>
      <w:r>
        <w:rPr>
          <w:position w:val="6"/>
          <w:sz w:val="10"/>
        </w:rPr>
        <w:t>7 </w:t>
      </w:r>
      <w:r>
        <w:rPr>
          <w:sz w:val="16"/>
        </w:rPr>
        <w:t>Le clausole determinano un gettito aggiuntivo pari a circa 23 miliardi da gennaio del 2020 (circa 1,3 punti percentuali di PIL) e ulteriori 5,7 miliardi da gennaio del 2021 (circa 0,3 punti percentuali di PIL).</w:t>
      </w:r>
    </w:p>
    <w:p>
      <w:pPr>
        <w:spacing w:after="0"/>
        <w:jc w:val="left"/>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49" w:lineRule="auto" w:before="101"/>
        <w:ind w:left="1128" w:right="1411"/>
        <w:jc w:val="both"/>
      </w:pPr>
      <w:r>
        <w:rPr/>
        <w:t>corso e di circa l’1,9 per cento in media nel periodo 2020-2022. Nei prossimi anni, l’incidenza</w:t>
      </w:r>
      <w:r>
        <w:rPr>
          <w:spacing w:val="-10"/>
        </w:rPr>
        <w:t> </w:t>
      </w:r>
      <w:r>
        <w:rPr/>
        <w:t>della</w:t>
      </w:r>
      <w:r>
        <w:rPr>
          <w:spacing w:val="-9"/>
        </w:rPr>
        <w:t> </w:t>
      </w:r>
      <w:r>
        <w:rPr/>
        <w:t>spesa</w:t>
      </w:r>
      <w:r>
        <w:rPr>
          <w:spacing w:val="-9"/>
        </w:rPr>
        <w:t> </w:t>
      </w:r>
      <w:r>
        <w:rPr/>
        <w:t>primaria</w:t>
      </w:r>
      <w:r>
        <w:rPr>
          <w:spacing w:val="-10"/>
        </w:rPr>
        <w:t> </w:t>
      </w:r>
      <w:r>
        <w:rPr/>
        <w:t>sul</w:t>
      </w:r>
      <w:r>
        <w:rPr>
          <w:spacing w:val="-9"/>
        </w:rPr>
        <w:t> </w:t>
      </w:r>
      <w:r>
        <w:rPr/>
        <w:t>PIL</w:t>
      </w:r>
      <w:r>
        <w:rPr>
          <w:spacing w:val="-10"/>
        </w:rPr>
        <w:t> </w:t>
      </w:r>
      <w:r>
        <w:rPr/>
        <w:t>sarà</w:t>
      </w:r>
      <w:r>
        <w:rPr>
          <w:spacing w:val="-9"/>
        </w:rPr>
        <w:t> </w:t>
      </w:r>
      <w:r>
        <w:rPr/>
        <w:t>pertanto</w:t>
      </w:r>
      <w:r>
        <w:rPr>
          <w:spacing w:val="-10"/>
        </w:rPr>
        <w:t> </w:t>
      </w:r>
      <w:r>
        <w:rPr/>
        <w:t>in</w:t>
      </w:r>
      <w:r>
        <w:rPr>
          <w:spacing w:val="-10"/>
        </w:rPr>
        <w:t> </w:t>
      </w:r>
      <w:r>
        <w:rPr/>
        <w:t>calo:</w:t>
      </w:r>
      <w:r>
        <w:rPr>
          <w:spacing w:val="-8"/>
        </w:rPr>
        <w:t> </w:t>
      </w:r>
      <w:r>
        <w:rPr/>
        <w:t>a</w:t>
      </w:r>
      <w:r>
        <w:rPr>
          <w:spacing w:val="-9"/>
        </w:rPr>
        <w:t> </w:t>
      </w:r>
      <w:r>
        <w:rPr/>
        <w:t>fronte</w:t>
      </w:r>
      <w:r>
        <w:rPr>
          <w:spacing w:val="-9"/>
        </w:rPr>
        <w:t> </w:t>
      </w:r>
      <w:r>
        <w:rPr/>
        <w:t>della</w:t>
      </w:r>
      <w:r>
        <w:rPr>
          <w:spacing w:val="-9"/>
        </w:rPr>
        <w:t> </w:t>
      </w:r>
      <w:r>
        <w:rPr/>
        <w:t>prevista crescita</w:t>
      </w:r>
      <w:r>
        <w:rPr>
          <w:spacing w:val="-14"/>
        </w:rPr>
        <w:t> </w:t>
      </w:r>
      <w:r>
        <w:rPr/>
        <w:t>del</w:t>
      </w:r>
      <w:r>
        <w:rPr>
          <w:spacing w:val="-12"/>
        </w:rPr>
        <w:t> </w:t>
      </w:r>
      <w:r>
        <w:rPr/>
        <w:t>PIL</w:t>
      </w:r>
      <w:r>
        <w:rPr>
          <w:spacing w:val="-12"/>
        </w:rPr>
        <w:t> </w:t>
      </w:r>
      <w:r>
        <w:rPr/>
        <w:t>nominale,</w:t>
      </w:r>
      <w:r>
        <w:rPr>
          <w:spacing w:val="-11"/>
        </w:rPr>
        <w:t> </w:t>
      </w:r>
      <w:r>
        <w:rPr/>
        <w:t>essa</w:t>
      </w:r>
      <w:r>
        <w:rPr>
          <w:spacing w:val="-15"/>
        </w:rPr>
        <w:t> </w:t>
      </w:r>
      <w:r>
        <w:rPr/>
        <w:t>passerà</w:t>
      </w:r>
      <w:r>
        <w:rPr>
          <w:spacing w:val="-11"/>
        </w:rPr>
        <w:t> </w:t>
      </w:r>
      <w:r>
        <w:rPr/>
        <w:t>dal</w:t>
      </w:r>
      <w:r>
        <w:rPr>
          <w:spacing w:val="-14"/>
        </w:rPr>
        <w:t> </w:t>
      </w:r>
      <w:r>
        <w:rPr/>
        <w:t>45,3</w:t>
      </w:r>
      <w:r>
        <w:rPr>
          <w:spacing w:val="-14"/>
        </w:rPr>
        <w:t> </w:t>
      </w:r>
      <w:r>
        <w:rPr/>
        <w:t>per</w:t>
      </w:r>
      <w:r>
        <w:rPr>
          <w:spacing w:val="-13"/>
        </w:rPr>
        <w:t> </w:t>
      </w:r>
      <w:r>
        <w:rPr/>
        <w:t>cento</w:t>
      </w:r>
      <w:r>
        <w:rPr>
          <w:spacing w:val="-11"/>
        </w:rPr>
        <w:t> </w:t>
      </w:r>
      <w:r>
        <w:rPr/>
        <w:t>del</w:t>
      </w:r>
      <w:r>
        <w:rPr>
          <w:spacing w:val="-14"/>
        </w:rPr>
        <w:t> </w:t>
      </w:r>
      <w:r>
        <w:rPr/>
        <w:t>2019</w:t>
      </w:r>
      <w:r>
        <w:rPr>
          <w:spacing w:val="-11"/>
        </w:rPr>
        <w:t> </w:t>
      </w:r>
      <w:r>
        <w:rPr/>
        <w:t>al</w:t>
      </w:r>
      <w:r>
        <w:rPr>
          <w:spacing w:val="-14"/>
        </w:rPr>
        <w:t> </w:t>
      </w:r>
      <w:r>
        <w:rPr/>
        <w:t>44,6</w:t>
      </w:r>
      <w:r>
        <w:rPr>
          <w:spacing w:val="-14"/>
        </w:rPr>
        <w:t> </w:t>
      </w:r>
      <w:r>
        <w:rPr/>
        <w:t>per</w:t>
      </w:r>
      <w:r>
        <w:rPr>
          <w:spacing w:val="-14"/>
        </w:rPr>
        <w:t> </w:t>
      </w:r>
      <w:r>
        <w:rPr/>
        <w:t>cento nel</w:t>
      </w:r>
      <w:r>
        <w:rPr>
          <w:spacing w:val="-1"/>
        </w:rPr>
        <w:t> </w:t>
      </w:r>
      <w:r>
        <w:rPr/>
        <w:t>2022.</w:t>
      </w:r>
    </w:p>
    <w:p>
      <w:pPr>
        <w:pStyle w:val="BodyText"/>
        <w:spacing w:line="249" w:lineRule="auto" w:before="3"/>
        <w:ind w:left="1128" w:right="1411" w:firstLine="453"/>
        <w:jc w:val="both"/>
      </w:pPr>
      <w:r>
        <w:rPr/>
        <w:t>La</w:t>
      </w:r>
      <w:r>
        <w:rPr>
          <w:spacing w:val="-9"/>
        </w:rPr>
        <w:t> </w:t>
      </w:r>
      <w:r>
        <w:rPr/>
        <w:t>spesa</w:t>
      </w:r>
      <w:r>
        <w:rPr>
          <w:spacing w:val="-12"/>
        </w:rPr>
        <w:t> </w:t>
      </w:r>
      <w:r>
        <w:rPr/>
        <w:t>corrente</w:t>
      </w:r>
      <w:r>
        <w:rPr>
          <w:spacing w:val="-11"/>
        </w:rPr>
        <w:t> </w:t>
      </w:r>
      <w:r>
        <w:rPr/>
        <w:t>primaria</w:t>
      </w:r>
      <w:r>
        <w:rPr>
          <w:spacing w:val="-9"/>
        </w:rPr>
        <w:t> </w:t>
      </w:r>
      <w:r>
        <w:rPr/>
        <w:t>salirà</w:t>
      </w:r>
      <w:r>
        <w:rPr>
          <w:spacing w:val="-9"/>
        </w:rPr>
        <w:t> </w:t>
      </w:r>
      <w:r>
        <w:rPr/>
        <w:t>dal</w:t>
      </w:r>
      <w:r>
        <w:rPr>
          <w:spacing w:val="-9"/>
        </w:rPr>
        <w:t> </w:t>
      </w:r>
      <w:r>
        <w:rPr/>
        <w:t>41,4</w:t>
      </w:r>
      <w:r>
        <w:rPr>
          <w:spacing w:val="-11"/>
        </w:rPr>
        <w:t> </w:t>
      </w:r>
      <w:r>
        <w:rPr/>
        <w:t>per</w:t>
      </w:r>
      <w:r>
        <w:rPr>
          <w:spacing w:val="-13"/>
        </w:rPr>
        <w:t> </w:t>
      </w:r>
      <w:r>
        <w:rPr/>
        <w:t>cento</w:t>
      </w:r>
      <w:r>
        <w:rPr>
          <w:spacing w:val="-10"/>
        </w:rPr>
        <w:t> </w:t>
      </w:r>
      <w:r>
        <w:rPr/>
        <w:t>del</w:t>
      </w:r>
      <w:r>
        <w:rPr>
          <w:spacing w:val="-8"/>
        </w:rPr>
        <w:t> </w:t>
      </w:r>
      <w:r>
        <w:rPr/>
        <w:t>PIL</w:t>
      </w:r>
      <w:r>
        <w:rPr>
          <w:spacing w:val="-8"/>
        </w:rPr>
        <w:t> </w:t>
      </w:r>
      <w:r>
        <w:rPr/>
        <w:t>nel</w:t>
      </w:r>
      <w:r>
        <w:rPr>
          <w:spacing w:val="-11"/>
        </w:rPr>
        <w:t> </w:t>
      </w:r>
      <w:r>
        <w:rPr/>
        <w:t>2018</w:t>
      </w:r>
      <w:r>
        <w:rPr>
          <w:spacing w:val="-9"/>
        </w:rPr>
        <w:t> </w:t>
      </w:r>
      <w:r>
        <w:rPr/>
        <w:t>al</w:t>
      </w:r>
      <w:r>
        <w:rPr>
          <w:spacing w:val="-11"/>
        </w:rPr>
        <w:t> </w:t>
      </w:r>
      <w:r>
        <w:rPr/>
        <w:t>41,9</w:t>
      </w:r>
      <w:r>
        <w:rPr>
          <w:spacing w:val="-9"/>
        </w:rPr>
        <w:t> </w:t>
      </w:r>
      <w:r>
        <w:rPr/>
        <w:t>per cento</w:t>
      </w:r>
      <w:r>
        <w:rPr>
          <w:spacing w:val="-13"/>
        </w:rPr>
        <w:t> </w:t>
      </w:r>
      <w:r>
        <w:rPr/>
        <w:t>del</w:t>
      </w:r>
      <w:r>
        <w:rPr>
          <w:spacing w:val="-13"/>
        </w:rPr>
        <w:t> </w:t>
      </w:r>
      <w:r>
        <w:rPr/>
        <w:t>PIL</w:t>
      </w:r>
      <w:r>
        <w:rPr>
          <w:spacing w:val="-12"/>
        </w:rPr>
        <w:t> </w:t>
      </w:r>
      <w:r>
        <w:rPr/>
        <w:t>nel</w:t>
      </w:r>
      <w:r>
        <w:rPr>
          <w:spacing w:val="-13"/>
        </w:rPr>
        <w:t> </w:t>
      </w:r>
      <w:r>
        <w:rPr/>
        <w:t>2019,</w:t>
      </w:r>
      <w:r>
        <w:rPr>
          <w:spacing w:val="-12"/>
        </w:rPr>
        <w:t> </w:t>
      </w:r>
      <w:r>
        <w:rPr/>
        <w:t>per</w:t>
      </w:r>
      <w:r>
        <w:rPr>
          <w:spacing w:val="-12"/>
        </w:rPr>
        <w:t> </w:t>
      </w:r>
      <w:r>
        <w:rPr/>
        <w:t>poi</w:t>
      </w:r>
      <w:r>
        <w:rPr>
          <w:spacing w:val="-13"/>
        </w:rPr>
        <w:t> </w:t>
      </w:r>
      <w:r>
        <w:rPr/>
        <w:t>riscendere</w:t>
      </w:r>
      <w:r>
        <w:rPr>
          <w:spacing w:val="-13"/>
        </w:rPr>
        <w:t> </w:t>
      </w:r>
      <w:r>
        <w:rPr/>
        <w:t>al</w:t>
      </w:r>
      <w:r>
        <w:rPr>
          <w:spacing w:val="-13"/>
        </w:rPr>
        <w:t> </w:t>
      </w:r>
      <w:r>
        <w:rPr/>
        <w:t>41,3</w:t>
      </w:r>
      <w:r>
        <w:rPr>
          <w:spacing w:val="-13"/>
        </w:rPr>
        <w:t> </w:t>
      </w:r>
      <w:r>
        <w:rPr/>
        <w:t>per</w:t>
      </w:r>
      <w:r>
        <w:rPr>
          <w:spacing w:val="-12"/>
        </w:rPr>
        <w:t> </w:t>
      </w:r>
      <w:r>
        <w:rPr/>
        <w:t>cento</w:t>
      </w:r>
      <w:r>
        <w:rPr>
          <w:spacing w:val="-12"/>
        </w:rPr>
        <w:t> </w:t>
      </w:r>
      <w:r>
        <w:rPr/>
        <w:t>a</w:t>
      </w:r>
      <w:r>
        <w:rPr>
          <w:spacing w:val="-13"/>
        </w:rPr>
        <w:t> </w:t>
      </w:r>
      <w:r>
        <w:rPr/>
        <w:t>fine</w:t>
      </w:r>
      <w:r>
        <w:rPr>
          <w:spacing w:val="-13"/>
        </w:rPr>
        <w:t> </w:t>
      </w:r>
      <w:r>
        <w:rPr/>
        <w:t>periodo,</w:t>
      </w:r>
      <w:r>
        <w:rPr>
          <w:spacing w:val="-12"/>
        </w:rPr>
        <w:t> </w:t>
      </w:r>
      <w:r>
        <w:rPr/>
        <w:t>un</w:t>
      </w:r>
      <w:r>
        <w:rPr>
          <w:spacing w:val="-13"/>
        </w:rPr>
        <w:t> </w:t>
      </w:r>
      <w:r>
        <w:rPr/>
        <w:t>livello in</w:t>
      </w:r>
      <w:r>
        <w:rPr>
          <w:spacing w:val="-8"/>
        </w:rPr>
        <w:t> </w:t>
      </w:r>
      <w:r>
        <w:rPr/>
        <w:t>linea</w:t>
      </w:r>
      <w:r>
        <w:rPr>
          <w:spacing w:val="-8"/>
        </w:rPr>
        <w:t> </w:t>
      </w:r>
      <w:r>
        <w:rPr/>
        <w:t>con</w:t>
      </w:r>
      <w:r>
        <w:rPr>
          <w:spacing w:val="-10"/>
        </w:rPr>
        <w:t> </w:t>
      </w:r>
      <w:r>
        <w:rPr/>
        <w:t>quanto</w:t>
      </w:r>
      <w:r>
        <w:rPr>
          <w:spacing w:val="-8"/>
        </w:rPr>
        <w:t> </w:t>
      </w:r>
      <w:r>
        <w:rPr/>
        <w:t>previsto</w:t>
      </w:r>
      <w:r>
        <w:rPr>
          <w:spacing w:val="-7"/>
        </w:rPr>
        <w:t> </w:t>
      </w:r>
      <w:r>
        <w:rPr/>
        <w:t>nel</w:t>
      </w:r>
      <w:r>
        <w:rPr>
          <w:spacing w:val="-8"/>
        </w:rPr>
        <w:t> </w:t>
      </w:r>
      <w:r>
        <w:rPr/>
        <w:t>DEF</w:t>
      </w:r>
      <w:r>
        <w:rPr>
          <w:spacing w:val="-7"/>
        </w:rPr>
        <w:t> </w:t>
      </w:r>
      <w:r>
        <w:rPr/>
        <w:t>di</w:t>
      </w:r>
      <w:r>
        <w:rPr>
          <w:spacing w:val="-8"/>
        </w:rPr>
        <w:t> </w:t>
      </w:r>
      <w:r>
        <w:rPr/>
        <w:t>aprile.</w:t>
      </w:r>
      <w:r>
        <w:rPr>
          <w:spacing w:val="-8"/>
        </w:rPr>
        <w:t> </w:t>
      </w:r>
      <w:r>
        <w:rPr/>
        <w:t>La</w:t>
      </w:r>
      <w:r>
        <w:rPr>
          <w:spacing w:val="-10"/>
        </w:rPr>
        <w:t> </w:t>
      </w:r>
      <w:r>
        <w:rPr/>
        <w:t>componente</w:t>
      </w:r>
      <w:r>
        <w:rPr>
          <w:spacing w:val="-7"/>
        </w:rPr>
        <w:t> </w:t>
      </w:r>
      <w:r>
        <w:rPr/>
        <w:t>più</w:t>
      </w:r>
      <w:r>
        <w:rPr>
          <w:spacing w:val="-8"/>
        </w:rPr>
        <w:t> </w:t>
      </w:r>
      <w:r>
        <w:rPr/>
        <w:t>dinamica</w:t>
      </w:r>
      <w:r>
        <w:rPr>
          <w:spacing w:val="-7"/>
        </w:rPr>
        <w:t> </w:t>
      </w:r>
      <w:r>
        <w:rPr/>
        <w:t>è</w:t>
      </w:r>
      <w:r>
        <w:rPr>
          <w:spacing w:val="-8"/>
        </w:rPr>
        <w:t> </w:t>
      </w:r>
      <w:r>
        <w:rPr/>
        <w:t>quella delle</w:t>
      </w:r>
      <w:r>
        <w:rPr>
          <w:spacing w:val="-4"/>
        </w:rPr>
        <w:t> </w:t>
      </w:r>
      <w:r>
        <w:rPr/>
        <w:t>prestazioni</w:t>
      </w:r>
      <w:r>
        <w:rPr>
          <w:spacing w:val="-5"/>
        </w:rPr>
        <w:t> </w:t>
      </w:r>
      <w:r>
        <w:rPr/>
        <w:t>sociali</w:t>
      </w:r>
      <w:r>
        <w:rPr>
          <w:spacing w:val="-2"/>
        </w:rPr>
        <w:t> </w:t>
      </w:r>
      <w:r>
        <w:rPr/>
        <w:t>in</w:t>
      </w:r>
      <w:r>
        <w:rPr>
          <w:spacing w:val="-5"/>
        </w:rPr>
        <w:t> </w:t>
      </w:r>
      <w:r>
        <w:rPr/>
        <w:t>denaro,</w:t>
      </w:r>
      <w:r>
        <w:rPr>
          <w:spacing w:val="-2"/>
        </w:rPr>
        <w:t> </w:t>
      </w:r>
      <w:r>
        <w:rPr/>
        <w:t>che</w:t>
      </w:r>
      <w:r>
        <w:rPr>
          <w:spacing w:val="-5"/>
        </w:rPr>
        <w:t> </w:t>
      </w:r>
      <w:r>
        <w:rPr/>
        <w:t>crescerà</w:t>
      </w:r>
      <w:r>
        <w:rPr>
          <w:spacing w:val="-7"/>
        </w:rPr>
        <w:t> </w:t>
      </w:r>
      <w:r>
        <w:rPr/>
        <w:t>del</w:t>
      </w:r>
      <w:r>
        <w:rPr>
          <w:spacing w:val="-3"/>
        </w:rPr>
        <w:t> </w:t>
      </w:r>
      <w:r>
        <w:rPr/>
        <w:t>3,9</w:t>
      </w:r>
      <w:r>
        <w:rPr>
          <w:spacing w:val="-4"/>
        </w:rPr>
        <w:t> </w:t>
      </w:r>
      <w:r>
        <w:rPr/>
        <w:t>per</w:t>
      </w:r>
      <w:r>
        <w:rPr>
          <w:spacing w:val="-2"/>
        </w:rPr>
        <w:t> </w:t>
      </w:r>
      <w:r>
        <w:rPr/>
        <w:t>cento</w:t>
      </w:r>
      <w:r>
        <w:rPr>
          <w:spacing w:val="-5"/>
        </w:rPr>
        <w:t> </w:t>
      </w:r>
      <w:r>
        <w:rPr/>
        <w:t>nel</w:t>
      </w:r>
      <w:r>
        <w:rPr>
          <w:spacing w:val="-4"/>
        </w:rPr>
        <w:t> </w:t>
      </w:r>
      <w:r>
        <w:rPr/>
        <w:t>2019,</w:t>
      </w:r>
      <w:r>
        <w:rPr>
          <w:spacing w:val="-2"/>
        </w:rPr>
        <w:t> </w:t>
      </w:r>
      <w:r>
        <w:rPr/>
        <w:t>per</w:t>
      </w:r>
      <w:r>
        <w:rPr>
          <w:spacing w:val="-3"/>
        </w:rPr>
        <w:t> </w:t>
      </w:r>
      <w:r>
        <w:rPr/>
        <w:t>poi assumere un ritmo medio annuo del 3,2 per cento nel periodo 2020-2021 e aumentare del 2,5 per cento nel 2022. In rapporto al PIL, la spesa per prestazioni sociali in denaro conferma un profilo lievemente crescente, passando dal 20,3 per cento nel 2019 al 20,7 per cento nel 2022, un livello allineato al tendenziale del DEF di aprile. All’interno delle prestazioni sociali, le previsioni della spesa pensionistica scontano il sensibile aumento del numero di soggetti che accedono al pensionamento</w:t>
      </w:r>
      <w:r>
        <w:rPr>
          <w:spacing w:val="-9"/>
        </w:rPr>
        <w:t> </w:t>
      </w:r>
      <w:r>
        <w:rPr/>
        <w:t>anticipato</w:t>
      </w:r>
      <w:r>
        <w:rPr>
          <w:spacing w:val="-9"/>
        </w:rPr>
        <w:t> </w:t>
      </w:r>
      <w:r>
        <w:rPr/>
        <w:t>in</w:t>
      </w:r>
      <w:r>
        <w:rPr>
          <w:spacing w:val="-8"/>
        </w:rPr>
        <w:t> </w:t>
      </w:r>
      <w:r>
        <w:rPr/>
        <w:t>virtù</w:t>
      </w:r>
      <w:r>
        <w:rPr>
          <w:spacing w:val="-11"/>
        </w:rPr>
        <w:t> </w:t>
      </w:r>
      <w:r>
        <w:rPr/>
        <w:t>dei</w:t>
      </w:r>
      <w:r>
        <w:rPr>
          <w:spacing w:val="-11"/>
        </w:rPr>
        <w:t> </w:t>
      </w:r>
      <w:r>
        <w:rPr/>
        <w:t>recenti</w:t>
      </w:r>
      <w:r>
        <w:rPr>
          <w:spacing w:val="-10"/>
        </w:rPr>
        <w:t> </w:t>
      </w:r>
      <w:r>
        <w:rPr/>
        <w:t>cambiamenti</w:t>
      </w:r>
      <w:r>
        <w:rPr>
          <w:spacing w:val="-9"/>
        </w:rPr>
        <w:t> </w:t>
      </w:r>
      <w:r>
        <w:rPr/>
        <w:t>normativi</w:t>
      </w:r>
      <w:r>
        <w:rPr>
          <w:spacing w:val="-8"/>
        </w:rPr>
        <w:t> </w:t>
      </w:r>
      <w:r>
        <w:rPr/>
        <w:t>introdotti</w:t>
      </w:r>
      <w:r>
        <w:rPr>
          <w:spacing w:val="-9"/>
        </w:rPr>
        <w:t> </w:t>
      </w:r>
      <w:r>
        <w:rPr/>
        <w:t>con la Legge di Bilancio 2019 e altri provvedimenti attuativi</w:t>
      </w:r>
      <w:r>
        <w:rPr>
          <w:vertAlign w:val="superscript"/>
        </w:rPr>
        <w:t>8</w:t>
      </w:r>
      <w:r>
        <w:rPr>
          <w:vertAlign w:val="baseline"/>
        </w:rPr>
        <w:t>, tra cui Quota 100</w:t>
      </w:r>
      <w:r>
        <w:rPr>
          <w:vertAlign w:val="superscript"/>
        </w:rPr>
        <w:t>9</w:t>
      </w:r>
      <w:r>
        <w:rPr>
          <w:vertAlign w:val="baseline"/>
        </w:rPr>
        <w:t>. Prospettive di crescita economica più contenute, unitamente a tali innovazioni normative, contribuiscono a far aumentare il rapporto tra spesa per pensioni e</w:t>
      </w:r>
      <w:r>
        <w:rPr>
          <w:spacing w:val="-40"/>
          <w:vertAlign w:val="baseline"/>
        </w:rPr>
        <w:t> </w:t>
      </w:r>
      <w:r>
        <w:rPr>
          <w:vertAlign w:val="baseline"/>
        </w:rPr>
        <w:t>PIL, che salirà dal 15,5 per cento del 2019 al 15,9 per cento nel</w:t>
      </w:r>
      <w:r>
        <w:rPr>
          <w:spacing w:val="-11"/>
          <w:vertAlign w:val="baseline"/>
        </w:rPr>
        <w:t> </w:t>
      </w:r>
      <w:r>
        <w:rPr>
          <w:vertAlign w:val="baseline"/>
        </w:rPr>
        <w:t>2022.</w:t>
      </w:r>
    </w:p>
    <w:p>
      <w:pPr>
        <w:pStyle w:val="BodyText"/>
        <w:spacing w:line="249" w:lineRule="auto" w:before="7"/>
        <w:ind w:left="1128" w:right="1411" w:firstLine="453"/>
        <w:jc w:val="both"/>
      </w:pPr>
      <w:r>
        <w:rPr/>
        <w:t>Rispetto</w:t>
      </w:r>
      <w:r>
        <w:rPr>
          <w:spacing w:val="-8"/>
        </w:rPr>
        <w:t> </w:t>
      </w:r>
      <w:r>
        <w:rPr/>
        <w:t>alla</w:t>
      </w:r>
      <w:r>
        <w:rPr>
          <w:spacing w:val="-8"/>
        </w:rPr>
        <w:t> </w:t>
      </w:r>
      <w:r>
        <w:rPr/>
        <w:t>previsione</w:t>
      </w:r>
      <w:r>
        <w:rPr>
          <w:spacing w:val="-5"/>
        </w:rPr>
        <w:t> </w:t>
      </w:r>
      <w:r>
        <w:rPr/>
        <w:t>del</w:t>
      </w:r>
      <w:r>
        <w:rPr>
          <w:spacing w:val="-8"/>
        </w:rPr>
        <w:t> </w:t>
      </w:r>
      <w:r>
        <w:rPr/>
        <w:t>DEF</w:t>
      </w:r>
      <w:r>
        <w:rPr>
          <w:spacing w:val="-7"/>
        </w:rPr>
        <w:t> </w:t>
      </w:r>
      <w:r>
        <w:rPr/>
        <w:t>di</w:t>
      </w:r>
      <w:r>
        <w:rPr>
          <w:spacing w:val="-8"/>
        </w:rPr>
        <w:t> </w:t>
      </w:r>
      <w:r>
        <w:rPr/>
        <w:t>aprile,</w:t>
      </w:r>
      <w:r>
        <w:rPr>
          <w:spacing w:val="-6"/>
        </w:rPr>
        <w:t> </w:t>
      </w:r>
      <w:r>
        <w:rPr/>
        <w:t>la</w:t>
      </w:r>
      <w:r>
        <w:rPr>
          <w:spacing w:val="-8"/>
        </w:rPr>
        <w:t> </w:t>
      </w:r>
      <w:r>
        <w:rPr/>
        <w:t>stima</w:t>
      </w:r>
      <w:r>
        <w:rPr>
          <w:spacing w:val="-7"/>
        </w:rPr>
        <w:t> </w:t>
      </w:r>
      <w:r>
        <w:rPr/>
        <w:t>della</w:t>
      </w:r>
      <w:r>
        <w:rPr>
          <w:spacing w:val="-8"/>
        </w:rPr>
        <w:t> </w:t>
      </w:r>
      <w:r>
        <w:rPr/>
        <w:t>spesa</w:t>
      </w:r>
      <w:r>
        <w:rPr>
          <w:spacing w:val="-7"/>
        </w:rPr>
        <w:t> </w:t>
      </w:r>
      <w:r>
        <w:rPr/>
        <w:t>pensionistica</w:t>
      </w:r>
      <w:r>
        <w:rPr>
          <w:spacing w:val="-8"/>
        </w:rPr>
        <w:t> </w:t>
      </w:r>
      <w:r>
        <w:rPr/>
        <w:t>nel 2019 è tuttavia rivista al ribasso di circa 1,4 miliardi, di cui circa 1,2 miliardi riscontrati dal minor numero di domande di pensionamento anticipato con il nuovo canale sperimentale rispetto alla platea di soggetti che potevano beneficiare dell’agevolazione.</w:t>
      </w:r>
      <w:r>
        <w:rPr>
          <w:spacing w:val="-9"/>
        </w:rPr>
        <w:t> </w:t>
      </w:r>
      <w:r>
        <w:rPr/>
        <w:t>La</w:t>
      </w:r>
      <w:r>
        <w:rPr>
          <w:spacing w:val="-9"/>
        </w:rPr>
        <w:t> </w:t>
      </w:r>
      <w:r>
        <w:rPr/>
        <w:t>nuova</w:t>
      </w:r>
      <w:r>
        <w:rPr>
          <w:spacing w:val="-11"/>
        </w:rPr>
        <w:t> </w:t>
      </w:r>
      <w:r>
        <w:rPr/>
        <w:t>stima</w:t>
      </w:r>
      <w:r>
        <w:rPr>
          <w:spacing w:val="-9"/>
        </w:rPr>
        <w:t> </w:t>
      </w:r>
      <w:r>
        <w:rPr/>
        <w:t>si</w:t>
      </w:r>
      <w:r>
        <w:rPr>
          <w:spacing w:val="-10"/>
        </w:rPr>
        <w:t> </w:t>
      </w:r>
      <w:r>
        <w:rPr/>
        <w:t>basa</w:t>
      </w:r>
      <w:r>
        <w:rPr>
          <w:spacing w:val="-10"/>
        </w:rPr>
        <w:t> </w:t>
      </w:r>
      <w:r>
        <w:rPr/>
        <w:t>anche</w:t>
      </w:r>
      <w:r>
        <w:rPr>
          <w:spacing w:val="-10"/>
        </w:rPr>
        <w:t> </w:t>
      </w:r>
      <w:r>
        <w:rPr/>
        <w:t>su</w:t>
      </w:r>
      <w:r>
        <w:rPr>
          <w:spacing w:val="-10"/>
        </w:rPr>
        <w:t> </w:t>
      </w:r>
      <w:r>
        <w:rPr/>
        <w:t>una</w:t>
      </w:r>
      <w:r>
        <w:rPr>
          <w:spacing w:val="-9"/>
        </w:rPr>
        <w:t> </w:t>
      </w:r>
      <w:r>
        <w:rPr/>
        <w:t>previsione</w:t>
      </w:r>
      <w:r>
        <w:rPr>
          <w:spacing w:val="-11"/>
        </w:rPr>
        <w:t> </w:t>
      </w:r>
      <w:r>
        <w:rPr/>
        <w:t>prudenziale</w:t>
      </w:r>
      <w:r>
        <w:rPr>
          <w:spacing w:val="-9"/>
        </w:rPr>
        <w:t> </w:t>
      </w:r>
      <w:r>
        <w:rPr/>
        <w:t>delle domande</w:t>
      </w:r>
      <w:r>
        <w:rPr>
          <w:spacing w:val="-8"/>
        </w:rPr>
        <w:t> </w:t>
      </w:r>
      <w:r>
        <w:rPr/>
        <w:t>che</w:t>
      </w:r>
      <w:r>
        <w:rPr>
          <w:spacing w:val="-7"/>
        </w:rPr>
        <w:t> </w:t>
      </w:r>
      <w:r>
        <w:rPr/>
        <w:t>perverranno</w:t>
      </w:r>
      <w:r>
        <w:rPr>
          <w:spacing w:val="-8"/>
        </w:rPr>
        <w:t> </w:t>
      </w:r>
      <w:r>
        <w:rPr/>
        <w:t>da</w:t>
      </w:r>
      <w:r>
        <w:rPr>
          <w:spacing w:val="-8"/>
        </w:rPr>
        <w:t> </w:t>
      </w:r>
      <w:r>
        <w:rPr/>
        <w:t>qui</w:t>
      </w:r>
      <w:r>
        <w:rPr>
          <w:spacing w:val="-7"/>
        </w:rPr>
        <w:t> </w:t>
      </w:r>
      <w:r>
        <w:rPr/>
        <w:t>a</w:t>
      </w:r>
      <w:r>
        <w:rPr>
          <w:spacing w:val="-7"/>
        </w:rPr>
        <w:t> </w:t>
      </w:r>
      <w:r>
        <w:rPr/>
        <w:t>fine</w:t>
      </w:r>
      <w:r>
        <w:rPr>
          <w:spacing w:val="-7"/>
        </w:rPr>
        <w:t> </w:t>
      </w:r>
      <w:r>
        <w:rPr/>
        <w:t>anno.</w:t>
      </w:r>
      <w:r>
        <w:rPr>
          <w:spacing w:val="-6"/>
        </w:rPr>
        <w:t> </w:t>
      </w:r>
      <w:r>
        <w:rPr/>
        <w:t>Per</w:t>
      </w:r>
      <w:r>
        <w:rPr>
          <w:spacing w:val="-6"/>
        </w:rPr>
        <w:t> </w:t>
      </w:r>
      <w:r>
        <w:rPr/>
        <w:t>gli</w:t>
      </w:r>
      <w:r>
        <w:rPr>
          <w:spacing w:val="-7"/>
        </w:rPr>
        <w:t> </w:t>
      </w:r>
      <w:r>
        <w:rPr/>
        <w:t>anni</w:t>
      </w:r>
      <w:r>
        <w:rPr>
          <w:spacing w:val="-7"/>
        </w:rPr>
        <w:t> </w:t>
      </w:r>
      <w:r>
        <w:rPr/>
        <w:t>successivi,</w:t>
      </w:r>
      <w:r>
        <w:rPr>
          <w:spacing w:val="-6"/>
        </w:rPr>
        <w:t> </w:t>
      </w:r>
      <w:r>
        <w:rPr/>
        <w:t>si</w:t>
      </w:r>
      <w:r>
        <w:rPr>
          <w:spacing w:val="-7"/>
        </w:rPr>
        <w:t> </w:t>
      </w:r>
      <w:r>
        <w:rPr/>
        <w:t>ipotizza</w:t>
      </w:r>
      <w:r>
        <w:rPr>
          <w:spacing w:val="-7"/>
        </w:rPr>
        <w:t> </w:t>
      </w:r>
      <w:r>
        <w:rPr/>
        <w:t>una distribuzione graduale degli accessi al pensionamento nel 2020 e nel 2021, con conseguenti economie pari a 1,7 miliardi nel 2020 e 400 milioni nel 2021. Tali valutazioni previsionali saranno aggiornate nei prossimi mesi sulla base degli andamenti</w:t>
      </w:r>
      <w:r>
        <w:rPr>
          <w:spacing w:val="-1"/>
        </w:rPr>
        <w:t> </w:t>
      </w:r>
      <w:r>
        <w:rPr/>
        <w:t>effettivi.</w:t>
      </w:r>
    </w:p>
    <w:p>
      <w:pPr>
        <w:pStyle w:val="BodyText"/>
        <w:spacing w:line="249" w:lineRule="auto" w:before="3"/>
        <w:ind w:left="1128" w:right="1411" w:firstLine="453"/>
        <w:jc w:val="both"/>
      </w:pPr>
      <w:r>
        <w:rPr/>
        <w:t>Le altre prestazioni non pensionistiche sono attese crescere dell’8 per cento nell’anno in corso, sostenute dalle politiche di contrasto alla povertà e dalle ulteriori prestazioni assistenziali riconosciute. La previsione per il 2019 indicata in questo</w:t>
      </w:r>
      <w:r>
        <w:rPr>
          <w:spacing w:val="-15"/>
        </w:rPr>
        <w:t> </w:t>
      </w:r>
      <w:r>
        <w:rPr/>
        <w:t>Documento</w:t>
      </w:r>
      <w:r>
        <w:rPr>
          <w:spacing w:val="-14"/>
        </w:rPr>
        <w:t> </w:t>
      </w:r>
      <w:r>
        <w:rPr/>
        <w:t>è</w:t>
      </w:r>
      <w:r>
        <w:rPr>
          <w:spacing w:val="-14"/>
        </w:rPr>
        <w:t> </w:t>
      </w:r>
      <w:r>
        <w:rPr/>
        <w:t>stata</w:t>
      </w:r>
      <w:r>
        <w:rPr>
          <w:spacing w:val="-14"/>
        </w:rPr>
        <w:t> </w:t>
      </w:r>
      <w:r>
        <w:rPr/>
        <w:t>aggiornata</w:t>
      </w:r>
      <w:r>
        <w:rPr>
          <w:spacing w:val="-14"/>
        </w:rPr>
        <w:t> </w:t>
      </w:r>
      <w:r>
        <w:rPr/>
        <w:t>sulla</w:t>
      </w:r>
      <w:r>
        <w:rPr>
          <w:spacing w:val="-14"/>
        </w:rPr>
        <w:t> </w:t>
      </w:r>
      <w:r>
        <w:rPr/>
        <w:t>base</w:t>
      </w:r>
      <w:r>
        <w:rPr>
          <w:spacing w:val="-14"/>
        </w:rPr>
        <w:t> </w:t>
      </w:r>
      <w:r>
        <w:rPr/>
        <w:t>dei</w:t>
      </w:r>
      <w:r>
        <w:rPr>
          <w:spacing w:val="-15"/>
        </w:rPr>
        <w:t> </w:t>
      </w:r>
      <w:r>
        <w:rPr/>
        <w:t>dati</w:t>
      </w:r>
      <w:r>
        <w:rPr>
          <w:spacing w:val="-14"/>
        </w:rPr>
        <w:t> </w:t>
      </w:r>
      <w:r>
        <w:rPr/>
        <w:t>di</w:t>
      </w:r>
      <w:r>
        <w:rPr>
          <w:spacing w:val="-15"/>
        </w:rPr>
        <w:t> </w:t>
      </w:r>
      <w:r>
        <w:rPr/>
        <w:t>monitoraggio</w:t>
      </w:r>
      <w:r>
        <w:rPr>
          <w:spacing w:val="-15"/>
        </w:rPr>
        <w:t> </w:t>
      </w:r>
      <w:r>
        <w:rPr/>
        <w:t>relativi</w:t>
      </w:r>
      <w:r>
        <w:rPr>
          <w:spacing w:val="-14"/>
        </w:rPr>
        <w:t> </w:t>
      </w:r>
      <w:r>
        <w:rPr/>
        <w:t>alle domande accolte e quelle prevedibili in accoglimento fino alla fine del 2019 per il Reddito</w:t>
      </w:r>
      <w:r>
        <w:rPr>
          <w:spacing w:val="-6"/>
        </w:rPr>
        <w:t> </w:t>
      </w:r>
      <w:r>
        <w:rPr/>
        <w:t>di</w:t>
      </w:r>
      <w:r>
        <w:rPr>
          <w:spacing w:val="-6"/>
        </w:rPr>
        <w:t> </w:t>
      </w:r>
      <w:r>
        <w:rPr/>
        <w:t>Cittadinanza</w:t>
      </w:r>
      <w:r>
        <w:rPr>
          <w:spacing w:val="-2"/>
        </w:rPr>
        <w:t> </w:t>
      </w:r>
      <w:r>
        <w:rPr/>
        <w:t>(RdC)</w:t>
      </w:r>
      <w:r>
        <w:rPr>
          <w:spacing w:val="-7"/>
        </w:rPr>
        <w:t> </w:t>
      </w:r>
      <w:r>
        <w:rPr/>
        <w:t>e</w:t>
      </w:r>
      <w:r>
        <w:rPr>
          <w:spacing w:val="-7"/>
        </w:rPr>
        <w:t> </w:t>
      </w:r>
      <w:r>
        <w:rPr/>
        <w:t>Reddito</w:t>
      </w:r>
      <w:r>
        <w:rPr>
          <w:spacing w:val="-6"/>
        </w:rPr>
        <w:t> </w:t>
      </w:r>
      <w:r>
        <w:rPr/>
        <w:t>di</w:t>
      </w:r>
      <w:r>
        <w:rPr>
          <w:spacing w:val="-6"/>
        </w:rPr>
        <w:t> </w:t>
      </w:r>
      <w:r>
        <w:rPr/>
        <w:t>Inclusione</w:t>
      </w:r>
      <w:r>
        <w:rPr>
          <w:spacing w:val="-5"/>
        </w:rPr>
        <w:t> </w:t>
      </w:r>
      <w:r>
        <w:rPr/>
        <w:t>(ReI),</w:t>
      </w:r>
      <w:r>
        <w:rPr>
          <w:spacing w:val="-4"/>
        </w:rPr>
        <w:t> </w:t>
      </w:r>
      <w:r>
        <w:rPr/>
        <w:t>e</w:t>
      </w:r>
      <w:r>
        <w:rPr>
          <w:spacing w:val="-7"/>
        </w:rPr>
        <w:t> </w:t>
      </w:r>
      <w:r>
        <w:rPr/>
        <w:t>include</w:t>
      </w:r>
      <w:r>
        <w:rPr>
          <w:spacing w:val="-6"/>
        </w:rPr>
        <w:t> </w:t>
      </w:r>
      <w:r>
        <w:rPr/>
        <w:t>una</w:t>
      </w:r>
      <w:r>
        <w:rPr>
          <w:spacing w:val="-8"/>
        </w:rPr>
        <w:t> </w:t>
      </w:r>
      <w:r>
        <w:rPr/>
        <w:t>riduzione di spesa complessiva di circa 400 milioni rispetto al</w:t>
      </w:r>
      <w:r>
        <w:rPr>
          <w:spacing w:val="-9"/>
        </w:rPr>
        <w:t> </w:t>
      </w:r>
      <w:r>
        <w:rPr/>
        <w:t>DEF</w:t>
      </w:r>
      <w:r>
        <w:rPr>
          <w:vertAlign w:val="superscript"/>
        </w:rPr>
        <w:t>10</w:t>
      </w:r>
      <w:r>
        <w:rPr>
          <w:vertAlign w:val="baseline"/>
        </w:rPr>
        <w:t>.</w:t>
      </w:r>
    </w:p>
    <w:p>
      <w:pPr>
        <w:pStyle w:val="BodyText"/>
        <w:spacing w:line="249" w:lineRule="auto" w:before="3"/>
        <w:ind w:left="1128" w:right="1411" w:firstLine="453"/>
        <w:jc w:val="both"/>
      </w:pPr>
      <w:r>
        <w:rPr/>
        <w:t>Dopo</w:t>
      </w:r>
      <w:r>
        <w:rPr>
          <w:spacing w:val="-20"/>
        </w:rPr>
        <w:t> </w:t>
      </w:r>
      <w:r>
        <w:rPr/>
        <w:t>aver</w:t>
      </w:r>
      <w:r>
        <w:rPr>
          <w:spacing w:val="-17"/>
        </w:rPr>
        <w:t> </w:t>
      </w:r>
      <w:r>
        <w:rPr/>
        <w:t>segnato</w:t>
      </w:r>
      <w:r>
        <w:rPr>
          <w:spacing w:val="-17"/>
        </w:rPr>
        <w:t> </w:t>
      </w:r>
      <w:r>
        <w:rPr/>
        <w:t>tassi</w:t>
      </w:r>
      <w:r>
        <w:rPr>
          <w:spacing w:val="-18"/>
        </w:rPr>
        <w:t> </w:t>
      </w:r>
      <w:r>
        <w:rPr/>
        <w:t>di</w:t>
      </w:r>
      <w:r>
        <w:rPr>
          <w:spacing w:val="-18"/>
        </w:rPr>
        <w:t> </w:t>
      </w:r>
      <w:r>
        <w:rPr/>
        <w:t>crescita</w:t>
      </w:r>
      <w:r>
        <w:rPr>
          <w:spacing w:val="-19"/>
        </w:rPr>
        <w:t> </w:t>
      </w:r>
      <w:r>
        <w:rPr/>
        <w:t>negativi</w:t>
      </w:r>
      <w:r>
        <w:rPr>
          <w:spacing w:val="-18"/>
        </w:rPr>
        <w:t> </w:t>
      </w:r>
      <w:r>
        <w:rPr/>
        <w:t>dal</w:t>
      </w:r>
      <w:r>
        <w:rPr>
          <w:spacing w:val="-18"/>
        </w:rPr>
        <w:t> </w:t>
      </w:r>
      <w:r>
        <w:rPr/>
        <w:t>2011,</w:t>
      </w:r>
      <w:r>
        <w:rPr>
          <w:spacing w:val="-18"/>
        </w:rPr>
        <w:t> </w:t>
      </w:r>
      <w:r>
        <w:rPr/>
        <w:t>nel</w:t>
      </w:r>
      <w:r>
        <w:rPr>
          <w:spacing w:val="-18"/>
        </w:rPr>
        <w:t> </w:t>
      </w:r>
      <w:r>
        <w:rPr/>
        <w:t>2018</w:t>
      </w:r>
      <w:r>
        <w:rPr>
          <w:spacing w:val="-19"/>
        </w:rPr>
        <w:t> </w:t>
      </w:r>
      <w:r>
        <w:rPr/>
        <w:t>i</w:t>
      </w:r>
      <w:r>
        <w:rPr>
          <w:spacing w:val="-18"/>
        </w:rPr>
        <w:t> </w:t>
      </w:r>
      <w:r>
        <w:rPr/>
        <w:t>redditi</w:t>
      </w:r>
      <w:r>
        <w:rPr>
          <w:spacing w:val="-18"/>
        </w:rPr>
        <w:t> </w:t>
      </w:r>
      <w:r>
        <w:rPr/>
        <w:t>da</w:t>
      </w:r>
      <w:r>
        <w:rPr>
          <w:spacing w:val="-19"/>
        </w:rPr>
        <w:t> </w:t>
      </w:r>
      <w:r>
        <w:rPr/>
        <w:t>lavoro dipendente</w:t>
      </w:r>
      <w:r>
        <w:rPr>
          <w:spacing w:val="-9"/>
        </w:rPr>
        <w:t> </w:t>
      </w:r>
      <w:r>
        <w:rPr/>
        <w:t>della</w:t>
      </w:r>
      <w:r>
        <w:rPr>
          <w:spacing w:val="-8"/>
        </w:rPr>
        <w:t> </w:t>
      </w:r>
      <w:r>
        <w:rPr/>
        <w:t>PA</w:t>
      </w:r>
      <w:r>
        <w:rPr>
          <w:spacing w:val="-8"/>
        </w:rPr>
        <w:t> </w:t>
      </w:r>
      <w:r>
        <w:rPr/>
        <w:t>sono</w:t>
      </w:r>
      <w:r>
        <w:rPr>
          <w:spacing w:val="-9"/>
        </w:rPr>
        <w:t> </w:t>
      </w:r>
      <w:r>
        <w:rPr/>
        <w:t>tornati</w:t>
      </w:r>
      <w:r>
        <w:rPr>
          <w:spacing w:val="-8"/>
        </w:rPr>
        <w:t> </w:t>
      </w:r>
      <w:r>
        <w:rPr/>
        <w:t>a</w:t>
      </w:r>
      <w:r>
        <w:rPr>
          <w:spacing w:val="-8"/>
        </w:rPr>
        <w:t> </w:t>
      </w:r>
      <w:r>
        <w:rPr/>
        <w:t>crescere</w:t>
      </w:r>
      <w:r>
        <w:rPr>
          <w:spacing w:val="-8"/>
        </w:rPr>
        <w:t> </w:t>
      </w:r>
      <w:r>
        <w:rPr/>
        <w:t>ad</w:t>
      </w:r>
      <w:r>
        <w:rPr>
          <w:spacing w:val="-8"/>
        </w:rPr>
        <w:t> </w:t>
      </w:r>
      <w:r>
        <w:rPr/>
        <w:t>un</w:t>
      </w:r>
      <w:r>
        <w:rPr>
          <w:spacing w:val="-9"/>
        </w:rPr>
        <w:t> </w:t>
      </w:r>
      <w:r>
        <w:rPr/>
        <w:t>ritmo</w:t>
      </w:r>
      <w:r>
        <w:rPr>
          <w:spacing w:val="-9"/>
        </w:rPr>
        <w:t> </w:t>
      </w:r>
      <w:r>
        <w:rPr/>
        <w:t>sostenuto</w:t>
      </w:r>
      <w:r>
        <w:rPr>
          <w:spacing w:val="-9"/>
        </w:rPr>
        <w:t> </w:t>
      </w:r>
      <w:r>
        <w:rPr/>
        <w:t>(3,3</w:t>
      </w:r>
      <w:r>
        <w:rPr>
          <w:spacing w:val="-8"/>
        </w:rPr>
        <w:t> </w:t>
      </w:r>
      <w:r>
        <w:rPr/>
        <w:t>per</w:t>
      </w:r>
      <w:r>
        <w:rPr>
          <w:spacing w:val="-7"/>
        </w:rPr>
        <w:t> </w:t>
      </w:r>
      <w:r>
        <w:rPr/>
        <w:t>cento</w:t>
      </w:r>
      <w:r>
        <w:rPr>
          <w:spacing w:val="-9"/>
        </w:rPr>
        <w:t> </w:t>
      </w:r>
      <w:r>
        <w:rPr/>
        <w:t>su base nominale), sulla scorta della dinamica delle retribuzioni pro-capite. Nel 2019 la</w:t>
      </w:r>
      <w:r>
        <w:rPr>
          <w:spacing w:val="-16"/>
        </w:rPr>
        <w:t> </w:t>
      </w:r>
      <w:r>
        <w:rPr/>
        <w:t>previsione</w:t>
      </w:r>
      <w:r>
        <w:rPr>
          <w:spacing w:val="-16"/>
        </w:rPr>
        <w:t> </w:t>
      </w:r>
      <w:r>
        <w:rPr/>
        <w:t>sconta,</w:t>
      </w:r>
      <w:r>
        <w:rPr>
          <w:spacing w:val="-14"/>
        </w:rPr>
        <w:t> </w:t>
      </w:r>
      <w:r>
        <w:rPr/>
        <w:t>fra</w:t>
      </w:r>
      <w:r>
        <w:rPr>
          <w:spacing w:val="-15"/>
        </w:rPr>
        <w:t> </w:t>
      </w:r>
      <w:r>
        <w:rPr/>
        <w:t>l’altro,</w:t>
      </w:r>
      <w:r>
        <w:rPr>
          <w:spacing w:val="-13"/>
        </w:rPr>
        <w:t> </w:t>
      </w:r>
      <w:r>
        <w:rPr/>
        <w:t>la</w:t>
      </w:r>
      <w:r>
        <w:rPr>
          <w:spacing w:val="-16"/>
        </w:rPr>
        <w:t> </w:t>
      </w:r>
      <w:r>
        <w:rPr/>
        <w:t>conclusione</w:t>
      </w:r>
      <w:r>
        <w:rPr>
          <w:spacing w:val="-16"/>
        </w:rPr>
        <w:t> </w:t>
      </w:r>
      <w:r>
        <w:rPr/>
        <w:t>della</w:t>
      </w:r>
      <w:r>
        <w:rPr>
          <w:spacing w:val="-15"/>
        </w:rPr>
        <w:t> </w:t>
      </w:r>
      <w:r>
        <w:rPr/>
        <w:t>tornata</w:t>
      </w:r>
      <w:r>
        <w:rPr>
          <w:spacing w:val="-14"/>
        </w:rPr>
        <w:t> </w:t>
      </w:r>
      <w:r>
        <w:rPr/>
        <w:t>contrattuale</w:t>
      </w:r>
      <w:r>
        <w:rPr>
          <w:spacing w:val="-13"/>
        </w:rPr>
        <w:t> </w:t>
      </w:r>
      <w:r>
        <w:rPr/>
        <w:t>2016-2018 ed</w:t>
      </w:r>
      <w:r>
        <w:rPr>
          <w:spacing w:val="20"/>
        </w:rPr>
        <w:t> </w:t>
      </w:r>
      <w:r>
        <w:rPr/>
        <w:t>il</w:t>
      </w:r>
      <w:r>
        <w:rPr>
          <w:spacing w:val="22"/>
        </w:rPr>
        <w:t> </w:t>
      </w:r>
      <w:r>
        <w:rPr/>
        <w:t>maggior</w:t>
      </w:r>
      <w:r>
        <w:rPr>
          <w:spacing w:val="23"/>
        </w:rPr>
        <w:t> </w:t>
      </w:r>
      <w:r>
        <w:rPr/>
        <w:t>numero</w:t>
      </w:r>
      <w:r>
        <w:rPr>
          <w:spacing w:val="20"/>
        </w:rPr>
        <w:t> </w:t>
      </w:r>
      <w:r>
        <w:rPr/>
        <w:t>di</w:t>
      </w:r>
      <w:r>
        <w:rPr>
          <w:spacing w:val="19"/>
        </w:rPr>
        <w:t> </w:t>
      </w:r>
      <w:r>
        <w:rPr/>
        <w:t>pensionamenti</w:t>
      </w:r>
      <w:r>
        <w:rPr>
          <w:spacing w:val="22"/>
        </w:rPr>
        <w:t> </w:t>
      </w:r>
      <w:r>
        <w:rPr/>
        <w:t>attesi</w:t>
      </w:r>
      <w:r>
        <w:rPr>
          <w:spacing w:val="21"/>
        </w:rPr>
        <w:t> </w:t>
      </w:r>
      <w:r>
        <w:rPr/>
        <w:t>già</w:t>
      </w:r>
      <w:r>
        <w:rPr>
          <w:spacing w:val="21"/>
        </w:rPr>
        <w:t> </w:t>
      </w:r>
      <w:r>
        <w:rPr/>
        <w:t>dal</w:t>
      </w:r>
      <w:r>
        <w:rPr>
          <w:spacing w:val="22"/>
        </w:rPr>
        <w:t> </w:t>
      </w:r>
      <w:r>
        <w:rPr/>
        <w:t>2019</w:t>
      </w:r>
      <w:r>
        <w:rPr>
          <w:spacing w:val="20"/>
        </w:rPr>
        <w:t> </w:t>
      </w:r>
      <w:r>
        <w:rPr/>
        <w:t>per</w:t>
      </w:r>
      <w:r>
        <w:rPr>
          <w:spacing w:val="23"/>
        </w:rPr>
        <w:t> </w:t>
      </w:r>
      <w:r>
        <w:rPr/>
        <w:t>effetto</w:t>
      </w:r>
      <w:r>
        <w:rPr>
          <w:spacing w:val="19"/>
        </w:rPr>
        <w:t> </w:t>
      </w:r>
      <w:r>
        <w:rPr/>
        <w:t>della</w:t>
      </w:r>
      <w:r>
        <w:rPr>
          <w:spacing w:val="20"/>
        </w:rPr>
        <w:t> </w:t>
      </w:r>
      <w:r>
        <w:rPr/>
        <w:t>c.d.</w:t>
      </w:r>
    </w:p>
    <w:p>
      <w:pPr>
        <w:pStyle w:val="BodyText"/>
        <w:rPr>
          <w:sz w:val="20"/>
        </w:rPr>
      </w:pPr>
    </w:p>
    <w:p>
      <w:pPr>
        <w:pStyle w:val="BodyText"/>
        <w:spacing w:before="2"/>
        <w:rPr>
          <w:sz w:val="14"/>
        </w:rPr>
      </w:pPr>
      <w:r>
        <w:rPr/>
        <w:pict>
          <v:group style="position:absolute;margin-left:136.100006pt;margin-top:10.234121pt;width:21.4pt;height:2.15pt;mso-position-horizontal-relative:page;mso-position-vertical-relative:paragraph;z-index:-251524096;mso-wrap-distance-left:0;mso-wrap-distance-right:0" coordorigin="2722,205" coordsize="428,43">
            <v:line style="position:absolute" from="2722,225" to="3149,225" stroked="true" strokeweight="2.050pt" strokecolor="#aaaaaa">
              <v:stroke dashstyle="solid"/>
            </v:line>
            <v:rect style="position:absolute;left:2722;top:206;width:5;height:5" filled="true" fillcolor="#9f9f9f" stroked="false">
              <v:fill type="solid"/>
            </v:rect>
            <v:rect style="position:absolute;left:2722;top:206;width:5;height:5" filled="true" fillcolor="#9f9f9f" stroked="false">
              <v:fill type="solid"/>
            </v:rect>
            <v:line style="position:absolute" from="2727,209" to="3144,209" stroked="true" strokeweight=".23999pt" strokecolor="#9f9f9f">
              <v:stroke dashstyle="solid"/>
            </v:line>
            <v:rect style="position:absolute;left:3144;top:206;width:5;height:5" filled="true" fillcolor="#e2e2e2" stroked="false">
              <v:fill type="solid"/>
            </v:rect>
            <v:rect style="position:absolute;left:3144;top:206;width:5;height:5" filled="true" fillcolor="#9f9f9f" stroked="false">
              <v:fill type="solid"/>
            </v:rect>
            <v:rect style="position:absolute;left:2722;top:211;width:5;height:32" filled="true" fillcolor="#9f9f9f" stroked="false">
              <v:fill type="solid"/>
            </v:rect>
            <v:rect style="position:absolute;left:3144;top:211;width:5;height:32" filled="true" fillcolor="#e2e2e2" stroked="false">
              <v:fill type="solid"/>
            </v:rect>
            <v:rect style="position:absolute;left:2722;top:242;width:5;height:5" filled="true" fillcolor="#9f9f9f" stroked="false">
              <v:fill type="solid"/>
            </v:rect>
            <v:rect style="position:absolute;left:2722;top:242;width:5;height:5" filled="true" fillcolor="#e2e2e2" stroked="false">
              <v:fill type="solid"/>
            </v:rect>
            <v:line style="position:absolute" from="2727,245" to="3144,245" stroked="true" strokeweight=".23999pt" strokecolor="#e2e2e2">
              <v:stroke dashstyle="solid"/>
            </v:line>
            <v:rect style="position:absolute;left:3144;top:242;width:5;height:5" filled="true" fillcolor="#e2e2e2" stroked="false">
              <v:fill type="solid"/>
            </v:rect>
            <v:rect style="position:absolute;left:3144;top:242;width:5;height:5" filled="true" fillcolor="#e2e2e2" stroked="false">
              <v:fill type="solid"/>
            </v:rect>
            <w10:wrap type="topAndBottom"/>
          </v:group>
        </w:pict>
      </w:r>
    </w:p>
    <w:p>
      <w:pPr>
        <w:spacing w:line="188" w:lineRule="exact" w:before="20"/>
        <w:ind w:left="1582" w:right="0" w:firstLine="0"/>
        <w:jc w:val="both"/>
        <w:rPr>
          <w:sz w:val="16"/>
        </w:rPr>
      </w:pPr>
      <w:r>
        <w:rPr>
          <w:position w:val="6"/>
          <w:sz w:val="10"/>
        </w:rPr>
        <w:t>8 </w:t>
      </w:r>
      <w:r>
        <w:rPr>
          <w:sz w:val="16"/>
        </w:rPr>
        <w:t>L. n. 145/2018 e D.L. n. 4/2019 cvt. dalla L. n. 26/2019.</w:t>
      </w:r>
    </w:p>
    <w:p>
      <w:pPr>
        <w:spacing w:before="0"/>
        <w:ind w:left="1128" w:right="1412" w:firstLine="453"/>
        <w:jc w:val="both"/>
        <w:rPr>
          <w:sz w:val="16"/>
        </w:rPr>
      </w:pPr>
      <w:r>
        <w:rPr>
          <w:position w:val="6"/>
          <w:sz w:val="10"/>
        </w:rPr>
        <w:t>9</w:t>
      </w:r>
      <w:r>
        <w:rPr>
          <w:spacing w:val="10"/>
          <w:position w:val="6"/>
          <w:sz w:val="10"/>
        </w:rPr>
        <w:t> </w:t>
      </w:r>
      <w:r>
        <w:rPr>
          <w:sz w:val="16"/>
        </w:rPr>
        <w:t>In</w:t>
      </w:r>
      <w:r>
        <w:rPr>
          <w:spacing w:val="-10"/>
          <w:sz w:val="16"/>
        </w:rPr>
        <w:t> </w:t>
      </w:r>
      <w:r>
        <w:rPr>
          <w:sz w:val="16"/>
        </w:rPr>
        <w:t>base</w:t>
      </w:r>
      <w:r>
        <w:rPr>
          <w:spacing w:val="-9"/>
          <w:sz w:val="16"/>
        </w:rPr>
        <w:t> </w:t>
      </w:r>
      <w:r>
        <w:rPr>
          <w:sz w:val="16"/>
        </w:rPr>
        <w:t>al</w:t>
      </w:r>
      <w:r>
        <w:rPr>
          <w:spacing w:val="-10"/>
          <w:sz w:val="16"/>
        </w:rPr>
        <w:t> </w:t>
      </w:r>
      <w:r>
        <w:rPr>
          <w:sz w:val="16"/>
        </w:rPr>
        <w:t>nuovo</w:t>
      </w:r>
      <w:r>
        <w:rPr>
          <w:spacing w:val="-9"/>
          <w:sz w:val="16"/>
        </w:rPr>
        <w:t> </w:t>
      </w:r>
      <w:r>
        <w:rPr>
          <w:sz w:val="16"/>
        </w:rPr>
        <w:t>canale</w:t>
      </w:r>
      <w:r>
        <w:rPr>
          <w:spacing w:val="-8"/>
          <w:sz w:val="16"/>
        </w:rPr>
        <w:t> </w:t>
      </w:r>
      <w:r>
        <w:rPr>
          <w:sz w:val="16"/>
        </w:rPr>
        <w:t>di</w:t>
      </w:r>
      <w:r>
        <w:rPr>
          <w:spacing w:val="-10"/>
          <w:sz w:val="16"/>
        </w:rPr>
        <w:t> </w:t>
      </w:r>
      <w:r>
        <w:rPr>
          <w:sz w:val="16"/>
        </w:rPr>
        <w:t>pensionamento</w:t>
      </w:r>
      <w:r>
        <w:rPr>
          <w:spacing w:val="-11"/>
          <w:sz w:val="16"/>
        </w:rPr>
        <w:t> </w:t>
      </w:r>
      <w:r>
        <w:rPr>
          <w:sz w:val="16"/>
        </w:rPr>
        <w:t>anticipato,</w:t>
      </w:r>
      <w:r>
        <w:rPr>
          <w:spacing w:val="-7"/>
          <w:sz w:val="16"/>
        </w:rPr>
        <w:t> </w:t>
      </w:r>
      <w:r>
        <w:rPr>
          <w:sz w:val="16"/>
        </w:rPr>
        <w:t>introdotto</w:t>
      </w:r>
      <w:r>
        <w:rPr>
          <w:spacing w:val="-8"/>
          <w:sz w:val="16"/>
        </w:rPr>
        <w:t> </w:t>
      </w:r>
      <w:r>
        <w:rPr>
          <w:sz w:val="16"/>
        </w:rPr>
        <w:t>in</w:t>
      </w:r>
      <w:r>
        <w:rPr>
          <w:spacing w:val="-10"/>
          <w:sz w:val="16"/>
        </w:rPr>
        <w:t> </w:t>
      </w:r>
      <w:r>
        <w:rPr>
          <w:sz w:val="16"/>
        </w:rPr>
        <w:t>via</w:t>
      </w:r>
      <w:r>
        <w:rPr>
          <w:spacing w:val="-8"/>
          <w:sz w:val="16"/>
        </w:rPr>
        <w:t> </w:t>
      </w:r>
      <w:r>
        <w:rPr>
          <w:sz w:val="16"/>
        </w:rPr>
        <w:t>sperimentale</w:t>
      </w:r>
      <w:r>
        <w:rPr>
          <w:spacing w:val="-10"/>
          <w:sz w:val="16"/>
        </w:rPr>
        <w:t> </w:t>
      </w:r>
      <w:r>
        <w:rPr>
          <w:sz w:val="16"/>
        </w:rPr>
        <w:t>nel</w:t>
      </w:r>
      <w:r>
        <w:rPr>
          <w:spacing w:val="-7"/>
          <w:sz w:val="16"/>
        </w:rPr>
        <w:t> </w:t>
      </w:r>
      <w:r>
        <w:rPr>
          <w:sz w:val="16"/>
        </w:rPr>
        <w:t>triennio</w:t>
      </w:r>
      <w:r>
        <w:rPr>
          <w:spacing w:val="-8"/>
          <w:sz w:val="16"/>
        </w:rPr>
        <w:t> </w:t>
      </w:r>
      <w:r>
        <w:rPr>
          <w:sz w:val="16"/>
        </w:rPr>
        <w:t>2019-2021, è possibile collocarsi a riposo prima del conseguimento del requisito di vecchiaia, con un’anzianità contributiva minima di 38 anni ed una età minima di</w:t>
      </w:r>
      <w:r>
        <w:rPr>
          <w:spacing w:val="-16"/>
          <w:sz w:val="16"/>
        </w:rPr>
        <w:t> </w:t>
      </w:r>
      <w:r>
        <w:rPr>
          <w:sz w:val="16"/>
        </w:rPr>
        <w:t>62.</w:t>
      </w:r>
    </w:p>
    <w:p>
      <w:pPr>
        <w:spacing w:line="240" w:lineRule="auto" w:before="0"/>
        <w:ind w:left="1128" w:right="1411" w:firstLine="453"/>
        <w:jc w:val="both"/>
        <w:rPr>
          <w:sz w:val="16"/>
        </w:rPr>
      </w:pPr>
      <w:r>
        <w:rPr>
          <w:position w:val="6"/>
          <w:sz w:val="10"/>
        </w:rPr>
        <w:t>10 </w:t>
      </w:r>
      <w:r>
        <w:rPr>
          <w:sz w:val="16"/>
        </w:rPr>
        <w:t>La previsione aggiornata include un onere di circa 550 milioni </w:t>
      </w:r>
      <w:r>
        <w:rPr>
          <w:spacing w:val="-2"/>
          <w:sz w:val="16"/>
        </w:rPr>
        <w:t>per </w:t>
      </w:r>
      <w:r>
        <w:rPr>
          <w:sz w:val="16"/>
        </w:rPr>
        <w:t>quanto riguarda il ReI e di circa 4,2 miliardi per quanto riguarda il RdC (inclusa la componente cosiddetta di Pensione di Cittadinanza). Nel DEF 2019, essendo</w:t>
      </w:r>
      <w:r>
        <w:rPr>
          <w:spacing w:val="-9"/>
          <w:sz w:val="16"/>
        </w:rPr>
        <w:t> </w:t>
      </w:r>
      <w:r>
        <w:rPr>
          <w:sz w:val="16"/>
        </w:rPr>
        <w:t>già</w:t>
      </w:r>
      <w:r>
        <w:rPr>
          <w:spacing w:val="-10"/>
          <w:sz w:val="16"/>
        </w:rPr>
        <w:t> </w:t>
      </w:r>
      <w:r>
        <w:rPr>
          <w:sz w:val="16"/>
        </w:rPr>
        <w:t>noto</w:t>
      </w:r>
      <w:r>
        <w:rPr>
          <w:spacing w:val="-9"/>
          <w:sz w:val="16"/>
        </w:rPr>
        <w:t> </w:t>
      </w:r>
      <w:r>
        <w:rPr>
          <w:sz w:val="16"/>
        </w:rPr>
        <w:t>che</w:t>
      </w:r>
      <w:r>
        <w:rPr>
          <w:spacing w:val="-8"/>
          <w:sz w:val="16"/>
        </w:rPr>
        <w:t> </w:t>
      </w:r>
      <w:r>
        <w:rPr>
          <w:sz w:val="16"/>
        </w:rPr>
        <w:t>il</w:t>
      </w:r>
      <w:r>
        <w:rPr>
          <w:spacing w:val="-8"/>
          <w:sz w:val="16"/>
        </w:rPr>
        <w:t> </w:t>
      </w:r>
      <w:r>
        <w:rPr>
          <w:sz w:val="16"/>
        </w:rPr>
        <w:t>primo</w:t>
      </w:r>
      <w:r>
        <w:rPr>
          <w:spacing w:val="-9"/>
          <w:sz w:val="16"/>
        </w:rPr>
        <w:t> </w:t>
      </w:r>
      <w:r>
        <w:rPr>
          <w:sz w:val="16"/>
        </w:rPr>
        <w:t>ciclo</w:t>
      </w:r>
      <w:r>
        <w:rPr>
          <w:spacing w:val="-11"/>
          <w:sz w:val="16"/>
        </w:rPr>
        <w:t> </w:t>
      </w:r>
      <w:r>
        <w:rPr>
          <w:sz w:val="16"/>
        </w:rPr>
        <w:t>mensile</w:t>
      </w:r>
      <w:r>
        <w:rPr>
          <w:spacing w:val="-8"/>
          <w:sz w:val="16"/>
        </w:rPr>
        <w:t> </w:t>
      </w:r>
      <w:r>
        <w:rPr>
          <w:sz w:val="16"/>
        </w:rPr>
        <w:t>di</w:t>
      </w:r>
      <w:r>
        <w:rPr>
          <w:spacing w:val="-9"/>
          <w:sz w:val="16"/>
        </w:rPr>
        <w:t> </w:t>
      </w:r>
      <w:r>
        <w:rPr>
          <w:sz w:val="16"/>
        </w:rPr>
        <w:t>domande</w:t>
      </w:r>
      <w:r>
        <w:rPr>
          <w:spacing w:val="-6"/>
          <w:sz w:val="16"/>
        </w:rPr>
        <w:t> </w:t>
      </w:r>
      <w:r>
        <w:rPr>
          <w:sz w:val="16"/>
        </w:rPr>
        <w:t>era</w:t>
      </w:r>
      <w:r>
        <w:rPr>
          <w:spacing w:val="-9"/>
          <w:sz w:val="16"/>
        </w:rPr>
        <w:t> </w:t>
      </w:r>
      <w:r>
        <w:rPr>
          <w:sz w:val="16"/>
        </w:rPr>
        <w:t>inferiore</w:t>
      </w:r>
      <w:r>
        <w:rPr>
          <w:spacing w:val="-8"/>
          <w:sz w:val="16"/>
        </w:rPr>
        <w:t> </w:t>
      </w:r>
      <w:r>
        <w:rPr>
          <w:sz w:val="16"/>
        </w:rPr>
        <w:t>al</w:t>
      </w:r>
      <w:r>
        <w:rPr>
          <w:spacing w:val="-9"/>
          <w:sz w:val="16"/>
        </w:rPr>
        <w:t> </w:t>
      </w:r>
      <w:r>
        <w:rPr>
          <w:sz w:val="16"/>
        </w:rPr>
        <w:t>totale</w:t>
      </w:r>
      <w:r>
        <w:rPr>
          <w:spacing w:val="-8"/>
          <w:sz w:val="16"/>
        </w:rPr>
        <w:t> </w:t>
      </w:r>
      <w:r>
        <w:rPr>
          <w:sz w:val="16"/>
        </w:rPr>
        <w:t>previsto</w:t>
      </w:r>
      <w:r>
        <w:rPr>
          <w:spacing w:val="-8"/>
          <w:sz w:val="16"/>
        </w:rPr>
        <w:t> </w:t>
      </w:r>
      <w:r>
        <w:rPr>
          <w:sz w:val="16"/>
        </w:rPr>
        <w:t>a</w:t>
      </w:r>
      <w:r>
        <w:rPr>
          <w:spacing w:val="-9"/>
          <w:sz w:val="16"/>
        </w:rPr>
        <w:t> </w:t>
      </w:r>
      <w:r>
        <w:rPr>
          <w:sz w:val="16"/>
        </w:rPr>
        <w:t>regime</w:t>
      </w:r>
      <w:r>
        <w:rPr>
          <w:spacing w:val="-8"/>
          <w:sz w:val="16"/>
        </w:rPr>
        <w:t> </w:t>
      </w:r>
      <w:r>
        <w:rPr>
          <w:sz w:val="16"/>
        </w:rPr>
        <w:t>per</w:t>
      </w:r>
      <w:r>
        <w:rPr>
          <w:spacing w:val="-9"/>
          <w:sz w:val="16"/>
        </w:rPr>
        <w:t> </w:t>
      </w:r>
      <w:r>
        <w:rPr>
          <w:sz w:val="16"/>
        </w:rPr>
        <w:t>l’anno,</w:t>
      </w:r>
      <w:r>
        <w:rPr>
          <w:spacing w:val="-7"/>
          <w:sz w:val="16"/>
        </w:rPr>
        <w:t> </w:t>
      </w:r>
      <w:r>
        <w:rPr>
          <w:sz w:val="16"/>
        </w:rPr>
        <w:t>la</w:t>
      </w:r>
      <w:r>
        <w:rPr>
          <w:spacing w:val="-9"/>
          <w:sz w:val="16"/>
        </w:rPr>
        <w:t> </w:t>
      </w:r>
      <w:r>
        <w:rPr>
          <w:sz w:val="16"/>
        </w:rPr>
        <w:t>stima di spesa per il RdC era già stata ridotta di circa 500 milioni nel</w:t>
      </w:r>
      <w:r>
        <w:rPr>
          <w:spacing w:val="-15"/>
          <w:sz w:val="16"/>
        </w:rPr>
        <w:t> </w:t>
      </w:r>
      <w:r>
        <w:rPr>
          <w:sz w:val="16"/>
        </w:rPr>
        <w:t>2019.</w:t>
      </w:r>
    </w:p>
    <w:p>
      <w:pPr>
        <w:spacing w:after="0" w:line="240" w:lineRule="auto"/>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49" w:lineRule="auto" w:before="101"/>
        <w:ind w:left="278" w:right="2262"/>
        <w:jc w:val="both"/>
      </w:pPr>
      <w:r>
        <w:rPr/>
        <w:t>Quota 100, l’effetto complessivo è di un incremento dello 0,3 per cento nell’anno. Nel triennio 2020-2022 la spesa per redditi aumenta in media dello 0,6 per cento. L’incidenza</w:t>
      </w:r>
      <w:r>
        <w:rPr>
          <w:spacing w:val="-7"/>
        </w:rPr>
        <w:t> </w:t>
      </w:r>
      <w:r>
        <w:rPr/>
        <w:t>sul</w:t>
      </w:r>
      <w:r>
        <w:rPr>
          <w:spacing w:val="-7"/>
        </w:rPr>
        <w:t> </w:t>
      </w:r>
      <w:r>
        <w:rPr/>
        <w:t>PIL</w:t>
      </w:r>
      <w:r>
        <w:rPr>
          <w:spacing w:val="-7"/>
        </w:rPr>
        <w:t> </w:t>
      </w:r>
      <w:r>
        <w:rPr/>
        <w:t>risulta</w:t>
      </w:r>
      <w:r>
        <w:rPr>
          <w:spacing w:val="-5"/>
        </w:rPr>
        <w:t> </w:t>
      </w:r>
      <w:r>
        <w:rPr/>
        <w:t>pertanto</w:t>
      </w:r>
      <w:r>
        <w:rPr>
          <w:spacing w:val="-5"/>
        </w:rPr>
        <w:t> </w:t>
      </w:r>
      <w:r>
        <w:rPr/>
        <w:t>in</w:t>
      </w:r>
      <w:r>
        <w:rPr>
          <w:spacing w:val="-6"/>
        </w:rPr>
        <w:t> </w:t>
      </w:r>
      <w:r>
        <w:rPr/>
        <w:t>calo,</w:t>
      </w:r>
      <w:r>
        <w:rPr>
          <w:spacing w:val="-3"/>
        </w:rPr>
        <w:t> </w:t>
      </w:r>
      <w:r>
        <w:rPr/>
        <w:t>dal</w:t>
      </w:r>
      <w:r>
        <w:rPr>
          <w:spacing w:val="-7"/>
        </w:rPr>
        <w:t> </w:t>
      </w:r>
      <w:r>
        <w:rPr/>
        <w:t>9,7</w:t>
      </w:r>
      <w:r>
        <w:rPr>
          <w:spacing w:val="-3"/>
        </w:rPr>
        <w:t> </w:t>
      </w:r>
      <w:r>
        <w:rPr/>
        <w:t>del</w:t>
      </w:r>
      <w:r>
        <w:rPr>
          <w:spacing w:val="-7"/>
        </w:rPr>
        <w:t> </w:t>
      </w:r>
      <w:r>
        <w:rPr/>
        <w:t>2019</w:t>
      </w:r>
      <w:r>
        <w:rPr>
          <w:spacing w:val="-5"/>
        </w:rPr>
        <w:t> </w:t>
      </w:r>
      <w:r>
        <w:rPr/>
        <w:t>al</w:t>
      </w:r>
      <w:r>
        <w:rPr>
          <w:spacing w:val="-6"/>
        </w:rPr>
        <w:t> </w:t>
      </w:r>
      <w:r>
        <w:rPr/>
        <w:t>9,2</w:t>
      </w:r>
      <w:r>
        <w:rPr>
          <w:spacing w:val="-7"/>
        </w:rPr>
        <w:t> </w:t>
      </w:r>
      <w:r>
        <w:rPr/>
        <w:t>per</w:t>
      </w:r>
      <w:r>
        <w:rPr>
          <w:spacing w:val="-6"/>
        </w:rPr>
        <w:t> </w:t>
      </w:r>
      <w:r>
        <w:rPr/>
        <w:t>cento</w:t>
      </w:r>
      <w:r>
        <w:rPr>
          <w:spacing w:val="-3"/>
        </w:rPr>
        <w:t> </w:t>
      </w:r>
      <w:r>
        <w:rPr/>
        <w:t>del</w:t>
      </w:r>
      <w:r>
        <w:rPr>
          <w:spacing w:val="-4"/>
        </w:rPr>
        <w:t> </w:t>
      </w:r>
      <w:r>
        <w:rPr/>
        <w:t>PIL nel 2022, confermando sostanzialmente le proiezioni del</w:t>
      </w:r>
      <w:r>
        <w:rPr>
          <w:spacing w:val="-4"/>
        </w:rPr>
        <w:t> </w:t>
      </w:r>
      <w:r>
        <w:rPr/>
        <w:t>DEF.</w:t>
      </w:r>
    </w:p>
    <w:p>
      <w:pPr>
        <w:pStyle w:val="BodyText"/>
        <w:spacing w:line="247" w:lineRule="auto" w:before="3"/>
        <w:ind w:left="278" w:right="2262" w:firstLine="453"/>
        <w:jc w:val="both"/>
      </w:pPr>
      <w:r>
        <w:rPr/>
        <w:t>I consumi intermedi sono attesi scendere in rapporto al PIL, dall’8,2 per cento del 2019 all’8,0 per cento del 2022.</w:t>
      </w:r>
    </w:p>
    <w:p>
      <w:pPr>
        <w:pStyle w:val="BodyText"/>
        <w:spacing w:line="249" w:lineRule="auto" w:before="4"/>
        <w:ind w:left="278" w:right="2260" w:firstLine="453"/>
        <w:jc w:val="both"/>
      </w:pPr>
      <w:r>
        <w:rPr/>
        <w:t>L’evoluzione degli investimenti fissi lordi nel 2019 mostra una ripresa dell’attività di spesa, con una crescita nominale del 7,7 per cento, sostenuta dai numerosi interventi messi in campo negli ultimi anni per rilanciare la spesa, fra cui gli stanziamenti pluriennali per la realizzazione di opere che riducano il rischio idrogeologico</w:t>
      </w:r>
      <w:r>
        <w:rPr>
          <w:spacing w:val="-5"/>
        </w:rPr>
        <w:t> </w:t>
      </w:r>
      <w:r>
        <w:rPr/>
        <w:t>e</w:t>
      </w:r>
      <w:r>
        <w:rPr>
          <w:spacing w:val="-4"/>
        </w:rPr>
        <w:t> </w:t>
      </w:r>
      <w:r>
        <w:rPr/>
        <w:t>lo</w:t>
      </w:r>
      <w:r>
        <w:rPr>
          <w:spacing w:val="-5"/>
        </w:rPr>
        <w:t> </w:t>
      </w:r>
      <w:r>
        <w:rPr/>
        <w:t>sblocco</w:t>
      </w:r>
      <w:r>
        <w:rPr>
          <w:spacing w:val="-5"/>
        </w:rPr>
        <w:t> </w:t>
      </w:r>
      <w:r>
        <w:rPr/>
        <w:t>degli</w:t>
      </w:r>
      <w:r>
        <w:rPr>
          <w:spacing w:val="-5"/>
        </w:rPr>
        <w:t> </w:t>
      </w:r>
      <w:r>
        <w:rPr/>
        <w:t>avanzi</w:t>
      </w:r>
      <w:r>
        <w:rPr>
          <w:spacing w:val="-4"/>
        </w:rPr>
        <w:t> </w:t>
      </w:r>
      <w:r>
        <w:rPr/>
        <w:t>di</w:t>
      </w:r>
      <w:r>
        <w:rPr>
          <w:spacing w:val="-4"/>
        </w:rPr>
        <w:t> </w:t>
      </w:r>
      <w:r>
        <w:rPr/>
        <w:t>amministrazione</w:t>
      </w:r>
      <w:r>
        <w:rPr>
          <w:spacing w:val="-5"/>
        </w:rPr>
        <w:t> </w:t>
      </w:r>
      <w:r>
        <w:rPr/>
        <w:t>degli</w:t>
      </w:r>
      <w:r>
        <w:rPr>
          <w:spacing w:val="-5"/>
        </w:rPr>
        <w:t> </w:t>
      </w:r>
      <w:r>
        <w:rPr/>
        <w:t>Enti</w:t>
      </w:r>
      <w:r>
        <w:rPr>
          <w:spacing w:val="-5"/>
        </w:rPr>
        <w:t> </w:t>
      </w:r>
      <w:r>
        <w:rPr/>
        <w:t>territoriali</w:t>
      </w:r>
      <w:r>
        <w:rPr>
          <w:spacing w:val="-2"/>
        </w:rPr>
        <w:t> </w:t>
      </w:r>
      <w:r>
        <w:rPr/>
        <w:t>per la</w:t>
      </w:r>
      <w:r>
        <w:rPr>
          <w:spacing w:val="-5"/>
        </w:rPr>
        <w:t> </w:t>
      </w:r>
      <w:r>
        <w:rPr/>
        <w:t>realizzazione</w:t>
      </w:r>
      <w:r>
        <w:rPr>
          <w:spacing w:val="-5"/>
        </w:rPr>
        <w:t> </w:t>
      </w:r>
      <w:r>
        <w:rPr/>
        <w:t>di</w:t>
      </w:r>
      <w:r>
        <w:rPr>
          <w:spacing w:val="-7"/>
        </w:rPr>
        <w:t> </w:t>
      </w:r>
      <w:r>
        <w:rPr/>
        <w:t>opere</w:t>
      </w:r>
      <w:r>
        <w:rPr>
          <w:spacing w:val="-6"/>
        </w:rPr>
        <w:t> </w:t>
      </w:r>
      <w:r>
        <w:rPr/>
        <w:t>pubbliche.</w:t>
      </w:r>
      <w:r>
        <w:rPr>
          <w:spacing w:val="-6"/>
        </w:rPr>
        <w:t> </w:t>
      </w:r>
      <w:r>
        <w:rPr/>
        <w:t>Nel</w:t>
      </w:r>
      <w:r>
        <w:rPr>
          <w:spacing w:val="-6"/>
        </w:rPr>
        <w:t> </w:t>
      </w:r>
      <w:r>
        <w:rPr/>
        <w:t>2020,</w:t>
      </w:r>
      <w:r>
        <w:rPr>
          <w:spacing w:val="-6"/>
        </w:rPr>
        <w:t> </w:t>
      </w:r>
      <w:r>
        <w:rPr/>
        <w:t>la</w:t>
      </w:r>
      <w:r>
        <w:rPr>
          <w:spacing w:val="-10"/>
        </w:rPr>
        <w:t> </w:t>
      </w:r>
      <w:r>
        <w:rPr/>
        <w:t>crescita</w:t>
      </w:r>
      <w:r>
        <w:rPr>
          <w:spacing w:val="-6"/>
        </w:rPr>
        <w:t> </w:t>
      </w:r>
      <w:r>
        <w:rPr/>
        <w:t>degli</w:t>
      </w:r>
      <w:r>
        <w:rPr>
          <w:spacing w:val="-5"/>
        </w:rPr>
        <w:t> </w:t>
      </w:r>
      <w:r>
        <w:rPr/>
        <w:t>investimenti</w:t>
      </w:r>
      <w:r>
        <w:rPr>
          <w:spacing w:val="-5"/>
        </w:rPr>
        <w:t> </w:t>
      </w:r>
      <w:r>
        <w:rPr/>
        <w:t>è</w:t>
      </w:r>
      <w:r>
        <w:rPr>
          <w:spacing w:val="-3"/>
        </w:rPr>
        <w:t> </w:t>
      </w:r>
      <w:r>
        <w:rPr/>
        <w:t>meno sostenuta, al 3,7 per cento, mentre il 2021 registrerà un rafforzamento della crescita al 9,5 per cento. In rapporto al PIL, gli investimenti saliranno dal 2,1 per cento</w:t>
      </w:r>
      <w:r>
        <w:rPr>
          <w:spacing w:val="-7"/>
        </w:rPr>
        <w:t> </w:t>
      </w:r>
      <w:r>
        <w:rPr/>
        <w:t>del</w:t>
      </w:r>
      <w:r>
        <w:rPr>
          <w:spacing w:val="-6"/>
        </w:rPr>
        <w:t> </w:t>
      </w:r>
      <w:r>
        <w:rPr/>
        <w:t>2018</w:t>
      </w:r>
      <w:r>
        <w:rPr>
          <w:spacing w:val="-7"/>
        </w:rPr>
        <w:t> </w:t>
      </w:r>
      <w:r>
        <w:rPr/>
        <w:t>al</w:t>
      </w:r>
      <w:r>
        <w:rPr>
          <w:spacing w:val="-6"/>
        </w:rPr>
        <w:t> </w:t>
      </w:r>
      <w:r>
        <w:rPr/>
        <w:t>2,3</w:t>
      </w:r>
      <w:r>
        <w:rPr>
          <w:spacing w:val="-7"/>
        </w:rPr>
        <w:t> </w:t>
      </w:r>
      <w:r>
        <w:rPr/>
        <w:t>per</w:t>
      </w:r>
      <w:r>
        <w:rPr>
          <w:spacing w:val="-5"/>
        </w:rPr>
        <w:t> </w:t>
      </w:r>
      <w:r>
        <w:rPr/>
        <w:t>cento</w:t>
      </w:r>
      <w:r>
        <w:rPr>
          <w:spacing w:val="-6"/>
        </w:rPr>
        <w:t> </w:t>
      </w:r>
      <w:r>
        <w:rPr/>
        <w:t>nel</w:t>
      </w:r>
      <w:r>
        <w:rPr>
          <w:spacing w:val="-6"/>
        </w:rPr>
        <w:t> </w:t>
      </w:r>
      <w:r>
        <w:rPr/>
        <w:t>2019</w:t>
      </w:r>
      <w:r>
        <w:rPr>
          <w:spacing w:val="-7"/>
        </w:rPr>
        <w:t> </w:t>
      </w:r>
      <w:r>
        <w:rPr/>
        <w:t>e</w:t>
      </w:r>
      <w:r>
        <w:rPr>
          <w:spacing w:val="-6"/>
        </w:rPr>
        <w:t> </w:t>
      </w:r>
      <w:r>
        <w:rPr/>
        <w:t>si</w:t>
      </w:r>
      <w:r>
        <w:rPr>
          <w:spacing w:val="-6"/>
        </w:rPr>
        <w:t> </w:t>
      </w:r>
      <w:r>
        <w:rPr/>
        <w:t>collocheranno</w:t>
      </w:r>
      <w:r>
        <w:rPr>
          <w:spacing w:val="-7"/>
        </w:rPr>
        <w:t> </w:t>
      </w:r>
      <w:r>
        <w:rPr/>
        <w:t>attorno</w:t>
      </w:r>
      <w:r>
        <w:rPr>
          <w:spacing w:val="-7"/>
        </w:rPr>
        <w:t> </w:t>
      </w:r>
      <w:r>
        <w:rPr/>
        <w:t>al</w:t>
      </w:r>
      <w:r>
        <w:rPr>
          <w:spacing w:val="-6"/>
        </w:rPr>
        <w:t> </w:t>
      </w:r>
      <w:r>
        <w:rPr/>
        <w:t>2,4</w:t>
      </w:r>
      <w:r>
        <w:rPr>
          <w:spacing w:val="-6"/>
        </w:rPr>
        <w:t> </w:t>
      </w:r>
      <w:r>
        <w:rPr/>
        <w:t>per</w:t>
      </w:r>
      <w:r>
        <w:rPr>
          <w:spacing w:val="-5"/>
        </w:rPr>
        <w:t> </w:t>
      </w:r>
      <w:r>
        <w:rPr/>
        <w:t>cento in media nel periodo</w:t>
      </w:r>
      <w:r>
        <w:rPr>
          <w:spacing w:val="-4"/>
        </w:rPr>
        <w:t> </w:t>
      </w:r>
      <w:r>
        <w:rPr/>
        <w:t>2020-2022.</w:t>
      </w:r>
    </w:p>
    <w:p>
      <w:pPr>
        <w:spacing w:after="0" w:line="249" w:lineRule="auto"/>
        <w:jc w:val="both"/>
        <w:sectPr>
          <w:pgSz w:w="11910" w:h="16840"/>
          <w:pgMar w:header="838" w:footer="866" w:top="1100" w:bottom="1060" w:left="1140" w:right="0"/>
        </w:sectPr>
      </w:pPr>
    </w:p>
    <w:p>
      <w:pPr>
        <w:pStyle w:val="BodyText"/>
        <w:rPr>
          <w:sz w:val="20"/>
        </w:rPr>
      </w:pPr>
    </w:p>
    <w:p>
      <w:pPr>
        <w:pStyle w:val="BodyText"/>
        <w:rPr>
          <w:sz w:val="20"/>
        </w:rPr>
      </w:pPr>
    </w:p>
    <w:p>
      <w:pPr>
        <w:pStyle w:val="BodyText"/>
        <w:rPr>
          <w:sz w:val="20"/>
        </w:rPr>
      </w:pPr>
    </w:p>
    <w:p>
      <w:pPr>
        <w:pStyle w:val="BodyText"/>
        <w:spacing w:before="3" w:after="1"/>
        <w:rPr>
          <w:sz w:val="17"/>
        </w:rPr>
      </w:pPr>
    </w:p>
    <w:tbl>
      <w:tblPr>
        <w:tblW w:w="0" w:type="auto"/>
        <w:jc w:val="left"/>
        <w:tblInd w:w="1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47"/>
        <w:gridCol w:w="1090"/>
        <w:gridCol w:w="847"/>
        <w:gridCol w:w="919"/>
        <w:gridCol w:w="932"/>
        <w:gridCol w:w="785"/>
      </w:tblGrid>
      <w:tr>
        <w:trPr>
          <w:trHeight w:val="207" w:hRule="atLeast"/>
        </w:trPr>
        <w:tc>
          <w:tcPr>
            <w:tcW w:w="8220" w:type="dxa"/>
            <w:gridSpan w:val="6"/>
            <w:shd w:val="clear" w:color="auto" w:fill="086D44"/>
          </w:tcPr>
          <w:p>
            <w:pPr>
              <w:pStyle w:val="TableParagraph"/>
              <w:spacing w:line="171" w:lineRule="exact" w:before="17"/>
              <w:ind w:left="28"/>
              <w:jc w:val="left"/>
              <w:rPr>
                <w:rFonts w:ascii="Franklin Gothic Heavy"/>
                <w:b/>
                <w:sz w:val="17"/>
              </w:rPr>
            </w:pPr>
            <w:r>
              <w:rPr>
                <w:rFonts w:ascii="Franklin Gothic Heavy"/>
                <w:b/>
                <w:color w:val="EFEFEF"/>
                <w:sz w:val="17"/>
              </w:rPr>
              <w:t>TAVOLA III.1a: CONTO DELLA PA A LEGISLAZIONE VIGENTE (in milioni)</w:t>
            </w:r>
          </w:p>
        </w:tc>
      </w:tr>
      <w:tr>
        <w:trPr>
          <w:trHeight w:val="269" w:hRule="atLeast"/>
        </w:trPr>
        <w:tc>
          <w:tcPr>
            <w:tcW w:w="3647" w:type="dxa"/>
            <w:tcBorders>
              <w:top w:val="single" w:sz="24" w:space="0" w:color="086D44"/>
              <w:bottom w:val="single" w:sz="2" w:space="0" w:color="000000"/>
            </w:tcBorders>
          </w:tcPr>
          <w:p>
            <w:pPr>
              <w:pStyle w:val="TableParagraph"/>
              <w:jc w:val="left"/>
              <w:rPr>
                <w:rFonts w:ascii="Times New Roman"/>
                <w:sz w:val="16"/>
              </w:rPr>
            </w:pPr>
          </w:p>
        </w:tc>
        <w:tc>
          <w:tcPr>
            <w:tcW w:w="1090" w:type="dxa"/>
            <w:tcBorders>
              <w:top w:val="single" w:sz="24" w:space="0" w:color="086D44"/>
              <w:bottom w:val="single" w:sz="2" w:space="0" w:color="000000"/>
            </w:tcBorders>
          </w:tcPr>
          <w:p>
            <w:pPr>
              <w:pStyle w:val="TableParagraph"/>
              <w:spacing w:before="32"/>
              <w:ind w:right="100"/>
              <w:rPr>
                <w:sz w:val="17"/>
              </w:rPr>
            </w:pPr>
            <w:r>
              <w:rPr>
                <w:sz w:val="17"/>
              </w:rPr>
              <w:t>2018</w:t>
            </w:r>
          </w:p>
        </w:tc>
        <w:tc>
          <w:tcPr>
            <w:tcW w:w="847" w:type="dxa"/>
            <w:tcBorders>
              <w:top w:val="single" w:sz="24" w:space="0" w:color="086D44"/>
              <w:bottom w:val="single" w:sz="2" w:space="0" w:color="000000"/>
            </w:tcBorders>
          </w:tcPr>
          <w:p>
            <w:pPr>
              <w:pStyle w:val="TableParagraph"/>
              <w:spacing w:before="32"/>
              <w:ind w:right="100"/>
              <w:rPr>
                <w:sz w:val="17"/>
              </w:rPr>
            </w:pPr>
            <w:r>
              <w:rPr>
                <w:sz w:val="17"/>
              </w:rPr>
              <w:t>2019</w:t>
            </w:r>
          </w:p>
        </w:tc>
        <w:tc>
          <w:tcPr>
            <w:tcW w:w="919" w:type="dxa"/>
            <w:tcBorders>
              <w:top w:val="single" w:sz="24" w:space="0" w:color="086D44"/>
              <w:bottom w:val="single" w:sz="2" w:space="0" w:color="000000"/>
            </w:tcBorders>
          </w:tcPr>
          <w:p>
            <w:pPr>
              <w:pStyle w:val="TableParagraph"/>
              <w:spacing w:before="32"/>
              <w:ind w:right="173"/>
              <w:rPr>
                <w:sz w:val="17"/>
              </w:rPr>
            </w:pPr>
            <w:r>
              <w:rPr>
                <w:sz w:val="17"/>
              </w:rPr>
              <w:t>2020</w:t>
            </w:r>
          </w:p>
        </w:tc>
        <w:tc>
          <w:tcPr>
            <w:tcW w:w="932" w:type="dxa"/>
            <w:tcBorders>
              <w:top w:val="single" w:sz="24" w:space="0" w:color="086D44"/>
              <w:bottom w:val="single" w:sz="2" w:space="0" w:color="000000"/>
            </w:tcBorders>
          </w:tcPr>
          <w:p>
            <w:pPr>
              <w:pStyle w:val="TableParagraph"/>
              <w:spacing w:before="32"/>
              <w:ind w:right="116"/>
              <w:rPr>
                <w:sz w:val="17"/>
              </w:rPr>
            </w:pPr>
            <w:r>
              <w:rPr>
                <w:sz w:val="17"/>
              </w:rPr>
              <w:t>2021</w:t>
            </w:r>
          </w:p>
        </w:tc>
        <w:tc>
          <w:tcPr>
            <w:tcW w:w="785" w:type="dxa"/>
            <w:tcBorders>
              <w:top w:val="single" w:sz="24" w:space="0" w:color="086D44"/>
              <w:bottom w:val="single" w:sz="2" w:space="0" w:color="000000"/>
            </w:tcBorders>
          </w:tcPr>
          <w:p>
            <w:pPr>
              <w:pStyle w:val="TableParagraph"/>
              <w:spacing w:before="32"/>
              <w:ind w:right="23"/>
              <w:rPr>
                <w:sz w:val="17"/>
              </w:rPr>
            </w:pPr>
            <w:r>
              <w:rPr>
                <w:sz w:val="17"/>
              </w:rPr>
              <w:t>2022</w:t>
            </w:r>
          </w:p>
        </w:tc>
      </w:tr>
      <w:tr>
        <w:trPr>
          <w:trHeight w:val="351" w:hRule="atLeast"/>
        </w:trPr>
        <w:tc>
          <w:tcPr>
            <w:tcW w:w="3647" w:type="dxa"/>
            <w:tcBorders>
              <w:top w:val="single" w:sz="2" w:space="0" w:color="000000"/>
            </w:tcBorders>
          </w:tcPr>
          <w:p>
            <w:pPr>
              <w:pStyle w:val="TableParagraph"/>
              <w:spacing w:before="127"/>
              <w:jc w:val="left"/>
              <w:rPr>
                <w:sz w:val="17"/>
              </w:rPr>
            </w:pPr>
            <w:r>
              <w:rPr>
                <w:sz w:val="17"/>
              </w:rPr>
              <w:t>SPESE</w:t>
            </w:r>
          </w:p>
        </w:tc>
        <w:tc>
          <w:tcPr>
            <w:tcW w:w="1090" w:type="dxa"/>
            <w:tcBorders>
              <w:top w:val="single" w:sz="2" w:space="0" w:color="000000"/>
            </w:tcBorders>
          </w:tcPr>
          <w:p>
            <w:pPr>
              <w:pStyle w:val="TableParagraph"/>
              <w:jc w:val="left"/>
              <w:rPr>
                <w:rFonts w:ascii="Times New Roman"/>
                <w:sz w:val="16"/>
              </w:rPr>
            </w:pPr>
          </w:p>
        </w:tc>
        <w:tc>
          <w:tcPr>
            <w:tcW w:w="847" w:type="dxa"/>
            <w:tcBorders>
              <w:top w:val="single" w:sz="2" w:space="0" w:color="000000"/>
            </w:tcBorders>
          </w:tcPr>
          <w:p>
            <w:pPr>
              <w:pStyle w:val="TableParagraph"/>
              <w:jc w:val="left"/>
              <w:rPr>
                <w:rFonts w:ascii="Times New Roman"/>
                <w:sz w:val="16"/>
              </w:rPr>
            </w:pPr>
          </w:p>
        </w:tc>
        <w:tc>
          <w:tcPr>
            <w:tcW w:w="919" w:type="dxa"/>
            <w:tcBorders>
              <w:top w:val="single" w:sz="2" w:space="0" w:color="000000"/>
            </w:tcBorders>
          </w:tcPr>
          <w:p>
            <w:pPr>
              <w:pStyle w:val="TableParagraph"/>
              <w:jc w:val="left"/>
              <w:rPr>
                <w:rFonts w:ascii="Times New Roman"/>
                <w:sz w:val="16"/>
              </w:rPr>
            </w:pPr>
          </w:p>
        </w:tc>
        <w:tc>
          <w:tcPr>
            <w:tcW w:w="932" w:type="dxa"/>
            <w:tcBorders>
              <w:top w:val="single" w:sz="2" w:space="0" w:color="000000"/>
            </w:tcBorders>
          </w:tcPr>
          <w:p>
            <w:pPr>
              <w:pStyle w:val="TableParagraph"/>
              <w:jc w:val="left"/>
              <w:rPr>
                <w:rFonts w:ascii="Times New Roman"/>
                <w:sz w:val="16"/>
              </w:rPr>
            </w:pPr>
          </w:p>
        </w:tc>
        <w:tc>
          <w:tcPr>
            <w:tcW w:w="785" w:type="dxa"/>
            <w:tcBorders>
              <w:top w:val="single" w:sz="2" w:space="0" w:color="000000"/>
            </w:tcBorders>
          </w:tcPr>
          <w:p>
            <w:pPr>
              <w:pStyle w:val="TableParagraph"/>
              <w:jc w:val="left"/>
              <w:rPr>
                <w:rFonts w:ascii="Times New Roman"/>
                <w:sz w:val="16"/>
              </w:rPr>
            </w:pPr>
          </w:p>
        </w:tc>
      </w:tr>
      <w:tr>
        <w:trPr>
          <w:trHeight w:val="264" w:hRule="atLeast"/>
        </w:trPr>
        <w:tc>
          <w:tcPr>
            <w:tcW w:w="3647" w:type="dxa"/>
          </w:tcPr>
          <w:p>
            <w:pPr>
              <w:pStyle w:val="TableParagraph"/>
              <w:spacing w:before="32"/>
              <w:jc w:val="left"/>
              <w:rPr>
                <w:sz w:val="17"/>
              </w:rPr>
            </w:pPr>
            <w:r>
              <w:rPr>
                <w:sz w:val="17"/>
              </w:rPr>
              <w:t>Redditi da lavoro dipendente</w:t>
            </w:r>
          </w:p>
        </w:tc>
        <w:tc>
          <w:tcPr>
            <w:tcW w:w="1090" w:type="dxa"/>
          </w:tcPr>
          <w:p>
            <w:pPr>
              <w:pStyle w:val="TableParagraph"/>
              <w:spacing w:before="32"/>
              <w:ind w:right="101"/>
              <w:rPr>
                <w:sz w:val="17"/>
              </w:rPr>
            </w:pPr>
            <w:r>
              <w:rPr>
                <w:sz w:val="17"/>
              </w:rPr>
              <w:t>172.362</w:t>
            </w:r>
          </w:p>
        </w:tc>
        <w:tc>
          <w:tcPr>
            <w:tcW w:w="847" w:type="dxa"/>
          </w:tcPr>
          <w:p>
            <w:pPr>
              <w:pStyle w:val="TableParagraph"/>
              <w:spacing w:before="32"/>
              <w:ind w:right="100"/>
              <w:rPr>
                <w:sz w:val="17"/>
              </w:rPr>
            </w:pPr>
            <w:r>
              <w:rPr>
                <w:sz w:val="17"/>
              </w:rPr>
              <w:t>172.902</w:t>
            </w:r>
          </w:p>
        </w:tc>
        <w:tc>
          <w:tcPr>
            <w:tcW w:w="919" w:type="dxa"/>
          </w:tcPr>
          <w:p>
            <w:pPr>
              <w:pStyle w:val="TableParagraph"/>
              <w:spacing w:before="32"/>
              <w:ind w:right="172"/>
              <w:rPr>
                <w:sz w:val="17"/>
              </w:rPr>
            </w:pPr>
            <w:r>
              <w:rPr>
                <w:sz w:val="17"/>
              </w:rPr>
              <w:t>174.611</w:t>
            </w:r>
          </w:p>
        </w:tc>
        <w:tc>
          <w:tcPr>
            <w:tcW w:w="932" w:type="dxa"/>
          </w:tcPr>
          <w:p>
            <w:pPr>
              <w:pStyle w:val="TableParagraph"/>
              <w:spacing w:before="32"/>
              <w:ind w:right="115"/>
              <w:rPr>
                <w:sz w:val="17"/>
              </w:rPr>
            </w:pPr>
            <w:r>
              <w:rPr>
                <w:sz w:val="17"/>
              </w:rPr>
              <w:t>174.282</w:t>
            </w:r>
          </w:p>
        </w:tc>
        <w:tc>
          <w:tcPr>
            <w:tcW w:w="785" w:type="dxa"/>
          </w:tcPr>
          <w:p>
            <w:pPr>
              <w:pStyle w:val="TableParagraph"/>
              <w:spacing w:before="32"/>
              <w:ind w:right="24"/>
              <w:rPr>
                <w:sz w:val="17"/>
              </w:rPr>
            </w:pPr>
            <w:r>
              <w:rPr>
                <w:sz w:val="17"/>
              </w:rPr>
              <w:t>175.859</w:t>
            </w:r>
          </w:p>
        </w:tc>
      </w:tr>
      <w:tr>
        <w:trPr>
          <w:trHeight w:val="272" w:hRule="atLeast"/>
        </w:trPr>
        <w:tc>
          <w:tcPr>
            <w:tcW w:w="3647" w:type="dxa"/>
          </w:tcPr>
          <w:p>
            <w:pPr>
              <w:pStyle w:val="TableParagraph"/>
              <w:spacing w:before="39"/>
              <w:jc w:val="left"/>
              <w:rPr>
                <w:sz w:val="17"/>
              </w:rPr>
            </w:pPr>
            <w:r>
              <w:rPr>
                <w:sz w:val="17"/>
              </w:rPr>
              <w:t>Consumi intermedi</w:t>
            </w:r>
          </w:p>
        </w:tc>
        <w:tc>
          <w:tcPr>
            <w:tcW w:w="1090" w:type="dxa"/>
          </w:tcPr>
          <w:p>
            <w:pPr>
              <w:pStyle w:val="TableParagraph"/>
              <w:spacing w:before="39"/>
              <w:ind w:right="101"/>
              <w:rPr>
                <w:sz w:val="17"/>
              </w:rPr>
            </w:pPr>
            <w:r>
              <w:rPr>
                <w:sz w:val="17"/>
              </w:rPr>
              <w:t>146.681</w:t>
            </w:r>
          </w:p>
        </w:tc>
        <w:tc>
          <w:tcPr>
            <w:tcW w:w="847" w:type="dxa"/>
          </w:tcPr>
          <w:p>
            <w:pPr>
              <w:pStyle w:val="TableParagraph"/>
              <w:spacing w:before="39"/>
              <w:ind w:right="100"/>
              <w:rPr>
                <w:sz w:val="17"/>
              </w:rPr>
            </w:pPr>
            <w:r>
              <w:rPr>
                <w:sz w:val="17"/>
              </w:rPr>
              <w:t>146.967</w:t>
            </w:r>
          </w:p>
        </w:tc>
        <w:tc>
          <w:tcPr>
            <w:tcW w:w="919" w:type="dxa"/>
          </w:tcPr>
          <w:p>
            <w:pPr>
              <w:pStyle w:val="TableParagraph"/>
              <w:spacing w:before="39"/>
              <w:ind w:right="172"/>
              <w:rPr>
                <w:sz w:val="17"/>
              </w:rPr>
            </w:pPr>
            <w:r>
              <w:rPr>
                <w:sz w:val="17"/>
              </w:rPr>
              <w:t>150.240</w:t>
            </w:r>
          </w:p>
        </w:tc>
        <w:tc>
          <w:tcPr>
            <w:tcW w:w="932" w:type="dxa"/>
          </w:tcPr>
          <w:p>
            <w:pPr>
              <w:pStyle w:val="TableParagraph"/>
              <w:spacing w:before="39"/>
              <w:ind w:right="115"/>
              <w:rPr>
                <w:sz w:val="17"/>
              </w:rPr>
            </w:pPr>
            <w:r>
              <w:rPr>
                <w:sz w:val="17"/>
              </w:rPr>
              <w:t>151.217</w:t>
            </w:r>
          </w:p>
        </w:tc>
        <w:tc>
          <w:tcPr>
            <w:tcW w:w="785" w:type="dxa"/>
          </w:tcPr>
          <w:p>
            <w:pPr>
              <w:pStyle w:val="TableParagraph"/>
              <w:spacing w:before="39"/>
              <w:ind w:right="24"/>
              <w:rPr>
                <w:sz w:val="17"/>
              </w:rPr>
            </w:pPr>
            <w:r>
              <w:rPr>
                <w:sz w:val="17"/>
              </w:rPr>
              <w:t>152.848</w:t>
            </w:r>
          </w:p>
        </w:tc>
      </w:tr>
      <w:tr>
        <w:trPr>
          <w:trHeight w:val="273" w:hRule="atLeast"/>
        </w:trPr>
        <w:tc>
          <w:tcPr>
            <w:tcW w:w="3647" w:type="dxa"/>
          </w:tcPr>
          <w:p>
            <w:pPr>
              <w:pStyle w:val="TableParagraph"/>
              <w:spacing w:before="40"/>
              <w:jc w:val="left"/>
              <w:rPr>
                <w:sz w:val="17"/>
              </w:rPr>
            </w:pPr>
            <w:r>
              <w:rPr>
                <w:sz w:val="17"/>
              </w:rPr>
              <w:t>Prestazioni sociali</w:t>
            </w:r>
          </w:p>
        </w:tc>
        <w:tc>
          <w:tcPr>
            <w:tcW w:w="1090" w:type="dxa"/>
          </w:tcPr>
          <w:p>
            <w:pPr>
              <w:pStyle w:val="TableParagraph"/>
              <w:spacing w:before="40"/>
              <w:ind w:right="101"/>
              <w:rPr>
                <w:sz w:val="17"/>
              </w:rPr>
            </w:pPr>
            <w:r>
              <w:rPr>
                <w:sz w:val="17"/>
              </w:rPr>
              <w:t>348.794</w:t>
            </w:r>
          </w:p>
        </w:tc>
        <w:tc>
          <w:tcPr>
            <w:tcW w:w="847" w:type="dxa"/>
          </w:tcPr>
          <w:p>
            <w:pPr>
              <w:pStyle w:val="TableParagraph"/>
              <w:spacing w:before="40"/>
              <w:ind w:right="100"/>
              <w:rPr>
                <w:sz w:val="17"/>
              </w:rPr>
            </w:pPr>
            <w:r>
              <w:rPr>
                <w:sz w:val="17"/>
              </w:rPr>
              <w:t>362.520</w:t>
            </w:r>
          </w:p>
        </w:tc>
        <w:tc>
          <w:tcPr>
            <w:tcW w:w="919" w:type="dxa"/>
          </w:tcPr>
          <w:p>
            <w:pPr>
              <w:pStyle w:val="TableParagraph"/>
              <w:spacing w:before="40"/>
              <w:ind w:right="172"/>
              <w:rPr>
                <w:sz w:val="17"/>
              </w:rPr>
            </w:pPr>
            <w:r>
              <w:rPr>
                <w:sz w:val="17"/>
              </w:rPr>
              <w:t>374.460</w:t>
            </w:r>
          </w:p>
        </w:tc>
        <w:tc>
          <w:tcPr>
            <w:tcW w:w="932" w:type="dxa"/>
          </w:tcPr>
          <w:p>
            <w:pPr>
              <w:pStyle w:val="TableParagraph"/>
              <w:spacing w:before="40"/>
              <w:ind w:right="115"/>
              <w:rPr>
                <w:sz w:val="17"/>
              </w:rPr>
            </w:pPr>
            <w:r>
              <w:rPr>
                <w:sz w:val="17"/>
              </w:rPr>
              <w:t>386.390</w:t>
            </w:r>
          </w:p>
        </w:tc>
        <w:tc>
          <w:tcPr>
            <w:tcW w:w="785" w:type="dxa"/>
          </w:tcPr>
          <w:p>
            <w:pPr>
              <w:pStyle w:val="TableParagraph"/>
              <w:spacing w:before="40"/>
              <w:ind w:right="24"/>
              <w:rPr>
                <w:sz w:val="17"/>
              </w:rPr>
            </w:pPr>
            <w:r>
              <w:rPr>
                <w:sz w:val="17"/>
              </w:rPr>
              <w:t>395.990</w:t>
            </w:r>
          </w:p>
        </w:tc>
      </w:tr>
      <w:tr>
        <w:trPr>
          <w:trHeight w:val="273" w:hRule="atLeast"/>
        </w:trPr>
        <w:tc>
          <w:tcPr>
            <w:tcW w:w="3647" w:type="dxa"/>
          </w:tcPr>
          <w:p>
            <w:pPr>
              <w:pStyle w:val="TableParagraph"/>
              <w:tabs>
                <w:tab w:pos="707" w:val="left" w:leader="none"/>
              </w:tabs>
              <w:spacing w:before="40"/>
              <w:jc w:val="left"/>
              <w:rPr>
                <w:sz w:val="17"/>
              </w:rPr>
            </w:pPr>
            <w:r>
              <w:rPr>
                <w:sz w:val="17"/>
              </w:rPr>
              <w:t>di</w:t>
            </w:r>
            <w:r>
              <w:rPr>
                <w:spacing w:val="-2"/>
                <w:sz w:val="17"/>
              </w:rPr>
              <w:t> </w:t>
            </w:r>
            <w:r>
              <w:rPr>
                <w:sz w:val="17"/>
              </w:rPr>
              <w:t>cui:</w:t>
              <w:tab/>
              <w:t>Pensioni</w:t>
            </w:r>
          </w:p>
        </w:tc>
        <w:tc>
          <w:tcPr>
            <w:tcW w:w="1090" w:type="dxa"/>
          </w:tcPr>
          <w:p>
            <w:pPr>
              <w:pStyle w:val="TableParagraph"/>
              <w:spacing w:before="40"/>
              <w:ind w:right="100"/>
              <w:rPr>
                <w:sz w:val="17"/>
              </w:rPr>
            </w:pPr>
            <w:r>
              <w:rPr>
                <w:sz w:val="17"/>
              </w:rPr>
              <w:t>268.741</w:t>
            </w:r>
          </w:p>
        </w:tc>
        <w:tc>
          <w:tcPr>
            <w:tcW w:w="847" w:type="dxa"/>
          </w:tcPr>
          <w:p>
            <w:pPr>
              <w:pStyle w:val="TableParagraph"/>
              <w:spacing w:before="40"/>
              <w:ind w:right="100"/>
              <w:rPr>
                <w:sz w:val="17"/>
              </w:rPr>
            </w:pPr>
            <w:r>
              <w:rPr>
                <w:sz w:val="17"/>
              </w:rPr>
              <w:t>276.030</w:t>
            </w:r>
          </w:p>
        </w:tc>
        <w:tc>
          <w:tcPr>
            <w:tcW w:w="919" w:type="dxa"/>
          </w:tcPr>
          <w:p>
            <w:pPr>
              <w:pStyle w:val="TableParagraph"/>
              <w:spacing w:before="40"/>
              <w:ind w:right="172"/>
              <w:rPr>
                <w:sz w:val="17"/>
              </w:rPr>
            </w:pPr>
            <w:r>
              <w:rPr>
                <w:sz w:val="17"/>
              </w:rPr>
              <w:t>284.820</w:t>
            </w:r>
          </w:p>
        </w:tc>
        <w:tc>
          <w:tcPr>
            <w:tcW w:w="932" w:type="dxa"/>
          </w:tcPr>
          <w:p>
            <w:pPr>
              <w:pStyle w:val="TableParagraph"/>
              <w:spacing w:before="40"/>
              <w:ind w:right="115"/>
              <w:rPr>
                <w:sz w:val="17"/>
              </w:rPr>
            </w:pPr>
            <w:r>
              <w:rPr>
                <w:sz w:val="17"/>
              </w:rPr>
              <w:t>295.560</w:t>
            </w:r>
          </w:p>
        </w:tc>
        <w:tc>
          <w:tcPr>
            <w:tcW w:w="785" w:type="dxa"/>
          </w:tcPr>
          <w:p>
            <w:pPr>
              <w:pStyle w:val="TableParagraph"/>
              <w:spacing w:before="40"/>
              <w:ind w:right="24"/>
              <w:rPr>
                <w:sz w:val="17"/>
              </w:rPr>
            </w:pPr>
            <w:r>
              <w:rPr>
                <w:sz w:val="17"/>
              </w:rPr>
              <w:t>304.080</w:t>
            </w:r>
          </w:p>
        </w:tc>
      </w:tr>
      <w:tr>
        <w:trPr>
          <w:trHeight w:val="272" w:hRule="atLeast"/>
        </w:trPr>
        <w:tc>
          <w:tcPr>
            <w:tcW w:w="3647" w:type="dxa"/>
          </w:tcPr>
          <w:p>
            <w:pPr>
              <w:pStyle w:val="TableParagraph"/>
              <w:spacing w:before="40"/>
              <w:ind w:left="707"/>
              <w:jc w:val="left"/>
              <w:rPr>
                <w:sz w:val="17"/>
              </w:rPr>
            </w:pPr>
            <w:r>
              <w:rPr>
                <w:sz w:val="17"/>
              </w:rPr>
              <w:t>Altre prestazioni sociali</w:t>
            </w:r>
          </w:p>
        </w:tc>
        <w:tc>
          <w:tcPr>
            <w:tcW w:w="1090" w:type="dxa"/>
          </w:tcPr>
          <w:p>
            <w:pPr>
              <w:pStyle w:val="TableParagraph"/>
              <w:spacing w:before="40"/>
              <w:ind w:right="100"/>
              <w:rPr>
                <w:sz w:val="17"/>
              </w:rPr>
            </w:pPr>
            <w:r>
              <w:rPr>
                <w:sz w:val="17"/>
              </w:rPr>
              <w:t>80.053</w:t>
            </w:r>
          </w:p>
        </w:tc>
        <w:tc>
          <w:tcPr>
            <w:tcW w:w="847" w:type="dxa"/>
          </w:tcPr>
          <w:p>
            <w:pPr>
              <w:pStyle w:val="TableParagraph"/>
              <w:spacing w:before="40"/>
              <w:ind w:right="100"/>
              <w:rPr>
                <w:sz w:val="17"/>
              </w:rPr>
            </w:pPr>
            <w:r>
              <w:rPr>
                <w:sz w:val="17"/>
              </w:rPr>
              <w:t>86.490</w:t>
            </w:r>
          </w:p>
        </w:tc>
        <w:tc>
          <w:tcPr>
            <w:tcW w:w="919" w:type="dxa"/>
          </w:tcPr>
          <w:p>
            <w:pPr>
              <w:pStyle w:val="TableParagraph"/>
              <w:spacing w:before="40"/>
              <w:ind w:right="172"/>
              <w:rPr>
                <w:sz w:val="17"/>
              </w:rPr>
            </w:pPr>
            <w:r>
              <w:rPr>
                <w:sz w:val="17"/>
              </w:rPr>
              <w:t>89.640</w:t>
            </w:r>
          </w:p>
        </w:tc>
        <w:tc>
          <w:tcPr>
            <w:tcW w:w="932" w:type="dxa"/>
          </w:tcPr>
          <w:p>
            <w:pPr>
              <w:pStyle w:val="TableParagraph"/>
              <w:spacing w:before="40"/>
              <w:ind w:right="115"/>
              <w:rPr>
                <w:sz w:val="17"/>
              </w:rPr>
            </w:pPr>
            <w:r>
              <w:rPr>
                <w:sz w:val="17"/>
              </w:rPr>
              <w:t>90.830</w:t>
            </w:r>
          </w:p>
        </w:tc>
        <w:tc>
          <w:tcPr>
            <w:tcW w:w="785" w:type="dxa"/>
          </w:tcPr>
          <w:p>
            <w:pPr>
              <w:pStyle w:val="TableParagraph"/>
              <w:spacing w:before="40"/>
              <w:ind w:right="24"/>
              <w:rPr>
                <w:sz w:val="17"/>
              </w:rPr>
            </w:pPr>
            <w:r>
              <w:rPr>
                <w:sz w:val="17"/>
              </w:rPr>
              <w:t>91.910</w:t>
            </w:r>
          </w:p>
        </w:tc>
      </w:tr>
      <w:tr>
        <w:trPr>
          <w:trHeight w:val="263" w:hRule="atLeast"/>
        </w:trPr>
        <w:tc>
          <w:tcPr>
            <w:tcW w:w="3647" w:type="dxa"/>
          </w:tcPr>
          <w:p>
            <w:pPr>
              <w:pStyle w:val="TableParagraph"/>
              <w:spacing w:before="39"/>
              <w:jc w:val="left"/>
              <w:rPr>
                <w:sz w:val="17"/>
              </w:rPr>
            </w:pPr>
            <w:r>
              <w:rPr>
                <w:sz w:val="17"/>
              </w:rPr>
              <w:t>Altre spese correnti</w:t>
            </w:r>
          </w:p>
        </w:tc>
        <w:tc>
          <w:tcPr>
            <w:tcW w:w="1090" w:type="dxa"/>
          </w:tcPr>
          <w:p>
            <w:pPr>
              <w:pStyle w:val="TableParagraph"/>
              <w:spacing w:before="39"/>
              <w:ind w:right="100"/>
              <w:rPr>
                <w:sz w:val="17"/>
              </w:rPr>
            </w:pPr>
            <w:r>
              <w:rPr>
                <w:sz w:val="17"/>
              </w:rPr>
              <w:t>63.665</w:t>
            </w:r>
          </w:p>
        </w:tc>
        <w:tc>
          <w:tcPr>
            <w:tcW w:w="847" w:type="dxa"/>
          </w:tcPr>
          <w:p>
            <w:pPr>
              <w:pStyle w:val="TableParagraph"/>
              <w:spacing w:before="39"/>
              <w:ind w:right="100"/>
              <w:rPr>
                <w:sz w:val="17"/>
              </w:rPr>
            </w:pPr>
            <w:r>
              <w:rPr>
                <w:sz w:val="17"/>
              </w:rPr>
              <w:t>65.095</w:t>
            </w:r>
          </w:p>
        </w:tc>
        <w:tc>
          <w:tcPr>
            <w:tcW w:w="919" w:type="dxa"/>
          </w:tcPr>
          <w:p>
            <w:pPr>
              <w:pStyle w:val="TableParagraph"/>
              <w:spacing w:before="39"/>
              <w:ind w:right="172"/>
              <w:rPr>
                <w:sz w:val="17"/>
              </w:rPr>
            </w:pPr>
            <w:r>
              <w:rPr>
                <w:sz w:val="17"/>
              </w:rPr>
              <w:t>65.861</w:t>
            </w:r>
          </w:p>
        </w:tc>
        <w:tc>
          <w:tcPr>
            <w:tcW w:w="932" w:type="dxa"/>
          </w:tcPr>
          <w:p>
            <w:pPr>
              <w:pStyle w:val="TableParagraph"/>
              <w:spacing w:before="39"/>
              <w:ind w:right="115"/>
              <w:rPr>
                <w:sz w:val="17"/>
              </w:rPr>
            </w:pPr>
            <w:r>
              <w:rPr>
                <w:sz w:val="17"/>
              </w:rPr>
              <w:t>66.360</w:t>
            </w:r>
          </w:p>
        </w:tc>
        <w:tc>
          <w:tcPr>
            <w:tcW w:w="785" w:type="dxa"/>
          </w:tcPr>
          <w:p>
            <w:pPr>
              <w:pStyle w:val="TableParagraph"/>
              <w:spacing w:before="39"/>
              <w:ind w:right="24"/>
              <w:rPr>
                <w:sz w:val="17"/>
              </w:rPr>
            </w:pPr>
            <w:r>
              <w:rPr>
                <w:sz w:val="17"/>
              </w:rPr>
              <w:t>66.272</w:t>
            </w:r>
          </w:p>
        </w:tc>
      </w:tr>
      <w:tr>
        <w:trPr>
          <w:trHeight w:val="316" w:hRule="atLeast"/>
        </w:trPr>
        <w:tc>
          <w:tcPr>
            <w:tcW w:w="3647" w:type="dxa"/>
          </w:tcPr>
          <w:p>
            <w:pPr>
              <w:pStyle w:val="TableParagraph"/>
              <w:spacing w:before="32"/>
              <w:jc w:val="left"/>
              <w:rPr>
                <w:sz w:val="17"/>
              </w:rPr>
            </w:pPr>
            <w:r>
              <w:rPr>
                <w:sz w:val="17"/>
              </w:rPr>
              <w:t>Totale spese correnti al netto interessi</w:t>
            </w:r>
          </w:p>
        </w:tc>
        <w:tc>
          <w:tcPr>
            <w:tcW w:w="1090" w:type="dxa"/>
          </w:tcPr>
          <w:p>
            <w:pPr>
              <w:pStyle w:val="TableParagraph"/>
              <w:spacing w:before="32"/>
              <w:ind w:right="101"/>
              <w:rPr>
                <w:sz w:val="17"/>
              </w:rPr>
            </w:pPr>
            <w:r>
              <w:rPr>
                <w:sz w:val="17"/>
              </w:rPr>
              <w:t>731.502</w:t>
            </w:r>
          </w:p>
        </w:tc>
        <w:tc>
          <w:tcPr>
            <w:tcW w:w="847" w:type="dxa"/>
          </w:tcPr>
          <w:p>
            <w:pPr>
              <w:pStyle w:val="TableParagraph"/>
              <w:spacing w:before="32"/>
              <w:ind w:right="100"/>
              <w:rPr>
                <w:sz w:val="17"/>
              </w:rPr>
            </w:pPr>
            <w:r>
              <w:rPr>
                <w:sz w:val="17"/>
              </w:rPr>
              <w:t>747.485</w:t>
            </w:r>
          </w:p>
        </w:tc>
        <w:tc>
          <w:tcPr>
            <w:tcW w:w="919" w:type="dxa"/>
          </w:tcPr>
          <w:p>
            <w:pPr>
              <w:pStyle w:val="TableParagraph"/>
              <w:spacing w:before="32"/>
              <w:ind w:right="172"/>
              <w:rPr>
                <w:sz w:val="17"/>
              </w:rPr>
            </w:pPr>
            <w:r>
              <w:rPr>
                <w:sz w:val="17"/>
              </w:rPr>
              <w:t>765.171</w:t>
            </w:r>
          </w:p>
        </w:tc>
        <w:tc>
          <w:tcPr>
            <w:tcW w:w="932" w:type="dxa"/>
          </w:tcPr>
          <w:p>
            <w:pPr>
              <w:pStyle w:val="TableParagraph"/>
              <w:spacing w:before="32"/>
              <w:ind w:right="115"/>
              <w:rPr>
                <w:sz w:val="17"/>
              </w:rPr>
            </w:pPr>
            <w:r>
              <w:rPr>
                <w:sz w:val="17"/>
              </w:rPr>
              <w:t>778.249</w:t>
            </w:r>
          </w:p>
        </w:tc>
        <w:tc>
          <w:tcPr>
            <w:tcW w:w="785" w:type="dxa"/>
          </w:tcPr>
          <w:p>
            <w:pPr>
              <w:pStyle w:val="TableParagraph"/>
              <w:spacing w:before="32"/>
              <w:ind w:right="24"/>
              <w:rPr>
                <w:sz w:val="17"/>
              </w:rPr>
            </w:pPr>
            <w:r>
              <w:rPr>
                <w:sz w:val="17"/>
              </w:rPr>
              <w:t>790.969</w:t>
            </w:r>
          </w:p>
        </w:tc>
      </w:tr>
      <w:tr>
        <w:trPr>
          <w:trHeight w:val="375" w:hRule="atLeast"/>
        </w:trPr>
        <w:tc>
          <w:tcPr>
            <w:tcW w:w="3647" w:type="dxa"/>
          </w:tcPr>
          <w:p>
            <w:pPr>
              <w:pStyle w:val="TableParagraph"/>
              <w:spacing w:before="92"/>
              <w:jc w:val="left"/>
              <w:rPr>
                <w:sz w:val="17"/>
              </w:rPr>
            </w:pPr>
            <w:r>
              <w:rPr>
                <w:sz w:val="17"/>
              </w:rPr>
              <w:t>Interessi passivi</w:t>
            </w:r>
          </w:p>
        </w:tc>
        <w:tc>
          <w:tcPr>
            <w:tcW w:w="1090" w:type="dxa"/>
          </w:tcPr>
          <w:p>
            <w:pPr>
              <w:pStyle w:val="TableParagraph"/>
              <w:spacing w:before="92"/>
              <w:ind w:right="100"/>
              <w:rPr>
                <w:sz w:val="17"/>
              </w:rPr>
            </w:pPr>
            <w:r>
              <w:rPr>
                <w:sz w:val="17"/>
              </w:rPr>
              <w:t>64.662</w:t>
            </w:r>
          </w:p>
        </w:tc>
        <w:tc>
          <w:tcPr>
            <w:tcW w:w="847" w:type="dxa"/>
          </w:tcPr>
          <w:p>
            <w:pPr>
              <w:pStyle w:val="TableParagraph"/>
              <w:spacing w:before="92"/>
              <w:ind w:right="100"/>
              <w:rPr>
                <w:sz w:val="17"/>
              </w:rPr>
            </w:pPr>
            <w:r>
              <w:rPr>
                <w:sz w:val="17"/>
              </w:rPr>
              <w:t>61.316</w:t>
            </w:r>
          </w:p>
        </w:tc>
        <w:tc>
          <w:tcPr>
            <w:tcW w:w="919" w:type="dxa"/>
          </w:tcPr>
          <w:p>
            <w:pPr>
              <w:pStyle w:val="TableParagraph"/>
              <w:spacing w:before="92"/>
              <w:ind w:right="172"/>
              <w:rPr>
                <w:sz w:val="17"/>
              </w:rPr>
            </w:pPr>
            <w:r>
              <w:rPr>
                <w:sz w:val="17"/>
              </w:rPr>
              <w:t>59.225</w:t>
            </w:r>
          </w:p>
        </w:tc>
        <w:tc>
          <w:tcPr>
            <w:tcW w:w="932" w:type="dxa"/>
          </w:tcPr>
          <w:p>
            <w:pPr>
              <w:pStyle w:val="TableParagraph"/>
              <w:spacing w:before="92"/>
              <w:ind w:right="115"/>
              <w:rPr>
                <w:sz w:val="17"/>
              </w:rPr>
            </w:pPr>
            <w:r>
              <w:rPr>
                <w:sz w:val="17"/>
              </w:rPr>
              <w:t>57.721</w:t>
            </w:r>
          </w:p>
        </w:tc>
        <w:tc>
          <w:tcPr>
            <w:tcW w:w="785" w:type="dxa"/>
          </w:tcPr>
          <w:p>
            <w:pPr>
              <w:pStyle w:val="TableParagraph"/>
              <w:spacing w:before="92"/>
              <w:ind w:right="24"/>
              <w:rPr>
                <w:sz w:val="17"/>
              </w:rPr>
            </w:pPr>
            <w:r>
              <w:rPr>
                <w:sz w:val="17"/>
              </w:rPr>
              <w:t>56.170</w:t>
            </w:r>
          </w:p>
        </w:tc>
      </w:tr>
      <w:tr>
        <w:trPr>
          <w:trHeight w:val="307" w:hRule="atLeast"/>
        </w:trPr>
        <w:tc>
          <w:tcPr>
            <w:tcW w:w="3647" w:type="dxa"/>
          </w:tcPr>
          <w:p>
            <w:pPr>
              <w:pStyle w:val="TableParagraph"/>
              <w:spacing w:before="91"/>
              <w:jc w:val="left"/>
              <w:rPr>
                <w:sz w:val="17"/>
              </w:rPr>
            </w:pPr>
            <w:r>
              <w:rPr>
                <w:sz w:val="17"/>
              </w:rPr>
              <w:t>Totale spese correnti</w:t>
            </w:r>
          </w:p>
        </w:tc>
        <w:tc>
          <w:tcPr>
            <w:tcW w:w="1090" w:type="dxa"/>
          </w:tcPr>
          <w:p>
            <w:pPr>
              <w:pStyle w:val="TableParagraph"/>
              <w:spacing w:before="91"/>
              <w:ind w:right="101"/>
              <w:rPr>
                <w:sz w:val="17"/>
              </w:rPr>
            </w:pPr>
            <w:r>
              <w:rPr>
                <w:sz w:val="17"/>
              </w:rPr>
              <w:t>796.164</w:t>
            </w:r>
          </w:p>
        </w:tc>
        <w:tc>
          <w:tcPr>
            <w:tcW w:w="847" w:type="dxa"/>
          </w:tcPr>
          <w:p>
            <w:pPr>
              <w:pStyle w:val="TableParagraph"/>
              <w:spacing w:before="91"/>
              <w:ind w:right="100"/>
              <w:rPr>
                <w:sz w:val="17"/>
              </w:rPr>
            </w:pPr>
            <w:r>
              <w:rPr>
                <w:sz w:val="17"/>
              </w:rPr>
              <w:t>808.801</w:t>
            </w:r>
          </w:p>
        </w:tc>
        <w:tc>
          <w:tcPr>
            <w:tcW w:w="919" w:type="dxa"/>
          </w:tcPr>
          <w:p>
            <w:pPr>
              <w:pStyle w:val="TableParagraph"/>
              <w:spacing w:before="91"/>
              <w:ind w:right="172"/>
              <w:rPr>
                <w:sz w:val="17"/>
              </w:rPr>
            </w:pPr>
            <w:r>
              <w:rPr>
                <w:sz w:val="17"/>
              </w:rPr>
              <w:t>824.396</w:t>
            </w:r>
          </w:p>
        </w:tc>
        <w:tc>
          <w:tcPr>
            <w:tcW w:w="932" w:type="dxa"/>
          </w:tcPr>
          <w:p>
            <w:pPr>
              <w:pStyle w:val="TableParagraph"/>
              <w:spacing w:before="91"/>
              <w:ind w:right="115"/>
              <w:rPr>
                <w:sz w:val="17"/>
              </w:rPr>
            </w:pPr>
            <w:r>
              <w:rPr>
                <w:sz w:val="17"/>
              </w:rPr>
              <w:t>835.970</w:t>
            </w:r>
          </w:p>
        </w:tc>
        <w:tc>
          <w:tcPr>
            <w:tcW w:w="785" w:type="dxa"/>
          </w:tcPr>
          <w:p>
            <w:pPr>
              <w:pStyle w:val="TableParagraph"/>
              <w:spacing w:before="91"/>
              <w:ind w:right="24"/>
              <w:rPr>
                <w:sz w:val="17"/>
              </w:rPr>
            </w:pPr>
            <w:r>
              <w:rPr>
                <w:sz w:val="17"/>
              </w:rPr>
              <w:t>847.139</w:t>
            </w:r>
          </w:p>
        </w:tc>
      </w:tr>
      <w:tr>
        <w:trPr>
          <w:trHeight w:val="409" w:hRule="atLeast"/>
        </w:trPr>
        <w:tc>
          <w:tcPr>
            <w:tcW w:w="3647" w:type="dxa"/>
          </w:tcPr>
          <w:p>
            <w:pPr>
              <w:pStyle w:val="TableParagraph"/>
              <w:tabs>
                <w:tab w:pos="707" w:val="left" w:leader="none"/>
              </w:tabs>
              <w:spacing w:before="41"/>
              <w:jc w:val="left"/>
              <w:rPr>
                <w:sz w:val="17"/>
              </w:rPr>
            </w:pPr>
            <w:r>
              <w:rPr>
                <w:sz w:val="17"/>
              </w:rPr>
              <w:t>di</w:t>
            </w:r>
            <w:r>
              <w:rPr>
                <w:spacing w:val="-2"/>
                <w:sz w:val="17"/>
              </w:rPr>
              <w:t> </w:t>
            </w:r>
            <w:r>
              <w:rPr>
                <w:sz w:val="17"/>
              </w:rPr>
              <w:t>cui:</w:t>
              <w:tab/>
              <w:t>Spesa sanitaria</w:t>
            </w:r>
          </w:p>
        </w:tc>
        <w:tc>
          <w:tcPr>
            <w:tcW w:w="1090" w:type="dxa"/>
          </w:tcPr>
          <w:p>
            <w:pPr>
              <w:pStyle w:val="TableParagraph"/>
              <w:spacing w:before="24"/>
              <w:ind w:right="101"/>
              <w:rPr>
                <w:sz w:val="17"/>
              </w:rPr>
            </w:pPr>
            <w:r>
              <w:rPr>
                <w:sz w:val="17"/>
              </w:rPr>
              <w:t>115.410</w:t>
            </w:r>
          </w:p>
        </w:tc>
        <w:tc>
          <w:tcPr>
            <w:tcW w:w="847" w:type="dxa"/>
          </w:tcPr>
          <w:p>
            <w:pPr>
              <w:pStyle w:val="TableParagraph"/>
              <w:spacing w:before="24"/>
              <w:ind w:right="100"/>
              <w:rPr>
                <w:sz w:val="17"/>
              </w:rPr>
            </w:pPr>
            <w:r>
              <w:rPr>
                <w:sz w:val="17"/>
              </w:rPr>
              <w:t>118.560</w:t>
            </w:r>
          </w:p>
        </w:tc>
        <w:tc>
          <w:tcPr>
            <w:tcW w:w="919" w:type="dxa"/>
          </w:tcPr>
          <w:p>
            <w:pPr>
              <w:pStyle w:val="TableParagraph"/>
              <w:spacing w:before="24"/>
              <w:ind w:right="172"/>
              <w:rPr>
                <w:sz w:val="17"/>
              </w:rPr>
            </w:pPr>
            <w:r>
              <w:rPr>
                <w:sz w:val="17"/>
              </w:rPr>
              <w:t>120.596</w:t>
            </w:r>
          </w:p>
        </w:tc>
        <w:tc>
          <w:tcPr>
            <w:tcW w:w="932" w:type="dxa"/>
          </w:tcPr>
          <w:p>
            <w:pPr>
              <w:pStyle w:val="TableParagraph"/>
              <w:spacing w:before="24"/>
              <w:ind w:right="115"/>
              <w:rPr>
                <w:sz w:val="17"/>
              </w:rPr>
            </w:pPr>
            <w:r>
              <w:rPr>
                <w:sz w:val="17"/>
              </w:rPr>
              <w:t>122.003</w:t>
            </w:r>
          </w:p>
        </w:tc>
        <w:tc>
          <w:tcPr>
            <w:tcW w:w="785" w:type="dxa"/>
          </w:tcPr>
          <w:p>
            <w:pPr>
              <w:pStyle w:val="TableParagraph"/>
              <w:spacing w:before="24"/>
              <w:ind w:right="24"/>
              <w:rPr>
                <w:sz w:val="17"/>
              </w:rPr>
            </w:pPr>
            <w:r>
              <w:rPr>
                <w:sz w:val="17"/>
              </w:rPr>
              <w:t>123.696</w:t>
            </w:r>
          </w:p>
        </w:tc>
      </w:tr>
      <w:tr>
        <w:trPr>
          <w:trHeight w:val="409" w:hRule="atLeast"/>
        </w:trPr>
        <w:tc>
          <w:tcPr>
            <w:tcW w:w="3647" w:type="dxa"/>
          </w:tcPr>
          <w:p>
            <w:pPr>
              <w:pStyle w:val="TableParagraph"/>
              <w:spacing w:before="2"/>
              <w:jc w:val="left"/>
              <w:rPr>
                <w:rFonts w:ascii="Trebuchet MS"/>
                <w:sz w:val="15"/>
              </w:rPr>
            </w:pPr>
          </w:p>
          <w:p>
            <w:pPr>
              <w:pStyle w:val="TableParagraph"/>
              <w:jc w:val="left"/>
              <w:rPr>
                <w:sz w:val="17"/>
              </w:rPr>
            </w:pPr>
            <w:r>
              <w:rPr>
                <w:sz w:val="17"/>
              </w:rPr>
              <w:t>Totale spese in conto capitale</w:t>
            </w:r>
          </w:p>
        </w:tc>
        <w:tc>
          <w:tcPr>
            <w:tcW w:w="1090" w:type="dxa"/>
          </w:tcPr>
          <w:p>
            <w:pPr>
              <w:pStyle w:val="TableParagraph"/>
              <w:spacing w:before="2"/>
              <w:jc w:val="left"/>
              <w:rPr>
                <w:rFonts w:ascii="Trebuchet MS"/>
                <w:sz w:val="15"/>
              </w:rPr>
            </w:pPr>
          </w:p>
          <w:p>
            <w:pPr>
              <w:pStyle w:val="TableParagraph"/>
              <w:ind w:right="100"/>
              <w:rPr>
                <w:sz w:val="17"/>
              </w:rPr>
            </w:pPr>
            <w:r>
              <w:rPr>
                <w:sz w:val="17"/>
              </w:rPr>
              <w:t>58.438</w:t>
            </w:r>
          </w:p>
        </w:tc>
        <w:tc>
          <w:tcPr>
            <w:tcW w:w="847" w:type="dxa"/>
          </w:tcPr>
          <w:p>
            <w:pPr>
              <w:pStyle w:val="TableParagraph"/>
              <w:spacing w:before="2"/>
              <w:jc w:val="left"/>
              <w:rPr>
                <w:rFonts w:ascii="Trebuchet MS"/>
                <w:sz w:val="15"/>
              </w:rPr>
            </w:pPr>
          </w:p>
          <w:p>
            <w:pPr>
              <w:pStyle w:val="TableParagraph"/>
              <w:ind w:right="100"/>
              <w:rPr>
                <w:sz w:val="17"/>
              </w:rPr>
            </w:pPr>
            <w:r>
              <w:rPr>
                <w:sz w:val="17"/>
              </w:rPr>
              <w:t>59.493</w:t>
            </w:r>
          </w:p>
        </w:tc>
        <w:tc>
          <w:tcPr>
            <w:tcW w:w="919" w:type="dxa"/>
          </w:tcPr>
          <w:p>
            <w:pPr>
              <w:pStyle w:val="TableParagraph"/>
              <w:spacing w:before="2"/>
              <w:jc w:val="left"/>
              <w:rPr>
                <w:rFonts w:ascii="Trebuchet MS"/>
                <w:sz w:val="15"/>
              </w:rPr>
            </w:pPr>
          </w:p>
          <w:p>
            <w:pPr>
              <w:pStyle w:val="TableParagraph"/>
              <w:ind w:right="172"/>
              <w:rPr>
                <w:sz w:val="17"/>
              </w:rPr>
            </w:pPr>
            <w:r>
              <w:rPr>
                <w:sz w:val="17"/>
              </w:rPr>
              <w:t>59.861</w:t>
            </w:r>
          </w:p>
        </w:tc>
        <w:tc>
          <w:tcPr>
            <w:tcW w:w="932" w:type="dxa"/>
          </w:tcPr>
          <w:p>
            <w:pPr>
              <w:pStyle w:val="TableParagraph"/>
              <w:spacing w:before="2"/>
              <w:jc w:val="left"/>
              <w:rPr>
                <w:rFonts w:ascii="Trebuchet MS"/>
                <w:sz w:val="15"/>
              </w:rPr>
            </w:pPr>
          </w:p>
          <w:p>
            <w:pPr>
              <w:pStyle w:val="TableParagraph"/>
              <w:ind w:right="115"/>
              <w:rPr>
                <w:sz w:val="17"/>
              </w:rPr>
            </w:pPr>
            <w:r>
              <w:rPr>
                <w:sz w:val="17"/>
              </w:rPr>
              <w:t>63.474</w:t>
            </w:r>
          </w:p>
        </w:tc>
        <w:tc>
          <w:tcPr>
            <w:tcW w:w="785" w:type="dxa"/>
          </w:tcPr>
          <w:p>
            <w:pPr>
              <w:pStyle w:val="TableParagraph"/>
              <w:spacing w:before="2"/>
              <w:jc w:val="left"/>
              <w:rPr>
                <w:rFonts w:ascii="Trebuchet MS"/>
                <w:sz w:val="15"/>
              </w:rPr>
            </w:pPr>
          </w:p>
          <w:p>
            <w:pPr>
              <w:pStyle w:val="TableParagraph"/>
              <w:ind w:right="24"/>
              <w:rPr>
                <w:sz w:val="17"/>
              </w:rPr>
            </w:pPr>
            <w:r>
              <w:rPr>
                <w:sz w:val="17"/>
              </w:rPr>
              <w:t>62.307</w:t>
            </w:r>
          </w:p>
        </w:tc>
      </w:tr>
      <w:tr>
        <w:trPr>
          <w:trHeight w:val="273" w:hRule="atLeast"/>
        </w:trPr>
        <w:tc>
          <w:tcPr>
            <w:tcW w:w="3647" w:type="dxa"/>
          </w:tcPr>
          <w:p>
            <w:pPr>
              <w:pStyle w:val="TableParagraph"/>
              <w:spacing w:before="40"/>
              <w:ind w:left="707"/>
              <w:jc w:val="left"/>
              <w:rPr>
                <w:sz w:val="17"/>
              </w:rPr>
            </w:pPr>
            <w:r>
              <w:rPr>
                <w:sz w:val="17"/>
              </w:rPr>
              <w:t>Investimenti fissi lordi</w:t>
            </w:r>
          </w:p>
        </w:tc>
        <w:tc>
          <w:tcPr>
            <w:tcW w:w="1090" w:type="dxa"/>
          </w:tcPr>
          <w:p>
            <w:pPr>
              <w:pStyle w:val="TableParagraph"/>
              <w:spacing w:before="40"/>
              <w:ind w:right="100"/>
              <w:rPr>
                <w:sz w:val="17"/>
              </w:rPr>
            </w:pPr>
            <w:r>
              <w:rPr>
                <w:sz w:val="17"/>
              </w:rPr>
              <w:t>37.602</w:t>
            </w:r>
          </w:p>
        </w:tc>
        <w:tc>
          <w:tcPr>
            <w:tcW w:w="847" w:type="dxa"/>
          </w:tcPr>
          <w:p>
            <w:pPr>
              <w:pStyle w:val="TableParagraph"/>
              <w:spacing w:before="40"/>
              <w:ind w:right="100"/>
              <w:rPr>
                <w:sz w:val="17"/>
              </w:rPr>
            </w:pPr>
            <w:r>
              <w:rPr>
                <w:sz w:val="17"/>
              </w:rPr>
              <w:t>40.496</w:t>
            </w:r>
          </w:p>
        </w:tc>
        <w:tc>
          <w:tcPr>
            <w:tcW w:w="919" w:type="dxa"/>
          </w:tcPr>
          <w:p>
            <w:pPr>
              <w:pStyle w:val="TableParagraph"/>
              <w:spacing w:before="40"/>
              <w:ind w:right="172"/>
              <w:rPr>
                <w:sz w:val="17"/>
              </w:rPr>
            </w:pPr>
            <w:r>
              <w:rPr>
                <w:sz w:val="17"/>
              </w:rPr>
              <w:t>41.979</w:t>
            </w:r>
          </w:p>
        </w:tc>
        <w:tc>
          <w:tcPr>
            <w:tcW w:w="932" w:type="dxa"/>
          </w:tcPr>
          <w:p>
            <w:pPr>
              <w:pStyle w:val="TableParagraph"/>
              <w:spacing w:before="40"/>
              <w:ind w:right="115"/>
              <w:rPr>
                <w:sz w:val="17"/>
              </w:rPr>
            </w:pPr>
            <w:r>
              <w:rPr>
                <w:sz w:val="17"/>
              </w:rPr>
              <w:t>45.960</w:t>
            </w:r>
          </w:p>
        </w:tc>
        <w:tc>
          <w:tcPr>
            <w:tcW w:w="785" w:type="dxa"/>
          </w:tcPr>
          <w:p>
            <w:pPr>
              <w:pStyle w:val="TableParagraph"/>
              <w:spacing w:before="40"/>
              <w:ind w:right="24"/>
              <w:rPr>
                <w:sz w:val="17"/>
              </w:rPr>
            </w:pPr>
            <w:r>
              <w:rPr>
                <w:sz w:val="17"/>
              </w:rPr>
              <w:t>46.891</w:t>
            </w:r>
          </w:p>
        </w:tc>
      </w:tr>
      <w:tr>
        <w:trPr>
          <w:trHeight w:val="263" w:hRule="atLeast"/>
        </w:trPr>
        <w:tc>
          <w:tcPr>
            <w:tcW w:w="3647" w:type="dxa"/>
          </w:tcPr>
          <w:p>
            <w:pPr>
              <w:pStyle w:val="TableParagraph"/>
              <w:spacing w:before="40"/>
              <w:ind w:left="707"/>
              <w:jc w:val="left"/>
              <w:rPr>
                <w:sz w:val="17"/>
              </w:rPr>
            </w:pPr>
            <w:r>
              <w:rPr>
                <w:sz w:val="17"/>
              </w:rPr>
              <w:t>Contributi in c/capitale</w:t>
            </w:r>
          </w:p>
        </w:tc>
        <w:tc>
          <w:tcPr>
            <w:tcW w:w="1090" w:type="dxa"/>
          </w:tcPr>
          <w:p>
            <w:pPr>
              <w:pStyle w:val="TableParagraph"/>
              <w:spacing w:before="40"/>
              <w:ind w:right="100"/>
              <w:rPr>
                <w:sz w:val="17"/>
              </w:rPr>
            </w:pPr>
            <w:r>
              <w:rPr>
                <w:sz w:val="17"/>
              </w:rPr>
              <w:t>13.597</w:t>
            </w:r>
          </w:p>
        </w:tc>
        <w:tc>
          <w:tcPr>
            <w:tcW w:w="847" w:type="dxa"/>
          </w:tcPr>
          <w:p>
            <w:pPr>
              <w:pStyle w:val="TableParagraph"/>
              <w:spacing w:before="40"/>
              <w:ind w:right="100"/>
              <w:rPr>
                <w:sz w:val="17"/>
              </w:rPr>
            </w:pPr>
            <w:r>
              <w:rPr>
                <w:sz w:val="17"/>
              </w:rPr>
              <w:t>13.869</w:t>
            </w:r>
          </w:p>
        </w:tc>
        <w:tc>
          <w:tcPr>
            <w:tcW w:w="919" w:type="dxa"/>
          </w:tcPr>
          <w:p>
            <w:pPr>
              <w:pStyle w:val="TableParagraph"/>
              <w:spacing w:before="40"/>
              <w:ind w:right="172"/>
              <w:rPr>
                <w:sz w:val="17"/>
              </w:rPr>
            </w:pPr>
            <w:r>
              <w:rPr>
                <w:sz w:val="17"/>
              </w:rPr>
              <w:t>13.217</w:t>
            </w:r>
          </w:p>
        </w:tc>
        <w:tc>
          <w:tcPr>
            <w:tcW w:w="932" w:type="dxa"/>
          </w:tcPr>
          <w:p>
            <w:pPr>
              <w:pStyle w:val="TableParagraph"/>
              <w:spacing w:before="40"/>
              <w:ind w:right="115"/>
              <w:rPr>
                <w:sz w:val="17"/>
              </w:rPr>
            </w:pPr>
            <w:r>
              <w:rPr>
                <w:sz w:val="17"/>
              </w:rPr>
              <w:t>13.196</w:t>
            </w:r>
          </w:p>
        </w:tc>
        <w:tc>
          <w:tcPr>
            <w:tcW w:w="785" w:type="dxa"/>
          </w:tcPr>
          <w:p>
            <w:pPr>
              <w:pStyle w:val="TableParagraph"/>
              <w:spacing w:before="40"/>
              <w:ind w:right="24"/>
              <w:rPr>
                <w:sz w:val="17"/>
              </w:rPr>
            </w:pPr>
            <w:r>
              <w:rPr>
                <w:sz w:val="17"/>
              </w:rPr>
              <w:t>12.280</w:t>
            </w:r>
          </w:p>
        </w:tc>
      </w:tr>
      <w:tr>
        <w:trPr>
          <w:trHeight w:val="315" w:hRule="atLeast"/>
        </w:trPr>
        <w:tc>
          <w:tcPr>
            <w:tcW w:w="3647" w:type="dxa"/>
          </w:tcPr>
          <w:p>
            <w:pPr>
              <w:pStyle w:val="TableParagraph"/>
              <w:spacing w:before="31"/>
              <w:ind w:left="707"/>
              <w:jc w:val="left"/>
              <w:rPr>
                <w:sz w:val="17"/>
              </w:rPr>
            </w:pPr>
            <w:r>
              <w:rPr>
                <w:sz w:val="17"/>
              </w:rPr>
              <w:t>Altri trasferimenti</w:t>
            </w:r>
          </w:p>
        </w:tc>
        <w:tc>
          <w:tcPr>
            <w:tcW w:w="1090" w:type="dxa"/>
          </w:tcPr>
          <w:p>
            <w:pPr>
              <w:pStyle w:val="TableParagraph"/>
              <w:spacing w:before="31"/>
              <w:ind w:right="100"/>
              <w:rPr>
                <w:sz w:val="17"/>
              </w:rPr>
            </w:pPr>
            <w:r>
              <w:rPr>
                <w:sz w:val="17"/>
              </w:rPr>
              <w:t>7.239</w:t>
            </w:r>
          </w:p>
        </w:tc>
        <w:tc>
          <w:tcPr>
            <w:tcW w:w="847" w:type="dxa"/>
          </w:tcPr>
          <w:p>
            <w:pPr>
              <w:pStyle w:val="TableParagraph"/>
              <w:spacing w:before="31"/>
              <w:ind w:right="100"/>
              <w:rPr>
                <w:sz w:val="17"/>
              </w:rPr>
            </w:pPr>
            <w:r>
              <w:rPr>
                <w:sz w:val="17"/>
              </w:rPr>
              <w:t>5.128</w:t>
            </w:r>
          </w:p>
        </w:tc>
        <w:tc>
          <w:tcPr>
            <w:tcW w:w="919" w:type="dxa"/>
          </w:tcPr>
          <w:p>
            <w:pPr>
              <w:pStyle w:val="TableParagraph"/>
              <w:spacing w:before="31"/>
              <w:ind w:right="172"/>
              <w:rPr>
                <w:sz w:val="17"/>
              </w:rPr>
            </w:pPr>
            <w:r>
              <w:rPr>
                <w:sz w:val="17"/>
              </w:rPr>
              <w:t>4.665</w:t>
            </w:r>
          </w:p>
        </w:tc>
        <w:tc>
          <w:tcPr>
            <w:tcW w:w="932" w:type="dxa"/>
          </w:tcPr>
          <w:p>
            <w:pPr>
              <w:pStyle w:val="TableParagraph"/>
              <w:spacing w:before="31"/>
              <w:ind w:right="115"/>
              <w:rPr>
                <w:sz w:val="17"/>
              </w:rPr>
            </w:pPr>
            <w:r>
              <w:rPr>
                <w:sz w:val="17"/>
              </w:rPr>
              <w:t>4.318</w:t>
            </w:r>
          </w:p>
        </w:tc>
        <w:tc>
          <w:tcPr>
            <w:tcW w:w="785" w:type="dxa"/>
          </w:tcPr>
          <w:p>
            <w:pPr>
              <w:pStyle w:val="TableParagraph"/>
              <w:spacing w:before="31"/>
              <w:ind w:right="24"/>
              <w:rPr>
                <w:sz w:val="17"/>
              </w:rPr>
            </w:pPr>
            <w:r>
              <w:rPr>
                <w:sz w:val="17"/>
              </w:rPr>
              <w:t>3.136</w:t>
            </w:r>
          </w:p>
        </w:tc>
      </w:tr>
      <w:tr>
        <w:trPr>
          <w:trHeight w:val="316" w:hRule="atLeast"/>
        </w:trPr>
        <w:tc>
          <w:tcPr>
            <w:tcW w:w="3647" w:type="dxa"/>
          </w:tcPr>
          <w:p>
            <w:pPr>
              <w:pStyle w:val="TableParagraph"/>
              <w:spacing w:before="92"/>
              <w:jc w:val="left"/>
              <w:rPr>
                <w:sz w:val="17"/>
              </w:rPr>
            </w:pPr>
            <w:r>
              <w:rPr>
                <w:sz w:val="17"/>
              </w:rPr>
              <w:t>Totale spese finali al netto di interessi</w:t>
            </w:r>
          </w:p>
        </w:tc>
        <w:tc>
          <w:tcPr>
            <w:tcW w:w="1090" w:type="dxa"/>
          </w:tcPr>
          <w:p>
            <w:pPr>
              <w:pStyle w:val="TableParagraph"/>
              <w:spacing w:before="92"/>
              <w:ind w:right="101"/>
              <w:rPr>
                <w:sz w:val="17"/>
              </w:rPr>
            </w:pPr>
            <w:r>
              <w:rPr>
                <w:sz w:val="17"/>
              </w:rPr>
              <w:t>789.940</w:t>
            </w:r>
          </w:p>
        </w:tc>
        <w:tc>
          <w:tcPr>
            <w:tcW w:w="847" w:type="dxa"/>
          </w:tcPr>
          <w:p>
            <w:pPr>
              <w:pStyle w:val="TableParagraph"/>
              <w:spacing w:before="92"/>
              <w:ind w:right="100"/>
              <w:rPr>
                <w:sz w:val="17"/>
              </w:rPr>
            </w:pPr>
            <w:r>
              <w:rPr>
                <w:sz w:val="17"/>
              </w:rPr>
              <w:t>806.977</w:t>
            </w:r>
          </w:p>
        </w:tc>
        <w:tc>
          <w:tcPr>
            <w:tcW w:w="919" w:type="dxa"/>
          </w:tcPr>
          <w:p>
            <w:pPr>
              <w:pStyle w:val="TableParagraph"/>
              <w:spacing w:before="92"/>
              <w:ind w:right="172"/>
              <w:rPr>
                <w:sz w:val="17"/>
              </w:rPr>
            </w:pPr>
            <w:r>
              <w:rPr>
                <w:sz w:val="17"/>
              </w:rPr>
              <w:t>825.032</w:t>
            </w:r>
          </w:p>
        </w:tc>
        <w:tc>
          <w:tcPr>
            <w:tcW w:w="932" w:type="dxa"/>
          </w:tcPr>
          <w:p>
            <w:pPr>
              <w:pStyle w:val="TableParagraph"/>
              <w:spacing w:before="92"/>
              <w:ind w:right="115"/>
              <w:rPr>
                <w:sz w:val="17"/>
              </w:rPr>
            </w:pPr>
            <w:r>
              <w:rPr>
                <w:sz w:val="17"/>
              </w:rPr>
              <w:t>841.723</w:t>
            </w:r>
          </w:p>
        </w:tc>
        <w:tc>
          <w:tcPr>
            <w:tcW w:w="785" w:type="dxa"/>
          </w:tcPr>
          <w:p>
            <w:pPr>
              <w:pStyle w:val="TableParagraph"/>
              <w:spacing w:before="92"/>
              <w:ind w:right="24"/>
              <w:rPr>
                <w:sz w:val="17"/>
              </w:rPr>
            </w:pPr>
            <w:r>
              <w:rPr>
                <w:sz w:val="17"/>
              </w:rPr>
              <w:t>853.276</w:t>
            </w:r>
          </w:p>
        </w:tc>
      </w:tr>
      <w:tr>
        <w:trPr>
          <w:trHeight w:val="384" w:hRule="atLeast"/>
        </w:trPr>
        <w:tc>
          <w:tcPr>
            <w:tcW w:w="3647" w:type="dxa"/>
            <w:tcBorders>
              <w:bottom w:val="single" w:sz="4" w:space="0" w:color="000000"/>
            </w:tcBorders>
          </w:tcPr>
          <w:p>
            <w:pPr>
              <w:pStyle w:val="TableParagraph"/>
              <w:spacing w:before="32"/>
              <w:ind w:left="4"/>
              <w:jc w:val="left"/>
              <w:rPr>
                <w:sz w:val="17"/>
              </w:rPr>
            </w:pPr>
            <w:r>
              <w:rPr>
                <w:sz w:val="17"/>
              </w:rPr>
              <w:t>Totale spese finali</w:t>
            </w:r>
          </w:p>
        </w:tc>
        <w:tc>
          <w:tcPr>
            <w:tcW w:w="1090" w:type="dxa"/>
            <w:tcBorders>
              <w:bottom w:val="single" w:sz="4" w:space="0" w:color="000000"/>
            </w:tcBorders>
          </w:tcPr>
          <w:p>
            <w:pPr>
              <w:pStyle w:val="TableParagraph"/>
              <w:spacing w:before="32"/>
              <w:ind w:right="101"/>
              <w:rPr>
                <w:sz w:val="17"/>
              </w:rPr>
            </w:pPr>
            <w:r>
              <w:rPr>
                <w:sz w:val="17"/>
              </w:rPr>
              <w:t>854.602</w:t>
            </w:r>
          </w:p>
        </w:tc>
        <w:tc>
          <w:tcPr>
            <w:tcW w:w="847" w:type="dxa"/>
            <w:tcBorders>
              <w:bottom w:val="single" w:sz="4" w:space="0" w:color="000000"/>
            </w:tcBorders>
          </w:tcPr>
          <w:p>
            <w:pPr>
              <w:pStyle w:val="TableParagraph"/>
              <w:spacing w:before="32"/>
              <w:ind w:right="100"/>
              <w:rPr>
                <w:sz w:val="17"/>
              </w:rPr>
            </w:pPr>
            <w:r>
              <w:rPr>
                <w:sz w:val="17"/>
              </w:rPr>
              <w:t>868.293</w:t>
            </w:r>
          </w:p>
        </w:tc>
        <w:tc>
          <w:tcPr>
            <w:tcW w:w="919" w:type="dxa"/>
            <w:tcBorders>
              <w:bottom w:val="single" w:sz="4" w:space="0" w:color="000000"/>
            </w:tcBorders>
          </w:tcPr>
          <w:p>
            <w:pPr>
              <w:pStyle w:val="TableParagraph"/>
              <w:spacing w:before="32"/>
              <w:ind w:right="172"/>
              <w:rPr>
                <w:sz w:val="17"/>
              </w:rPr>
            </w:pPr>
            <w:r>
              <w:rPr>
                <w:sz w:val="17"/>
              </w:rPr>
              <w:t>884.257</w:t>
            </w:r>
          </w:p>
        </w:tc>
        <w:tc>
          <w:tcPr>
            <w:tcW w:w="932" w:type="dxa"/>
            <w:tcBorders>
              <w:bottom w:val="single" w:sz="4" w:space="0" w:color="000000"/>
            </w:tcBorders>
          </w:tcPr>
          <w:p>
            <w:pPr>
              <w:pStyle w:val="TableParagraph"/>
              <w:spacing w:before="32"/>
              <w:ind w:right="115"/>
              <w:rPr>
                <w:sz w:val="17"/>
              </w:rPr>
            </w:pPr>
            <w:r>
              <w:rPr>
                <w:sz w:val="17"/>
              </w:rPr>
              <w:t>899.444</w:t>
            </w:r>
          </w:p>
        </w:tc>
        <w:tc>
          <w:tcPr>
            <w:tcW w:w="785" w:type="dxa"/>
            <w:tcBorders>
              <w:bottom w:val="single" w:sz="4" w:space="0" w:color="000000"/>
            </w:tcBorders>
          </w:tcPr>
          <w:p>
            <w:pPr>
              <w:pStyle w:val="TableParagraph"/>
              <w:spacing w:before="32"/>
              <w:ind w:right="24"/>
              <w:rPr>
                <w:sz w:val="17"/>
              </w:rPr>
            </w:pPr>
            <w:r>
              <w:rPr>
                <w:sz w:val="17"/>
              </w:rPr>
              <w:t>909.446</w:t>
            </w:r>
          </w:p>
        </w:tc>
      </w:tr>
      <w:tr>
        <w:trPr>
          <w:trHeight w:val="349" w:hRule="atLeast"/>
        </w:trPr>
        <w:tc>
          <w:tcPr>
            <w:tcW w:w="3647" w:type="dxa"/>
            <w:tcBorders>
              <w:top w:val="single" w:sz="4" w:space="0" w:color="000000"/>
            </w:tcBorders>
          </w:tcPr>
          <w:p>
            <w:pPr>
              <w:pStyle w:val="TableParagraph"/>
              <w:spacing w:before="124"/>
              <w:jc w:val="left"/>
              <w:rPr>
                <w:sz w:val="17"/>
              </w:rPr>
            </w:pPr>
            <w:r>
              <w:rPr>
                <w:sz w:val="17"/>
              </w:rPr>
              <w:t>ENTRATE</w:t>
            </w:r>
          </w:p>
        </w:tc>
        <w:tc>
          <w:tcPr>
            <w:tcW w:w="1090" w:type="dxa"/>
            <w:tcBorders>
              <w:top w:val="single" w:sz="4" w:space="0" w:color="000000"/>
            </w:tcBorders>
          </w:tcPr>
          <w:p>
            <w:pPr>
              <w:pStyle w:val="TableParagraph"/>
              <w:jc w:val="left"/>
              <w:rPr>
                <w:rFonts w:ascii="Times New Roman"/>
                <w:sz w:val="16"/>
              </w:rPr>
            </w:pPr>
          </w:p>
        </w:tc>
        <w:tc>
          <w:tcPr>
            <w:tcW w:w="847" w:type="dxa"/>
            <w:tcBorders>
              <w:top w:val="single" w:sz="4" w:space="0" w:color="000000"/>
            </w:tcBorders>
          </w:tcPr>
          <w:p>
            <w:pPr>
              <w:pStyle w:val="TableParagraph"/>
              <w:jc w:val="left"/>
              <w:rPr>
                <w:rFonts w:ascii="Times New Roman"/>
                <w:sz w:val="16"/>
              </w:rPr>
            </w:pPr>
          </w:p>
        </w:tc>
        <w:tc>
          <w:tcPr>
            <w:tcW w:w="919" w:type="dxa"/>
            <w:tcBorders>
              <w:top w:val="single" w:sz="4" w:space="0" w:color="000000"/>
            </w:tcBorders>
          </w:tcPr>
          <w:p>
            <w:pPr>
              <w:pStyle w:val="TableParagraph"/>
              <w:jc w:val="left"/>
              <w:rPr>
                <w:rFonts w:ascii="Times New Roman"/>
                <w:sz w:val="16"/>
              </w:rPr>
            </w:pPr>
          </w:p>
        </w:tc>
        <w:tc>
          <w:tcPr>
            <w:tcW w:w="932" w:type="dxa"/>
            <w:tcBorders>
              <w:top w:val="single" w:sz="4" w:space="0" w:color="000000"/>
            </w:tcBorders>
          </w:tcPr>
          <w:p>
            <w:pPr>
              <w:pStyle w:val="TableParagraph"/>
              <w:jc w:val="left"/>
              <w:rPr>
                <w:rFonts w:ascii="Times New Roman"/>
                <w:sz w:val="16"/>
              </w:rPr>
            </w:pPr>
          </w:p>
        </w:tc>
        <w:tc>
          <w:tcPr>
            <w:tcW w:w="785" w:type="dxa"/>
            <w:tcBorders>
              <w:top w:val="single" w:sz="4" w:space="0" w:color="000000"/>
            </w:tcBorders>
          </w:tcPr>
          <w:p>
            <w:pPr>
              <w:pStyle w:val="TableParagraph"/>
              <w:jc w:val="left"/>
              <w:rPr>
                <w:rFonts w:ascii="Times New Roman"/>
                <w:sz w:val="16"/>
              </w:rPr>
            </w:pPr>
          </w:p>
        </w:tc>
      </w:tr>
      <w:tr>
        <w:trPr>
          <w:trHeight w:val="265" w:hRule="atLeast"/>
        </w:trPr>
        <w:tc>
          <w:tcPr>
            <w:tcW w:w="3647" w:type="dxa"/>
          </w:tcPr>
          <w:p>
            <w:pPr>
              <w:pStyle w:val="TableParagraph"/>
              <w:spacing w:before="32"/>
              <w:jc w:val="left"/>
              <w:rPr>
                <w:sz w:val="17"/>
              </w:rPr>
            </w:pPr>
            <w:r>
              <w:rPr>
                <w:sz w:val="17"/>
              </w:rPr>
              <w:t>Totale entrate tributarie</w:t>
            </w:r>
          </w:p>
        </w:tc>
        <w:tc>
          <w:tcPr>
            <w:tcW w:w="1090" w:type="dxa"/>
          </w:tcPr>
          <w:p>
            <w:pPr>
              <w:pStyle w:val="TableParagraph"/>
              <w:spacing w:before="32"/>
              <w:ind w:right="101"/>
              <w:rPr>
                <w:sz w:val="17"/>
              </w:rPr>
            </w:pPr>
            <w:r>
              <w:rPr>
                <w:sz w:val="17"/>
              </w:rPr>
              <w:t>503.657</w:t>
            </w:r>
          </w:p>
        </w:tc>
        <w:tc>
          <w:tcPr>
            <w:tcW w:w="847" w:type="dxa"/>
          </w:tcPr>
          <w:p>
            <w:pPr>
              <w:pStyle w:val="TableParagraph"/>
              <w:spacing w:before="32"/>
              <w:ind w:right="100"/>
              <w:rPr>
                <w:sz w:val="17"/>
              </w:rPr>
            </w:pPr>
            <w:r>
              <w:rPr>
                <w:sz w:val="17"/>
              </w:rPr>
              <w:t>506.366</w:t>
            </w:r>
          </w:p>
        </w:tc>
        <w:tc>
          <w:tcPr>
            <w:tcW w:w="919" w:type="dxa"/>
          </w:tcPr>
          <w:p>
            <w:pPr>
              <w:pStyle w:val="TableParagraph"/>
              <w:spacing w:before="32"/>
              <w:ind w:right="172"/>
              <w:rPr>
                <w:sz w:val="17"/>
              </w:rPr>
            </w:pPr>
            <w:r>
              <w:rPr>
                <w:sz w:val="17"/>
              </w:rPr>
              <w:t>531.789</w:t>
            </w:r>
          </w:p>
        </w:tc>
        <w:tc>
          <w:tcPr>
            <w:tcW w:w="932" w:type="dxa"/>
          </w:tcPr>
          <w:p>
            <w:pPr>
              <w:pStyle w:val="TableParagraph"/>
              <w:spacing w:before="32"/>
              <w:ind w:right="115"/>
              <w:rPr>
                <w:sz w:val="17"/>
              </w:rPr>
            </w:pPr>
            <w:r>
              <w:rPr>
                <w:sz w:val="17"/>
              </w:rPr>
              <w:t>546.384</w:t>
            </w:r>
          </w:p>
        </w:tc>
        <w:tc>
          <w:tcPr>
            <w:tcW w:w="785" w:type="dxa"/>
          </w:tcPr>
          <w:p>
            <w:pPr>
              <w:pStyle w:val="TableParagraph"/>
              <w:spacing w:before="32"/>
              <w:ind w:right="24"/>
              <w:rPr>
                <w:sz w:val="17"/>
              </w:rPr>
            </w:pPr>
            <w:r>
              <w:rPr>
                <w:sz w:val="17"/>
              </w:rPr>
              <w:t>554.825</w:t>
            </w:r>
          </w:p>
        </w:tc>
      </w:tr>
      <w:tr>
        <w:trPr>
          <w:trHeight w:val="272" w:hRule="atLeast"/>
        </w:trPr>
        <w:tc>
          <w:tcPr>
            <w:tcW w:w="3647" w:type="dxa"/>
          </w:tcPr>
          <w:p>
            <w:pPr>
              <w:pStyle w:val="TableParagraph"/>
              <w:spacing w:before="40"/>
              <w:ind w:left="707"/>
              <w:jc w:val="left"/>
              <w:rPr>
                <w:sz w:val="17"/>
              </w:rPr>
            </w:pPr>
            <w:r>
              <w:rPr>
                <w:sz w:val="17"/>
              </w:rPr>
              <w:t>Imposte dirette</w:t>
            </w:r>
          </w:p>
        </w:tc>
        <w:tc>
          <w:tcPr>
            <w:tcW w:w="1090" w:type="dxa"/>
          </w:tcPr>
          <w:p>
            <w:pPr>
              <w:pStyle w:val="TableParagraph"/>
              <w:spacing w:before="40"/>
              <w:ind w:right="101"/>
              <w:rPr>
                <w:sz w:val="17"/>
              </w:rPr>
            </w:pPr>
            <w:r>
              <w:rPr>
                <w:sz w:val="17"/>
              </w:rPr>
              <w:t>248.834</w:t>
            </w:r>
          </w:p>
        </w:tc>
        <w:tc>
          <w:tcPr>
            <w:tcW w:w="847" w:type="dxa"/>
          </w:tcPr>
          <w:p>
            <w:pPr>
              <w:pStyle w:val="TableParagraph"/>
              <w:spacing w:before="40"/>
              <w:ind w:right="100"/>
              <w:rPr>
                <w:sz w:val="17"/>
              </w:rPr>
            </w:pPr>
            <w:r>
              <w:rPr>
                <w:sz w:val="17"/>
              </w:rPr>
              <w:t>250.173</w:t>
            </w:r>
          </w:p>
        </w:tc>
        <w:tc>
          <w:tcPr>
            <w:tcW w:w="919" w:type="dxa"/>
          </w:tcPr>
          <w:p>
            <w:pPr>
              <w:pStyle w:val="TableParagraph"/>
              <w:spacing w:before="40"/>
              <w:ind w:right="172"/>
              <w:rPr>
                <w:sz w:val="17"/>
              </w:rPr>
            </w:pPr>
            <w:r>
              <w:rPr>
                <w:sz w:val="17"/>
              </w:rPr>
              <w:t>250.326</w:t>
            </w:r>
          </w:p>
        </w:tc>
        <w:tc>
          <w:tcPr>
            <w:tcW w:w="932" w:type="dxa"/>
          </w:tcPr>
          <w:p>
            <w:pPr>
              <w:pStyle w:val="TableParagraph"/>
              <w:spacing w:before="40"/>
              <w:ind w:right="115"/>
              <w:rPr>
                <w:sz w:val="17"/>
              </w:rPr>
            </w:pPr>
            <w:r>
              <w:rPr>
                <w:sz w:val="17"/>
              </w:rPr>
              <w:t>254.845</w:t>
            </w:r>
          </w:p>
        </w:tc>
        <w:tc>
          <w:tcPr>
            <w:tcW w:w="785" w:type="dxa"/>
          </w:tcPr>
          <w:p>
            <w:pPr>
              <w:pStyle w:val="TableParagraph"/>
              <w:spacing w:before="40"/>
              <w:ind w:right="24"/>
              <w:rPr>
                <w:sz w:val="17"/>
              </w:rPr>
            </w:pPr>
            <w:r>
              <w:rPr>
                <w:sz w:val="17"/>
              </w:rPr>
              <w:t>258.143</w:t>
            </w:r>
          </w:p>
        </w:tc>
      </w:tr>
      <w:tr>
        <w:trPr>
          <w:trHeight w:val="272" w:hRule="atLeast"/>
        </w:trPr>
        <w:tc>
          <w:tcPr>
            <w:tcW w:w="3647" w:type="dxa"/>
          </w:tcPr>
          <w:p>
            <w:pPr>
              <w:pStyle w:val="TableParagraph"/>
              <w:spacing w:before="39"/>
              <w:ind w:left="707"/>
              <w:jc w:val="left"/>
              <w:rPr>
                <w:sz w:val="17"/>
              </w:rPr>
            </w:pPr>
            <w:r>
              <w:rPr>
                <w:sz w:val="17"/>
              </w:rPr>
              <w:t>Imposte indirette</w:t>
            </w:r>
          </w:p>
        </w:tc>
        <w:tc>
          <w:tcPr>
            <w:tcW w:w="1090" w:type="dxa"/>
          </w:tcPr>
          <w:p>
            <w:pPr>
              <w:pStyle w:val="TableParagraph"/>
              <w:spacing w:before="39"/>
              <w:ind w:right="101"/>
              <w:rPr>
                <w:sz w:val="17"/>
              </w:rPr>
            </w:pPr>
            <w:r>
              <w:rPr>
                <w:sz w:val="17"/>
              </w:rPr>
              <w:t>253.253</w:t>
            </w:r>
          </w:p>
        </w:tc>
        <w:tc>
          <w:tcPr>
            <w:tcW w:w="847" w:type="dxa"/>
          </w:tcPr>
          <w:p>
            <w:pPr>
              <w:pStyle w:val="TableParagraph"/>
              <w:spacing w:before="39"/>
              <w:ind w:right="100"/>
              <w:rPr>
                <w:sz w:val="17"/>
              </w:rPr>
            </w:pPr>
            <w:r>
              <w:rPr>
                <w:sz w:val="17"/>
              </w:rPr>
              <w:t>255.011</w:t>
            </w:r>
          </w:p>
        </w:tc>
        <w:tc>
          <w:tcPr>
            <w:tcW w:w="919" w:type="dxa"/>
          </w:tcPr>
          <w:p>
            <w:pPr>
              <w:pStyle w:val="TableParagraph"/>
              <w:spacing w:before="39"/>
              <w:ind w:right="172"/>
              <w:rPr>
                <w:sz w:val="17"/>
              </w:rPr>
            </w:pPr>
            <w:r>
              <w:rPr>
                <w:sz w:val="17"/>
              </w:rPr>
              <w:t>280.365</w:t>
            </w:r>
          </w:p>
        </w:tc>
        <w:tc>
          <w:tcPr>
            <w:tcW w:w="932" w:type="dxa"/>
          </w:tcPr>
          <w:p>
            <w:pPr>
              <w:pStyle w:val="TableParagraph"/>
              <w:spacing w:before="39"/>
              <w:ind w:right="115"/>
              <w:rPr>
                <w:sz w:val="17"/>
              </w:rPr>
            </w:pPr>
            <w:r>
              <w:rPr>
                <w:sz w:val="17"/>
              </w:rPr>
              <w:t>290.435</w:t>
            </w:r>
          </w:p>
        </w:tc>
        <w:tc>
          <w:tcPr>
            <w:tcW w:w="785" w:type="dxa"/>
          </w:tcPr>
          <w:p>
            <w:pPr>
              <w:pStyle w:val="TableParagraph"/>
              <w:spacing w:before="39"/>
              <w:ind w:right="24"/>
              <w:rPr>
                <w:sz w:val="17"/>
              </w:rPr>
            </w:pPr>
            <w:r>
              <w:rPr>
                <w:sz w:val="17"/>
              </w:rPr>
              <w:t>295.570</w:t>
            </w:r>
          </w:p>
        </w:tc>
      </w:tr>
      <w:tr>
        <w:trPr>
          <w:trHeight w:val="273" w:hRule="atLeast"/>
        </w:trPr>
        <w:tc>
          <w:tcPr>
            <w:tcW w:w="3647" w:type="dxa"/>
          </w:tcPr>
          <w:p>
            <w:pPr>
              <w:pStyle w:val="TableParagraph"/>
              <w:spacing w:before="40"/>
              <w:ind w:left="707"/>
              <w:jc w:val="left"/>
              <w:rPr>
                <w:sz w:val="17"/>
              </w:rPr>
            </w:pPr>
            <w:r>
              <w:rPr>
                <w:sz w:val="17"/>
              </w:rPr>
              <w:t>Imposte in c/capitale</w:t>
            </w:r>
          </w:p>
        </w:tc>
        <w:tc>
          <w:tcPr>
            <w:tcW w:w="1090" w:type="dxa"/>
          </w:tcPr>
          <w:p>
            <w:pPr>
              <w:pStyle w:val="TableParagraph"/>
              <w:spacing w:before="40"/>
              <w:ind w:right="100"/>
              <w:rPr>
                <w:sz w:val="17"/>
              </w:rPr>
            </w:pPr>
            <w:r>
              <w:rPr>
                <w:sz w:val="17"/>
              </w:rPr>
              <w:t>1.570</w:t>
            </w:r>
          </w:p>
        </w:tc>
        <w:tc>
          <w:tcPr>
            <w:tcW w:w="847" w:type="dxa"/>
          </w:tcPr>
          <w:p>
            <w:pPr>
              <w:pStyle w:val="TableParagraph"/>
              <w:spacing w:before="40"/>
              <w:ind w:right="100"/>
              <w:rPr>
                <w:sz w:val="17"/>
              </w:rPr>
            </w:pPr>
            <w:r>
              <w:rPr>
                <w:sz w:val="17"/>
              </w:rPr>
              <w:t>1.182</w:t>
            </w:r>
          </w:p>
        </w:tc>
        <w:tc>
          <w:tcPr>
            <w:tcW w:w="919" w:type="dxa"/>
          </w:tcPr>
          <w:p>
            <w:pPr>
              <w:pStyle w:val="TableParagraph"/>
              <w:spacing w:before="40"/>
              <w:ind w:right="172"/>
              <w:rPr>
                <w:sz w:val="17"/>
              </w:rPr>
            </w:pPr>
            <w:r>
              <w:rPr>
                <w:sz w:val="17"/>
              </w:rPr>
              <w:t>1.098</w:t>
            </w:r>
          </w:p>
        </w:tc>
        <w:tc>
          <w:tcPr>
            <w:tcW w:w="932" w:type="dxa"/>
          </w:tcPr>
          <w:p>
            <w:pPr>
              <w:pStyle w:val="TableParagraph"/>
              <w:spacing w:before="40"/>
              <w:ind w:right="115"/>
              <w:rPr>
                <w:sz w:val="17"/>
              </w:rPr>
            </w:pPr>
            <w:r>
              <w:rPr>
                <w:sz w:val="17"/>
              </w:rPr>
              <w:t>1.104</w:t>
            </w:r>
          </w:p>
        </w:tc>
        <w:tc>
          <w:tcPr>
            <w:tcW w:w="785" w:type="dxa"/>
          </w:tcPr>
          <w:p>
            <w:pPr>
              <w:pStyle w:val="TableParagraph"/>
              <w:spacing w:before="40"/>
              <w:ind w:right="24"/>
              <w:rPr>
                <w:sz w:val="17"/>
              </w:rPr>
            </w:pPr>
            <w:r>
              <w:rPr>
                <w:sz w:val="17"/>
              </w:rPr>
              <w:t>1.112</w:t>
            </w:r>
          </w:p>
        </w:tc>
      </w:tr>
      <w:tr>
        <w:trPr>
          <w:trHeight w:val="282" w:hRule="atLeast"/>
        </w:trPr>
        <w:tc>
          <w:tcPr>
            <w:tcW w:w="3647" w:type="dxa"/>
          </w:tcPr>
          <w:p>
            <w:pPr>
              <w:pStyle w:val="TableParagraph"/>
              <w:spacing w:before="40"/>
              <w:jc w:val="left"/>
              <w:rPr>
                <w:sz w:val="17"/>
              </w:rPr>
            </w:pPr>
            <w:r>
              <w:rPr>
                <w:sz w:val="17"/>
              </w:rPr>
              <w:t>Contributi sociali</w:t>
            </w:r>
          </w:p>
        </w:tc>
        <w:tc>
          <w:tcPr>
            <w:tcW w:w="1090" w:type="dxa"/>
          </w:tcPr>
          <w:p>
            <w:pPr>
              <w:pStyle w:val="TableParagraph"/>
              <w:spacing w:before="40"/>
              <w:ind w:right="101"/>
              <w:rPr>
                <w:sz w:val="17"/>
              </w:rPr>
            </w:pPr>
            <w:r>
              <w:rPr>
                <w:sz w:val="17"/>
              </w:rPr>
              <w:t>234.941</w:t>
            </w:r>
          </w:p>
        </w:tc>
        <w:tc>
          <w:tcPr>
            <w:tcW w:w="847" w:type="dxa"/>
          </w:tcPr>
          <w:p>
            <w:pPr>
              <w:pStyle w:val="TableParagraph"/>
              <w:spacing w:before="40"/>
              <w:ind w:right="100"/>
              <w:rPr>
                <w:sz w:val="17"/>
              </w:rPr>
            </w:pPr>
            <w:r>
              <w:rPr>
                <w:sz w:val="17"/>
              </w:rPr>
              <w:t>241.482</w:t>
            </w:r>
          </w:p>
        </w:tc>
        <w:tc>
          <w:tcPr>
            <w:tcW w:w="919" w:type="dxa"/>
          </w:tcPr>
          <w:p>
            <w:pPr>
              <w:pStyle w:val="TableParagraph"/>
              <w:spacing w:before="57"/>
              <w:ind w:right="171"/>
              <w:rPr>
                <w:sz w:val="17"/>
              </w:rPr>
            </w:pPr>
            <w:r>
              <w:rPr>
                <w:sz w:val="17"/>
              </w:rPr>
              <w:t>245.404</w:t>
            </w:r>
          </w:p>
        </w:tc>
        <w:tc>
          <w:tcPr>
            <w:tcW w:w="932" w:type="dxa"/>
          </w:tcPr>
          <w:p>
            <w:pPr>
              <w:pStyle w:val="TableParagraph"/>
              <w:spacing w:before="40"/>
              <w:ind w:right="115"/>
              <w:rPr>
                <w:sz w:val="17"/>
              </w:rPr>
            </w:pPr>
            <w:r>
              <w:rPr>
                <w:sz w:val="17"/>
              </w:rPr>
              <w:t>249.330</w:t>
            </w:r>
          </w:p>
        </w:tc>
        <w:tc>
          <w:tcPr>
            <w:tcW w:w="785" w:type="dxa"/>
          </w:tcPr>
          <w:p>
            <w:pPr>
              <w:pStyle w:val="TableParagraph"/>
              <w:spacing w:before="40"/>
              <w:ind w:right="24"/>
              <w:rPr>
                <w:sz w:val="17"/>
              </w:rPr>
            </w:pPr>
            <w:r>
              <w:rPr>
                <w:sz w:val="17"/>
              </w:rPr>
              <w:t>254.990</w:t>
            </w:r>
          </w:p>
        </w:tc>
      </w:tr>
      <w:tr>
        <w:trPr>
          <w:trHeight w:val="272" w:hRule="atLeast"/>
        </w:trPr>
        <w:tc>
          <w:tcPr>
            <w:tcW w:w="3647" w:type="dxa"/>
          </w:tcPr>
          <w:p>
            <w:pPr>
              <w:pStyle w:val="TableParagraph"/>
              <w:spacing w:before="32"/>
              <w:ind w:left="707"/>
              <w:jc w:val="left"/>
              <w:rPr>
                <w:sz w:val="17"/>
              </w:rPr>
            </w:pPr>
            <w:r>
              <w:rPr>
                <w:sz w:val="17"/>
              </w:rPr>
              <w:t>Contributi effettivi</w:t>
            </w:r>
          </w:p>
        </w:tc>
        <w:tc>
          <w:tcPr>
            <w:tcW w:w="1090" w:type="dxa"/>
          </w:tcPr>
          <w:p>
            <w:pPr>
              <w:pStyle w:val="TableParagraph"/>
              <w:spacing w:before="32"/>
              <w:ind w:right="101"/>
              <w:rPr>
                <w:sz w:val="17"/>
              </w:rPr>
            </w:pPr>
            <w:r>
              <w:rPr>
                <w:sz w:val="17"/>
              </w:rPr>
              <w:t>230.810</w:t>
            </w:r>
          </w:p>
        </w:tc>
        <w:tc>
          <w:tcPr>
            <w:tcW w:w="847" w:type="dxa"/>
          </w:tcPr>
          <w:p>
            <w:pPr>
              <w:pStyle w:val="TableParagraph"/>
              <w:spacing w:before="32"/>
              <w:ind w:right="100"/>
              <w:rPr>
                <w:sz w:val="17"/>
              </w:rPr>
            </w:pPr>
            <w:r>
              <w:rPr>
                <w:sz w:val="17"/>
              </w:rPr>
              <w:t>237.249</w:t>
            </w:r>
          </w:p>
        </w:tc>
        <w:tc>
          <w:tcPr>
            <w:tcW w:w="919" w:type="dxa"/>
          </w:tcPr>
          <w:p>
            <w:pPr>
              <w:pStyle w:val="TableParagraph"/>
              <w:spacing w:before="49"/>
              <w:ind w:right="171"/>
              <w:rPr>
                <w:sz w:val="17"/>
              </w:rPr>
            </w:pPr>
            <w:r>
              <w:rPr>
                <w:sz w:val="17"/>
              </w:rPr>
              <w:t>241.079</w:t>
            </w:r>
          </w:p>
        </w:tc>
        <w:tc>
          <w:tcPr>
            <w:tcW w:w="932" w:type="dxa"/>
          </w:tcPr>
          <w:p>
            <w:pPr>
              <w:pStyle w:val="TableParagraph"/>
              <w:spacing w:before="32"/>
              <w:ind w:right="115"/>
              <w:rPr>
                <w:sz w:val="17"/>
              </w:rPr>
            </w:pPr>
            <w:r>
              <w:rPr>
                <w:sz w:val="17"/>
              </w:rPr>
              <w:t>244.921</w:t>
            </w:r>
          </w:p>
        </w:tc>
        <w:tc>
          <w:tcPr>
            <w:tcW w:w="785" w:type="dxa"/>
          </w:tcPr>
          <w:p>
            <w:pPr>
              <w:pStyle w:val="TableParagraph"/>
              <w:spacing w:before="32"/>
              <w:ind w:right="24"/>
              <w:rPr>
                <w:sz w:val="17"/>
              </w:rPr>
            </w:pPr>
            <w:r>
              <w:rPr>
                <w:sz w:val="17"/>
              </w:rPr>
              <w:t>250.514</w:t>
            </w:r>
          </w:p>
        </w:tc>
      </w:tr>
      <w:tr>
        <w:trPr>
          <w:trHeight w:val="273" w:hRule="atLeast"/>
        </w:trPr>
        <w:tc>
          <w:tcPr>
            <w:tcW w:w="3647" w:type="dxa"/>
          </w:tcPr>
          <w:p>
            <w:pPr>
              <w:pStyle w:val="TableParagraph"/>
              <w:spacing w:before="31"/>
              <w:ind w:left="707"/>
              <w:jc w:val="left"/>
              <w:rPr>
                <w:sz w:val="17"/>
              </w:rPr>
            </w:pPr>
            <w:r>
              <w:rPr>
                <w:sz w:val="17"/>
              </w:rPr>
              <w:t>Contributi figurativi</w:t>
            </w:r>
          </w:p>
        </w:tc>
        <w:tc>
          <w:tcPr>
            <w:tcW w:w="1090" w:type="dxa"/>
          </w:tcPr>
          <w:p>
            <w:pPr>
              <w:pStyle w:val="TableParagraph"/>
              <w:spacing w:before="31"/>
              <w:ind w:right="100"/>
              <w:rPr>
                <w:sz w:val="17"/>
              </w:rPr>
            </w:pPr>
            <w:r>
              <w:rPr>
                <w:sz w:val="17"/>
              </w:rPr>
              <w:t>4.131</w:t>
            </w:r>
          </w:p>
        </w:tc>
        <w:tc>
          <w:tcPr>
            <w:tcW w:w="847" w:type="dxa"/>
          </w:tcPr>
          <w:p>
            <w:pPr>
              <w:pStyle w:val="TableParagraph"/>
              <w:spacing w:before="31"/>
              <w:ind w:right="100"/>
              <w:rPr>
                <w:sz w:val="17"/>
              </w:rPr>
            </w:pPr>
            <w:r>
              <w:rPr>
                <w:sz w:val="17"/>
              </w:rPr>
              <w:t>4.233</w:t>
            </w:r>
          </w:p>
        </w:tc>
        <w:tc>
          <w:tcPr>
            <w:tcW w:w="919" w:type="dxa"/>
          </w:tcPr>
          <w:p>
            <w:pPr>
              <w:pStyle w:val="TableParagraph"/>
              <w:spacing w:before="50"/>
              <w:ind w:right="172"/>
              <w:rPr>
                <w:sz w:val="17"/>
              </w:rPr>
            </w:pPr>
            <w:r>
              <w:rPr>
                <w:sz w:val="17"/>
              </w:rPr>
              <w:t>4.325</w:t>
            </w:r>
          </w:p>
        </w:tc>
        <w:tc>
          <w:tcPr>
            <w:tcW w:w="932" w:type="dxa"/>
          </w:tcPr>
          <w:p>
            <w:pPr>
              <w:pStyle w:val="TableParagraph"/>
              <w:spacing w:before="31"/>
              <w:ind w:right="115"/>
              <w:rPr>
                <w:sz w:val="17"/>
              </w:rPr>
            </w:pPr>
            <w:r>
              <w:rPr>
                <w:sz w:val="17"/>
              </w:rPr>
              <w:t>4.409</w:t>
            </w:r>
          </w:p>
        </w:tc>
        <w:tc>
          <w:tcPr>
            <w:tcW w:w="785" w:type="dxa"/>
          </w:tcPr>
          <w:p>
            <w:pPr>
              <w:pStyle w:val="TableParagraph"/>
              <w:spacing w:before="31"/>
              <w:ind w:right="24"/>
              <w:rPr>
                <w:sz w:val="17"/>
              </w:rPr>
            </w:pPr>
            <w:r>
              <w:rPr>
                <w:sz w:val="17"/>
              </w:rPr>
              <w:t>4.476</w:t>
            </w:r>
          </w:p>
        </w:tc>
      </w:tr>
      <w:tr>
        <w:trPr>
          <w:trHeight w:val="272" w:hRule="atLeast"/>
        </w:trPr>
        <w:tc>
          <w:tcPr>
            <w:tcW w:w="3647" w:type="dxa"/>
          </w:tcPr>
          <w:p>
            <w:pPr>
              <w:pStyle w:val="TableParagraph"/>
              <w:spacing w:before="31"/>
              <w:jc w:val="left"/>
              <w:rPr>
                <w:sz w:val="17"/>
              </w:rPr>
            </w:pPr>
            <w:r>
              <w:rPr>
                <w:sz w:val="17"/>
              </w:rPr>
              <w:t>Altre entrate correnti</w:t>
            </w:r>
          </w:p>
        </w:tc>
        <w:tc>
          <w:tcPr>
            <w:tcW w:w="1090" w:type="dxa"/>
          </w:tcPr>
          <w:p>
            <w:pPr>
              <w:pStyle w:val="TableParagraph"/>
              <w:spacing w:before="31"/>
              <w:ind w:right="100"/>
              <w:rPr>
                <w:sz w:val="17"/>
              </w:rPr>
            </w:pPr>
            <w:r>
              <w:rPr>
                <w:sz w:val="17"/>
              </w:rPr>
              <w:t>75.182</w:t>
            </w:r>
          </w:p>
        </w:tc>
        <w:tc>
          <w:tcPr>
            <w:tcW w:w="847" w:type="dxa"/>
          </w:tcPr>
          <w:p>
            <w:pPr>
              <w:pStyle w:val="TableParagraph"/>
              <w:spacing w:before="31"/>
              <w:ind w:right="100"/>
              <w:rPr>
                <w:sz w:val="17"/>
              </w:rPr>
            </w:pPr>
            <w:r>
              <w:rPr>
                <w:sz w:val="17"/>
              </w:rPr>
              <w:t>79.236</w:t>
            </w:r>
          </w:p>
        </w:tc>
        <w:tc>
          <w:tcPr>
            <w:tcW w:w="919" w:type="dxa"/>
          </w:tcPr>
          <w:p>
            <w:pPr>
              <w:pStyle w:val="TableParagraph"/>
              <w:spacing w:before="47"/>
              <w:ind w:right="173"/>
              <w:rPr>
                <w:sz w:val="17"/>
              </w:rPr>
            </w:pPr>
            <w:r>
              <w:rPr>
                <w:sz w:val="17"/>
              </w:rPr>
              <w:t>79.980</w:t>
            </w:r>
          </w:p>
        </w:tc>
        <w:tc>
          <w:tcPr>
            <w:tcW w:w="932" w:type="dxa"/>
          </w:tcPr>
          <w:p>
            <w:pPr>
              <w:pStyle w:val="TableParagraph"/>
              <w:spacing w:before="31"/>
              <w:ind w:right="115"/>
              <w:rPr>
                <w:sz w:val="17"/>
              </w:rPr>
            </w:pPr>
            <w:r>
              <w:rPr>
                <w:sz w:val="17"/>
              </w:rPr>
              <w:t>79.563</w:t>
            </w:r>
          </w:p>
        </w:tc>
        <w:tc>
          <w:tcPr>
            <w:tcW w:w="785" w:type="dxa"/>
          </w:tcPr>
          <w:p>
            <w:pPr>
              <w:pStyle w:val="TableParagraph"/>
              <w:spacing w:before="31"/>
              <w:ind w:right="24"/>
              <w:rPr>
                <w:sz w:val="17"/>
              </w:rPr>
            </w:pPr>
            <w:r>
              <w:rPr>
                <w:sz w:val="17"/>
              </w:rPr>
              <w:t>79.266</w:t>
            </w:r>
          </w:p>
        </w:tc>
      </w:tr>
      <w:tr>
        <w:trPr>
          <w:trHeight w:val="323" w:hRule="atLeast"/>
        </w:trPr>
        <w:tc>
          <w:tcPr>
            <w:tcW w:w="3647" w:type="dxa"/>
          </w:tcPr>
          <w:p>
            <w:pPr>
              <w:pStyle w:val="TableParagraph"/>
              <w:spacing w:before="32"/>
              <w:jc w:val="left"/>
              <w:rPr>
                <w:sz w:val="17"/>
              </w:rPr>
            </w:pPr>
            <w:r>
              <w:rPr>
                <w:sz w:val="17"/>
              </w:rPr>
              <w:t>Totale entrate correnti</w:t>
            </w:r>
          </w:p>
        </w:tc>
        <w:tc>
          <w:tcPr>
            <w:tcW w:w="1090" w:type="dxa"/>
          </w:tcPr>
          <w:p>
            <w:pPr>
              <w:pStyle w:val="TableParagraph"/>
              <w:spacing w:before="32"/>
              <w:ind w:right="101"/>
              <w:rPr>
                <w:sz w:val="17"/>
              </w:rPr>
            </w:pPr>
            <w:r>
              <w:rPr>
                <w:sz w:val="17"/>
              </w:rPr>
              <w:t>812.210</w:t>
            </w:r>
          </w:p>
        </w:tc>
        <w:tc>
          <w:tcPr>
            <w:tcW w:w="847" w:type="dxa"/>
          </w:tcPr>
          <w:p>
            <w:pPr>
              <w:pStyle w:val="TableParagraph"/>
              <w:spacing w:before="32"/>
              <w:ind w:right="100"/>
              <w:rPr>
                <w:sz w:val="17"/>
              </w:rPr>
            </w:pPr>
            <w:r>
              <w:rPr>
                <w:sz w:val="17"/>
              </w:rPr>
              <w:t>825.902</w:t>
            </w:r>
          </w:p>
        </w:tc>
        <w:tc>
          <w:tcPr>
            <w:tcW w:w="919" w:type="dxa"/>
          </w:tcPr>
          <w:p>
            <w:pPr>
              <w:pStyle w:val="TableParagraph"/>
              <w:spacing w:before="49"/>
              <w:ind w:right="172"/>
              <w:rPr>
                <w:sz w:val="17"/>
              </w:rPr>
            </w:pPr>
            <w:r>
              <w:rPr>
                <w:sz w:val="17"/>
              </w:rPr>
              <w:t>856.075</w:t>
            </w:r>
          </w:p>
        </w:tc>
        <w:tc>
          <w:tcPr>
            <w:tcW w:w="932" w:type="dxa"/>
          </w:tcPr>
          <w:p>
            <w:pPr>
              <w:pStyle w:val="TableParagraph"/>
              <w:spacing w:before="32"/>
              <w:ind w:right="115"/>
              <w:rPr>
                <w:sz w:val="17"/>
              </w:rPr>
            </w:pPr>
            <w:r>
              <w:rPr>
                <w:sz w:val="17"/>
              </w:rPr>
              <w:t>874.173</w:t>
            </w:r>
          </w:p>
        </w:tc>
        <w:tc>
          <w:tcPr>
            <w:tcW w:w="785" w:type="dxa"/>
          </w:tcPr>
          <w:p>
            <w:pPr>
              <w:pStyle w:val="TableParagraph"/>
              <w:spacing w:before="32"/>
              <w:ind w:right="24"/>
              <w:rPr>
                <w:sz w:val="17"/>
              </w:rPr>
            </w:pPr>
            <w:r>
              <w:rPr>
                <w:sz w:val="17"/>
              </w:rPr>
              <w:t>887.969</w:t>
            </w:r>
          </w:p>
        </w:tc>
      </w:tr>
      <w:tr>
        <w:trPr>
          <w:trHeight w:val="358" w:hRule="atLeast"/>
        </w:trPr>
        <w:tc>
          <w:tcPr>
            <w:tcW w:w="3647" w:type="dxa"/>
          </w:tcPr>
          <w:p>
            <w:pPr>
              <w:pStyle w:val="TableParagraph"/>
              <w:spacing w:before="82"/>
              <w:jc w:val="left"/>
              <w:rPr>
                <w:sz w:val="17"/>
              </w:rPr>
            </w:pPr>
            <w:r>
              <w:rPr>
                <w:sz w:val="17"/>
              </w:rPr>
              <w:t>Entrate in c/capitale non tributarie</w:t>
            </w:r>
          </w:p>
        </w:tc>
        <w:tc>
          <w:tcPr>
            <w:tcW w:w="1090" w:type="dxa"/>
          </w:tcPr>
          <w:p>
            <w:pPr>
              <w:pStyle w:val="TableParagraph"/>
              <w:spacing w:before="82"/>
              <w:ind w:right="100"/>
              <w:rPr>
                <w:sz w:val="17"/>
              </w:rPr>
            </w:pPr>
            <w:r>
              <w:rPr>
                <w:sz w:val="17"/>
              </w:rPr>
              <w:t>2.271</w:t>
            </w:r>
          </w:p>
        </w:tc>
        <w:tc>
          <w:tcPr>
            <w:tcW w:w="847" w:type="dxa"/>
          </w:tcPr>
          <w:p>
            <w:pPr>
              <w:pStyle w:val="TableParagraph"/>
              <w:spacing w:before="82"/>
              <w:ind w:right="100"/>
              <w:rPr>
                <w:sz w:val="17"/>
              </w:rPr>
            </w:pPr>
            <w:r>
              <w:rPr>
                <w:sz w:val="17"/>
              </w:rPr>
              <w:t>2.596</w:t>
            </w:r>
          </w:p>
        </w:tc>
        <w:tc>
          <w:tcPr>
            <w:tcW w:w="919" w:type="dxa"/>
          </w:tcPr>
          <w:p>
            <w:pPr>
              <w:pStyle w:val="TableParagraph"/>
              <w:spacing w:before="22"/>
              <w:ind w:right="172"/>
              <w:rPr>
                <w:sz w:val="17"/>
              </w:rPr>
            </w:pPr>
            <w:r>
              <w:rPr>
                <w:sz w:val="17"/>
              </w:rPr>
              <w:t>2.436</w:t>
            </w:r>
          </w:p>
        </w:tc>
        <w:tc>
          <w:tcPr>
            <w:tcW w:w="932" w:type="dxa"/>
          </w:tcPr>
          <w:p>
            <w:pPr>
              <w:pStyle w:val="TableParagraph"/>
              <w:spacing w:before="82"/>
              <w:ind w:right="115"/>
              <w:rPr>
                <w:sz w:val="17"/>
              </w:rPr>
            </w:pPr>
            <w:r>
              <w:rPr>
                <w:sz w:val="17"/>
              </w:rPr>
              <w:t>2.703</w:t>
            </w:r>
          </w:p>
        </w:tc>
        <w:tc>
          <w:tcPr>
            <w:tcW w:w="785" w:type="dxa"/>
          </w:tcPr>
          <w:p>
            <w:pPr>
              <w:pStyle w:val="TableParagraph"/>
              <w:spacing w:before="82"/>
              <w:ind w:right="24"/>
              <w:rPr>
                <w:sz w:val="17"/>
              </w:rPr>
            </w:pPr>
            <w:r>
              <w:rPr>
                <w:sz w:val="17"/>
              </w:rPr>
              <w:t>2.772</w:t>
            </w:r>
          </w:p>
        </w:tc>
      </w:tr>
      <w:tr>
        <w:trPr>
          <w:trHeight w:val="308" w:hRule="atLeast"/>
        </w:trPr>
        <w:tc>
          <w:tcPr>
            <w:tcW w:w="3647" w:type="dxa"/>
          </w:tcPr>
          <w:p>
            <w:pPr>
              <w:pStyle w:val="TableParagraph"/>
              <w:spacing w:before="83"/>
              <w:jc w:val="left"/>
              <w:rPr>
                <w:sz w:val="17"/>
              </w:rPr>
            </w:pPr>
            <w:r>
              <w:rPr>
                <w:sz w:val="17"/>
              </w:rPr>
              <w:t>Totale entrate finali</w:t>
            </w:r>
          </w:p>
        </w:tc>
        <w:tc>
          <w:tcPr>
            <w:tcW w:w="1090" w:type="dxa"/>
          </w:tcPr>
          <w:p>
            <w:pPr>
              <w:pStyle w:val="TableParagraph"/>
              <w:spacing w:before="83"/>
              <w:ind w:right="101"/>
              <w:rPr>
                <w:sz w:val="17"/>
              </w:rPr>
            </w:pPr>
            <w:r>
              <w:rPr>
                <w:sz w:val="17"/>
              </w:rPr>
              <w:t>816.051</w:t>
            </w:r>
          </w:p>
        </w:tc>
        <w:tc>
          <w:tcPr>
            <w:tcW w:w="847" w:type="dxa"/>
          </w:tcPr>
          <w:p>
            <w:pPr>
              <w:pStyle w:val="TableParagraph"/>
              <w:spacing w:before="83"/>
              <w:ind w:right="100"/>
              <w:rPr>
                <w:sz w:val="17"/>
              </w:rPr>
            </w:pPr>
            <w:r>
              <w:rPr>
                <w:sz w:val="17"/>
              </w:rPr>
              <w:t>829.680</w:t>
            </w:r>
          </w:p>
        </w:tc>
        <w:tc>
          <w:tcPr>
            <w:tcW w:w="919" w:type="dxa"/>
          </w:tcPr>
          <w:p>
            <w:pPr>
              <w:pStyle w:val="TableParagraph"/>
              <w:spacing w:before="83"/>
              <w:ind w:right="172"/>
              <w:rPr>
                <w:sz w:val="17"/>
              </w:rPr>
            </w:pPr>
            <w:r>
              <w:rPr>
                <w:sz w:val="17"/>
              </w:rPr>
              <w:t>859.609</w:t>
            </w:r>
          </w:p>
        </w:tc>
        <w:tc>
          <w:tcPr>
            <w:tcW w:w="932" w:type="dxa"/>
          </w:tcPr>
          <w:p>
            <w:pPr>
              <w:pStyle w:val="TableParagraph"/>
              <w:spacing w:before="83"/>
              <w:ind w:right="115"/>
              <w:rPr>
                <w:sz w:val="17"/>
              </w:rPr>
            </w:pPr>
            <w:r>
              <w:rPr>
                <w:sz w:val="17"/>
              </w:rPr>
              <w:t>877.980</w:t>
            </w:r>
          </w:p>
        </w:tc>
        <w:tc>
          <w:tcPr>
            <w:tcW w:w="785" w:type="dxa"/>
          </w:tcPr>
          <w:p>
            <w:pPr>
              <w:pStyle w:val="TableParagraph"/>
              <w:spacing w:before="83"/>
              <w:ind w:right="24"/>
              <w:rPr>
                <w:sz w:val="17"/>
              </w:rPr>
            </w:pPr>
            <w:r>
              <w:rPr>
                <w:sz w:val="17"/>
              </w:rPr>
              <w:t>891.853</w:t>
            </w:r>
          </w:p>
        </w:tc>
      </w:tr>
      <w:tr>
        <w:trPr>
          <w:trHeight w:val="263" w:hRule="atLeast"/>
        </w:trPr>
        <w:tc>
          <w:tcPr>
            <w:tcW w:w="3647" w:type="dxa"/>
          </w:tcPr>
          <w:p>
            <w:pPr>
              <w:pStyle w:val="TableParagraph"/>
              <w:spacing w:before="32"/>
              <w:ind w:left="4"/>
              <w:jc w:val="left"/>
              <w:rPr>
                <w:i/>
                <w:sz w:val="17"/>
              </w:rPr>
            </w:pPr>
            <w:r>
              <w:rPr>
                <w:i/>
                <w:sz w:val="17"/>
              </w:rPr>
              <w:t>p.m. Pressione fiscale</w:t>
            </w:r>
          </w:p>
        </w:tc>
        <w:tc>
          <w:tcPr>
            <w:tcW w:w="1090" w:type="dxa"/>
          </w:tcPr>
          <w:p>
            <w:pPr>
              <w:pStyle w:val="TableParagraph"/>
              <w:spacing w:before="32"/>
              <w:ind w:right="100"/>
              <w:rPr>
                <w:i/>
                <w:sz w:val="17"/>
              </w:rPr>
            </w:pPr>
            <w:r>
              <w:rPr>
                <w:i/>
                <w:sz w:val="17"/>
              </w:rPr>
              <w:t>41,8</w:t>
            </w:r>
          </w:p>
        </w:tc>
        <w:tc>
          <w:tcPr>
            <w:tcW w:w="847" w:type="dxa"/>
          </w:tcPr>
          <w:p>
            <w:pPr>
              <w:pStyle w:val="TableParagraph"/>
              <w:spacing w:before="32"/>
              <w:ind w:right="100"/>
              <w:rPr>
                <w:i/>
                <w:sz w:val="17"/>
              </w:rPr>
            </w:pPr>
            <w:r>
              <w:rPr>
                <w:i/>
                <w:sz w:val="17"/>
              </w:rPr>
              <w:t>41,9</w:t>
            </w:r>
          </w:p>
        </w:tc>
        <w:tc>
          <w:tcPr>
            <w:tcW w:w="919" w:type="dxa"/>
          </w:tcPr>
          <w:p>
            <w:pPr>
              <w:pStyle w:val="TableParagraph"/>
              <w:spacing w:before="32"/>
              <w:ind w:right="172"/>
              <w:rPr>
                <w:i/>
                <w:sz w:val="17"/>
              </w:rPr>
            </w:pPr>
            <w:r>
              <w:rPr>
                <w:i/>
                <w:sz w:val="17"/>
              </w:rPr>
              <w:t>42,6</w:t>
            </w:r>
          </w:p>
        </w:tc>
        <w:tc>
          <w:tcPr>
            <w:tcW w:w="932" w:type="dxa"/>
          </w:tcPr>
          <w:p>
            <w:pPr>
              <w:pStyle w:val="TableParagraph"/>
              <w:spacing w:before="32"/>
              <w:ind w:right="114"/>
              <w:rPr>
                <w:i/>
                <w:sz w:val="17"/>
              </w:rPr>
            </w:pPr>
            <w:r>
              <w:rPr>
                <w:i/>
                <w:sz w:val="17"/>
              </w:rPr>
              <w:t>42,6</w:t>
            </w:r>
          </w:p>
        </w:tc>
        <w:tc>
          <w:tcPr>
            <w:tcW w:w="785" w:type="dxa"/>
          </w:tcPr>
          <w:p>
            <w:pPr>
              <w:pStyle w:val="TableParagraph"/>
              <w:spacing w:before="32"/>
              <w:ind w:right="23"/>
              <w:rPr>
                <w:i/>
                <w:sz w:val="17"/>
              </w:rPr>
            </w:pPr>
            <w:r>
              <w:rPr>
                <w:i/>
                <w:sz w:val="17"/>
              </w:rPr>
              <w:t>42,3</w:t>
            </w:r>
          </w:p>
        </w:tc>
      </w:tr>
      <w:tr>
        <w:trPr>
          <w:trHeight w:val="288" w:hRule="atLeast"/>
        </w:trPr>
        <w:tc>
          <w:tcPr>
            <w:tcW w:w="3647" w:type="dxa"/>
            <w:tcBorders>
              <w:bottom w:val="single" w:sz="4" w:space="0" w:color="000000"/>
            </w:tcBorders>
          </w:tcPr>
          <w:p>
            <w:pPr>
              <w:pStyle w:val="TableParagraph"/>
              <w:spacing w:before="39"/>
              <w:ind w:left="345"/>
              <w:jc w:val="left"/>
              <w:rPr>
                <w:i/>
                <w:sz w:val="17"/>
              </w:rPr>
            </w:pPr>
            <w:r>
              <w:rPr>
                <w:i/>
                <w:sz w:val="17"/>
              </w:rPr>
              <w:t>Pressione fiscale al netto misure 80 euro</w:t>
            </w:r>
          </w:p>
        </w:tc>
        <w:tc>
          <w:tcPr>
            <w:tcW w:w="1090" w:type="dxa"/>
            <w:tcBorders>
              <w:bottom w:val="single" w:sz="4" w:space="0" w:color="000000"/>
            </w:tcBorders>
          </w:tcPr>
          <w:p>
            <w:pPr>
              <w:pStyle w:val="TableParagraph"/>
              <w:spacing w:before="39"/>
              <w:ind w:right="100"/>
              <w:rPr>
                <w:i/>
                <w:sz w:val="17"/>
              </w:rPr>
            </w:pPr>
            <w:r>
              <w:rPr>
                <w:i/>
                <w:sz w:val="17"/>
              </w:rPr>
              <w:t>41,3</w:t>
            </w:r>
          </w:p>
        </w:tc>
        <w:tc>
          <w:tcPr>
            <w:tcW w:w="847" w:type="dxa"/>
            <w:tcBorders>
              <w:bottom w:val="single" w:sz="4" w:space="0" w:color="000000"/>
            </w:tcBorders>
          </w:tcPr>
          <w:p>
            <w:pPr>
              <w:pStyle w:val="TableParagraph"/>
              <w:spacing w:before="39"/>
              <w:ind w:right="100"/>
              <w:rPr>
                <w:i/>
                <w:sz w:val="17"/>
              </w:rPr>
            </w:pPr>
            <w:r>
              <w:rPr>
                <w:i/>
                <w:sz w:val="17"/>
              </w:rPr>
              <w:t>41,4</w:t>
            </w:r>
          </w:p>
        </w:tc>
        <w:tc>
          <w:tcPr>
            <w:tcW w:w="919" w:type="dxa"/>
            <w:tcBorders>
              <w:bottom w:val="single" w:sz="4" w:space="0" w:color="000000"/>
            </w:tcBorders>
          </w:tcPr>
          <w:p>
            <w:pPr>
              <w:pStyle w:val="TableParagraph"/>
              <w:spacing w:before="39"/>
              <w:ind w:right="172"/>
              <w:rPr>
                <w:i/>
                <w:sz w:val="17"/>
              </w:rPr>
            </w:pPr>
            <w:r>
              <w:rPr>
                <w:i/>
                <w:sz w:val="17"/>
              </w:rPr>
              <w:t>42,1</w:t>
            </w:r>
          </w:p>
        </w:tc>
        <w:tc>
          <w:tcPr>
            <w:tcW w:w="932" w:type="dxa"/>
            <w:tcBorders>
              <w:bottom w:val="single" w:sz="4" w:space="0" w:color="000000"/>
            </w:tcBorders>
          </w:tcPr>
          <w:p>
            <w:pPr>
              <w:pStyle w:val="TableParagraph"/>
              <w:spacing w:before="39"/>
              <w:ind w:right="114"/>
              <w:rPr>
                <w:i/>
                <w:sz w:val="17"/>
              </w:rPr>
            </w:pPr>
            <w:r>
              <w:rPr>
                <w:i/>
                <w:sz w:val="17"/>
              </w:rPr>
              <w:t>42,1</w:t>
            </w:r>
          </w:p>
        </w:tc>
        <w:tc>
          <w:tcPr>
            <w:tcW w:w="785" w:type="dxa"/>
            <w:tcBorders>
              <w:bottom w:val="single" w:sz="4" w:space="0" w:color="000000"/>
            </w:tcBorders>
          </w:tcPr>
          <w:p>
            <w:pPr>
              <w:pStyle w:val="TableParagraph"/>
              <w:spacing w:before="39"/>
              <w:ind w:right="23"/>
              <w:rPr>
                <w:i/>
                <w:sz w:val="17"/>
              </w:rPr>
            </w:pPr>
            <w:r>
              <w:rPr>
                <w:i/>
                <w:sz w:val="17"/>
              </w:rPr>
              <w:t>41,8</w:t>
            </w:r>
          </w:p>
        </w:tc>
      </w:tr>
      <w:tr>
        <w:trPr>
          <w:trHeight w:val="355" w:hRule="atLeast"/>
        </w:trPr>
        <w:tc>
          <w:tcPr>
            <w:tcW w:w="3647" w:type="dxa"/>
            <w:tcBorders>
              <w:top w:val="single" w:sz="4" w:space="0" w:color="000000"/>
            </w:tcBorders>
          </w:tcPr>
          <w:p>
            <w:pPr>
              <w:pStyle w:val="TableParagraph"/>
              <w:spacing w:before="127"/>
              <w:jc w:val="left"/>
              <w:rPr>
                <w:sz w:val="17"/>
              </w:rPr>
            </w:pPr>
            <w:r>
              <w:rPr>
                <w:sz w:val="17"/>
              </w:rPr>
              <w:t>SALDI</w:t>
            </w:r>
          </w:p>
        </w:tc>
        <w:tc>
          <w:tcPr>
            <w:tcW w:w="1090" w:type="dxa"/>
            <w:tcBorders>
              <w:top w:val="single" w:sz="4" w:space="0" w:color="000000"/>
            </w:tcBorders>
          </w:tcPr>
          <w:p>
            <w:pPr>
              <w:pStyle w:val="TableParagraph"/>
              <w:jc w:val="left"/>
              <w:rPr>
                <w:rFonts w:ascii="Times New Roman"/>
                <w:sz w:val="16"/>
              </w:rPr>
            </w:pPr>
          </w:p>
        </w:tc>
        <w:tc>
          <w:tcPr>
            <w:tcW w:w="847" w:type="dxa"/>
            <w:tcBorders>
              <w:top w:val="single" w:sz="4" w:space="0" w:color="000000"/>
            </w:tcBorders>
          </w:tcPr>
          <w:p>
            <w:pPr>
              <w:pStyle w:val="TableParagraph"/>
              <w:jc w:val="left"/>
              <w:rPr>
                <w:rFonts w:ascii="Times New Roman"/>
                <w:sz w:val="16"/>
              </w:rPr>
            </w:pPr>
          </w:p>
        </w:tc>
        <w:tc>
          <w:tcPr>
            <w:tcW w:w="919" w:type="dxa"/>
            <w:tcBorders>
              <w:top w:val="single" w:sz="4" w:space="0" w:color="000000"/>
            </w:tcBorders>
          </w:tcPr>
          <w:p>
            <w:pPr>
              <w:pStyle w:val="TableParagraph"/>
              <w:jc w:val="left"/>
              <w:rPr>
                <w:rFonts w:ascii="Times New Roman"/>
                <w:sz w:val="16"/>
              </w:rPr>
            </w:pPr>
          </w:p>
        </w:tc>
        <w:tc>
          <w:tcPr>
            <w:tcW w:w="932" w:type="dxa"/>
            <w:tcBorders>
              <w:top w:val="single" w:sz="4" w:space="0" w:color="000000"/>
            </w:tcBorders>
          </w:tcPr>
          <w:p>
            <w:pPr>
              <w:pStyle w:val="TableParagraph"/>
              <w:jc w:val="left"/>
              <w:rPr>
                <w:rFonts w:ascii="Times New Roman"/>
                <w:sz w:val="16"/>
              </w:rPr>
            </w:pPr>
          </w:p>
        </w:tc>
        <w:tc>
          <w:tcPr>
            <w:tcW w:w="785" w:type="dxa"/>
            <w:tcBorders>
              <w:top w:val="single" w:sz="4" w:space="0" w:color="000000"/>
            </w:tcBorders>
          </w:tcPr>
          <w:p>
            <w:pPr>
              <w:pStyle w:val="TableParagraph"/>
              <w:jc w:val="left"/>
              <w:rPr>
                <w:rFonts w:ascii="Times New Roman"/>
                <w:sz w:val="16"/>
              </w:rPr>
            </w:pPr>
          </w:p>
        </w:tc>
      </w:tr>
      <w:tr>
        <w:trPr>
          <w:trHeight w:val="293" w:hRule="atLeast"/>
        </w:trPr>
        <w:tc>
          <w:tcPr>
            <w:tcW w:w="3647" w:type="dxa"/>
          </w:tcPr>
          <w:p>
            <w:pPr>
              <w:pStyle w:val="TableParagraph"/>
              <w:spacing w:before="35"/>
              <w:jc w:val="left"/>
              <w:rPr>
                <w:sz w:val="17"/>
              </w:rPr>
            </w:pPr>
            <w:r>
              <w:rPr>
                <w:sz w:val="17"/>
              </w:rPr>
              <w:t>Saldo primario</w:t>
            </w:r>
          </w:p>
        </w:tc>
        <w:tc>
          <w:tcPr>
            <w:tcW w:w="1090" w:type="dxa"/>
          </w:tcPr>
          <w:p>
            <w:pPr>
              <w:pStyle w:val="TableParagraph"/>
              <w:spacing w:before="35"/>
              <w:ind w:right="100"/>
              <w:rPr>
                <w:sz w:val="17"/>
              </w:rPr>
            </w:pPr>
            <w:r>
              <w:rPr>
                <w:sz w:val="17"/>
              </w:rPr>
              <w:t>26.111</w:t>
            </w:r>
          </w:p>
        </w:tc>
        <w:tc>
          <w:tcPr>
            <w:tcW w:w="847" w:type="dxa"/>
          </w:tcPr>
          <w:p>
            <w:pPr>
              <w:pStyle w:val="TableParagraph"/>
              <w:spacing w:before="35"/>
              <w:ind w:right="100"/>
              <w:rPr>
                <w:sz w:val="17"/>
              </w:rPr>
            </w:pPr>
            <w:r>
              <w:rPr>
                <w:sz w:val="17"/>
              </w:rPr>
              <w:t>22.703</w:t>
            </w:r>
          </w:p>
        </w:tc>
        <w:tc>
          <w:tcPr>
            <w:tcW w:w="919" w:type="dxa"/>
          </w:tcPr>
          <w:p>
            <w:pPr>
              <w:pStyle w:val="TableParagraph"/>
              <w:spacing w:before="27"/>
              <w:ind w:right="175"/>
              <w:rPr>
                <w:rFonts w:ascii="Calibri"/>
                <w:sz w:val="20"/>
              </w:rPr>
            </w:pPr>
            <w:r>
              <w:rPr>
                <w:rFonts w:ascii="Calibri"/>
                <w:w w:val="95"/>
                <w:sz w:val="20"/>
              </w:rPr>
              <w:t>34.577</w:t>
            </w:r>
          </w:p>
        </w:tc>
        <w:tc>
          <w:tcPr>
            <w:tcW w:w="932" w:type="dxa"/>
          </w:tcPr>
          <w:p>
            <w:pPr>
              <w:pStyle w:val="TableParagraph"/>
              <w:spacing w:before="35"/>
              <w:ind w:right="115"/>
              <w:rPr>
                <w:sz w:val="17"/>
              </w:rPr>
            </w:pPr>
            <w:r>
              <w:rPr>
                <w:sz w:val="17"/>
              </w:rPr>
              <w:t>36.257</w:t>
            </w:r>
          </w:p>
        </w:tc>
        <w:tc>
          <w:tcPr>
            <w:tcW w:w="785" w:type="dxa"/>
          </w:tcPr>
          <w:p>
            <w:pPr>
              <w:pStyle w:val="TableParagraph"/>
              <w:spacing w:before="35"/>
              <w:ind w:right="24"/>
              <w:rPr>
                <w:sz w:val="17"/>
              </w:rPr>
            </w:pPr>
            <w:r>
              <w:rPr>
                <w:sz w:val="17"/>
              </w:rPr>
              <w:t>38.577</w:t>
            </w:r>
          </w:p>
        </w:tc>
      </w:tr>
      <w:tr>
        <w:trPr>
          <w:trHeight w:val="257" w:hRule="atLeast"/>
        </w:trPr>
        <w:tc>
          <w:tcPr>
            <w:tcW w:w="3647" w:type="dxa"/>
          </w:tcPr>
          <w:p>
            <w:pPr>
              <w:pStyle w:val="TableParagraph"/>
              <w:spacing w:before="25"/>
              <w:jc w:val="left"/>
              <w:rPr>
                <w:i/>
                <w:sz w:val="17"/>
              </w:rPr>
            </w:pPr>
            <w:r>
              <w:rPr>
                <w:i/>
                <w:sz w:val="17"/>
              </w:rPr>
              <w:t>in % di PIL</w:t>
            </w:r>
          </w:p>
        </w:tc>
        <w:tc>
          <w:tcPr>
            <w:tcW w:w="1090" w:type="dxa"/>
          </w:tcPr>
          <w:p>
            <w:pPr>
              <w:pStyle w:val="TableParagraph"/>
              <w:spacing w:before="25"/>
              <w:ind w:right="100"/>
              <w:rPr>
                <w:sz w:val="17"/>
              </w:rPr>
            </w:pPr>
            <w:r>
              <w:rPr>
                <w:sz w:val="17"/>
              </w:rPr>
              <w:t>1,5</w:t>
            </w:r>
          </w:p>
        </w:tc>
        <w:tc>
          <w:tcPr>
            <w:tcW w:w="847" w:type="dxa"/>
          </w:tcPr>
          <w:p>
            <w:pPr>
              <w:pStyle w:val="TableParagraph"/>
              <w:spacing w:before="25"/>
              <w:ind w:right="100"/>
              <w:rPr>
                <w:sz w:val="17"/>
              </w:rPr>
            </w:pPr>
            <w:r>
              <w:rPr>
                <w:sz w:val="17"/>
              </w:rPr>
              <w:t>1,3</w:t>
            </w:r>
          </w:p>
        </w:tc>
        <w:tc>
          <w:tcPr>
            <w:tcW w:w="919" w:type="dxa"/>
          </w:tcPr>
          <w:p>
            <w:pPr>
              <w:pStyle w:val="TableParagraph"/>
              <w:spacing w:before="25"/>
              <w:ind w:right="172"/>
              <w:rPr>
                <w:sz w:val="17"/>
              </w:rPr>
            </w:pPr>
            <w:r>
              <w:rPr>
                <w:sz w:val="17"/>
              </w:rPr>
              <w:t>1,9</w:t>
            </w:r>
          </w:p>
        </w:tc>
        <w:tc>
          <w:tcPr>
            <w:tcW w:w="932" w:type="dxa"/>
          </w:tcPr>
          <w:p>
            <w:pPr>
              <w:pStyle w:val="TableParagraph"/>
              <w:spacing w:before="25"/>
              <w:ind w:right="114"/>
              <w:rPr>
                <w:sz w:val="17"/>
              </w:rPr>
            </w:pPr>
            <w:r>
              <w:rPr>
                <w:sz w:val="17"/>
              </w:rPr>
              <w:t>1,9</w:t>
            </w:r>
          </w:p>
        </w:tc>
        <w:tc>
          <w:tcPr>
            <w:tcW w:w="785" w:type="dxa"/>
          </w:tcPr>
          <w:p>
            <w:pPr>
              <w:pStyle w:val="TableParagraph"/>
              <w:spacing w:before="25"/>
              <w:ind w:right="23"/>
              <w:rPr>
                <w:sz w:val="17"/>
              </w:rPr>
            </w:pPr>
            <w:r>
              <w:rPr>
                <w:sz w:val="17"/>
              </w:rPr>
              <w:t>2,0</w:t>
            </w:r>
          </w:p>
        </w:tc>
      </w:tr>
      <w:tr>
        <w:trPr>
          <w:trHeight w:val="272" w:hRule="atLeast"/>
        </w:trPr>
        <w:tc>
          <w:tcPr>
            <w:tcW w:w="3647" w:type="dxa"/>
          </w:tcPr>
          <w:p>
            <w:pPr>
              <w:pStyle w:val="TableParagraph"/>
              <w:spacing w:before="39"/>
              <w:jc w:val="left"/>
              <w:rPr>
                <w:sz w:val="17"/>
              </w:rPr>
            </w:pPr>
            <w:r>
              <w:rPr>
                <w:sz w:val="17"/>
              </w:rPr>
              <w:t>Saldo di parte corrente</w:t>
            </w:r>
          </w:p>
        </w:tc>
        <w:tc>
          <w:tcPr>
            <w:tcW w:w="1090" w:type="dxa"/>
          </w:tcPr>
          <w:p>
            <w:pPr>
              <w:pStyle w:val="TableParagraph"/>
              <w:spacing w:before="39"/>
              <w:ind w:right="100"/>
              <w:rPr>
                <w:sz w:val="17"/>
              </w:rPr>
            </w:pPr>
            <w:r>
              <w:rPr>
                <w:sz w:val="17"/>
              </w:rPr>
              <w:t>16.046</w:t>
            </w:r>
          </w:p>
        </w:tc>
        <w:tc>
          <w:tcPr>
            <w:tcW w:w="847" w:type="dxa"/>
          </w:tcPr>
          <w:p>
            <w:pPr>
              <w:pStyle w:val="TableParagraph"/>
              <w:spacing w:before="39"/>
              <w:ind w:right="100"/>
              <w:rPr>
                <w:sz w:val="17"/>
              </w:rPr>
            </w:pPr>
            <w:r>
              <w:rPr>
                <w:sz w:val="17"/>
              </w:rPr>
              <w:t>17.102</w:t>
            </w:r>
          </w:p>
        </w:tc>
        <w:tc>
          <w:tcPr>
            <w:tcW w:w="919" w:type="dxa"/>
          </w:tcPr>
          <w:p>
            <w:pPr>
              <w:pStyle w:val="TableParagraph"/>
              <w:spacing w:before="39"/>
              <w:ind w:right="172"/>
              <w:rPr>
                <w:sz w:val="17"/>
              </w:rPr>
            </w:pPr>
            <w:r>
              <w:rPr>
                <w:sz w:val="17"/>
              </w:rPr>
              <w:t>31.679</w:t>
            </w:r>
          </w:p>
        </w:tc>
        <w:tc>
          <w:tcPr>
            <w:tcW w:w="932" w:type="dxa"/>
          </w:tcPr>
          <w:p>
            <w:pPr>
              <w:pStyle w:val="TableParagraph"/>
              <w:spacing w:before="39"/>
              <w:ind w:right="115"/>
              <w:rPr>
                <w:sz w:val="17"/>
              </w:rPr>
            </w:pPr>
            <w:r>
              <w:rPr>
                <w:sz w:val="17"/>
              </w:rPr>
              <w:t>38.203</w:t>
            </w:r>
          </w:p>
        </w:tc>
        <w:tc>
          <w:tcPr>
            <w:tcW w:w="785" w:type="dxa"/>
          </w:tcPr>
          <w:p>
            <w:pPr>
              <w:pStyle w:val="TableParagraph"/>
              <w:spacing w:before="39"/>
              <w:ind w:right="24"/>
              <w:rPr>
                <w:sz w:val="17"/>
              </w:rPr>
            </w:pPr>
            <w:r>
              <w:rPr>
                <w:sz w:val="17"/>
              </w:rPr>
              <w:t>40.830</w:t>
            </w:r>
          </w:p>
        </w:tc>
      </w:tr>
      <w:tr>
        <w:trPr>
          <w:trHeight w:val="273" w:hRule="atLeast"/>
        </w:trPr>
        <w:tc>
          <w:tcPr>
            <w:tcW w:w="3647" w:type="dxa"/>
          </w:tcPr>
          <w:p>
            <w:pPr>
              <w:pStyle w:val="TableParagraph"/>
              <w:spacing w:before="41"/>
              <w:jc w:val="left"/>
              <w:rPr>
                <w:i/>
                <w:sz w:val="17"/>
              </w:rPr>
            </w:pPr>
            <w:r>
              <w:rPr>
                <w:i/>
                <w:sz w:val="17"/>
              </w:rPr>
              <w:t>in % di PIL</w:t>
            </w:r>
          </w:p>
        </w:tc>
        <w:tc>
          <w:tcPr>
            <w:tcW w:w="1090" w:type="dxa"/>
          </w:tcPr>
          <w:p>
            <w:pPr>
              <w:pStyle w:val="TableParagraph"/>
              <w:spacing w:before="41"/>
              <w:ind w:right="100"/>
              <w:rPr>
                <w:sz w:val="17"/>
              </w:rPr>
            </w:pPr>
            <w:r>
              <w:rPr>
                <w:sz w:val="17"/>
              </w:rPr>
              <w:t>0,9</w:t>
            </w:r>
          </w:p>
        </w:tc>
        <w:tc>
          <w:tcPr>
            <w:tcW w:w="847" w:type="dxa"/>
          </w:tcPr>
          <w:p>
            <w:pPr>
              <w:pStyle w:val="TableParagraph"/>
              <w:spacing w:before="41"/>
              <w:ind w:right="100"/>
              <w:rPr>
                <w:sz w:val="17"/>
              </w:rPr>
            </w:pPr>
            <w:r>
              <w:rPr>
                <w:sz w:val="17"/>
              </w:rPr>
              <w:t>1,0</w:t>
            </w:r>
          </w:p>
        </w:tc>
        <w:tc>
          <w:tcPr>
            <w:tcW w:w="919" w:type="dxa"/>
          </w:tcPr>
          <w:p>
            <w:pPr>
              <w:pStyle w:val="TableParagraph"/>
              <w:spacing w:before="41"/>
              <w:ind w:right="172"/>
              <w:rPr>
                <w:sz w:val="17"/>
              </w:rPr>
            </w:pPr>
            <w:r>
              <w:rPr>
                <w:sz w:val="17"/>
              </w:rPr>
              <w:t>1,7</w:t>
            </w:r>
          </w:p>
        </w:tc>
        <w:tc>
          <w:tcPr>
            <w:tcW w:w="932" w:type="dxa"/>
          </w:tcPr>
          <w:p>
            <w:pPr>
              <w:pStyle w:val="TableParagraph"/>
              <w:spacing w:before="41"/>
              <w:ind w:right="114"/>
              <w:rPr>
                <w:sz w:val="17"/>
              </w:rPr>
            </w:pPr>
            <w:r>
              <w:rPr>
                <w:sz w:val="17"/>
              </w:rPr>
              <w:t>2,0</w:t>
            </w:r>
          </w:p>
        </w:tc>
        <w:tc>
          <w:tcPr>
            <w:tcW w:w="785" w:type="dxa"/>
          </w:tcPr>
          <w:p>
            <w:pPr>
              <w:pStyle w:val="TableParagraph"/>
              <w:spacing w:before="41"/>
              <w:ind w:right="23"/>
              <w:rPr>
                <w:sz w:val="17"/>
              </w:rPr>
            </w:pPr>
            <w:r>
              <w:rPr>
                <w:sz w:val="17"/>
              </w:rPr>
              <w:t>2,1</w:t>
            </w:r>
          </w:p>
        </w:tc>
      </w:tr>
      <w:tr>
        <w:trPr>
          <w:trHeight w:val="273" w:hRule="atLeast"/>
        </w:trPr>
        <w:tc>
          <w:tcPr>
            <w:tcW w:w="3647" w:type="dxa"/>
          </w:tcPr>
          <w:p>
            <w:pPr>
              <w:pStyle w:val="TableParagraph"/>
              <w:spacing w:before="40"/>
              <w:jc w:val="left"/>
              <w:rPr>
                <w:sz w:val="17"/>
              </w:rPr>
            </w:pPr>
            <w:r>
              <w:rPr>
                <w:sz w:val="17"/>
              </w:rPr>
              <w:t>Indebitamento netto</w:t>
            </w:r>
          </w:p>
        </w:tc>
        <w:tc>
          <w:tcPr>
            <w:tcW w:w="1090" w:type="dxa"/>
          </w:tcPr>
          <w:p>
            <w:pPr>
              <w:pStyle w:val="TableParagraph"/>
              <w:spacing w:before="40"/>
              <w:ind w:right="100"/>
              <w:rPr>
                <w:sz w:val="17"/>
              </w:rPr>
            </w:pPr>
            <w:r>
              <w:rPr>
                <w:sz w:val="17"/>
              </w:rPr>
              <w:t>-38.551</w:t>
            </w:r>
          </w:p>
        </w:tc>
        <w:tc>
          <w:tcPr>
            <w:tcW w:w="847" w:type="dxa"/>
          </w:tcPr>
          <w:p>
            <w:pPr>
              <w:pStyle w:val="TableParagraph"/>
              <w:spacing w:before="40"/>
              <w:ind w:right="100"/>
              <w:rPr>
                <w:sz w:val="17"/>
              </w:rPr>
            </w:pPr>
            <w:r>
              <w:rPr>
                <w:sz w:val="17"/>
              </w:rPr>
              <w:t>-38.613</w:t>
            </w:r>
          </w:p>
        </w:tc>
        <w:tc>
          <w:tcPr>
            <w:tcW w:w="919" w:type="dxa"/>
          </w:tcPr>
          <w:p>
            <w:pPr>
              <w:pStyle w:val="TableParagraph"/>
              <w:spacing w:before="40"/>
              <w:ind w:right="172"/>
              <w:rPr>
                <w:sz w:val="17"/>
              </w:rPr>
            </w:pPr>
            <w:r>
              <w:rPr>
                <w:sz w:val="17"/>
              </w:rPr>
              <w:t>-24.648</w:t>
            </w:r>
          </w:p>
        </w:tc>
        <w:tc>
          <w:tcPr>
            <w:tcW w:w="932" w:type="dxa"/>
          </w:tcPr>
          <w:p>
            <w:pPr>
              <w:pStyle w:val="TableParagraph"/>
              <w:spacing w:before="40"/>
              <w:ind w:right="115"/>
              <w:rPr>
                <w:sz w:val="17"/>
              </w:rPr>
            </w:pPr>
            <w:r>
              <w:rPr>
                <w:sz w:val="17"/>
              </w:rPr>
              <w:t>-21.464</w:t>
            </w:r>
          </w:p>
        </w:tc>
        <w:tc>
          <w:tcPr>
            <w:tcW w:w="785" w:type="dxa"/>
          </w:tcPr>
          <w:p>
            <w:pPr>
              <w:pStyle w:val="TableParagraph"/>
              <w:spacing w:before="40"/>
              <w:ind w:right="24"/>
              <w:rPr>
                <w:sz w:val="17"/>
              </w:rPr>
            </w:pPr>
            <w:r>
              <w:rPr>
                <w:sz w:val="17"/>
              </w:rPr>
              <w:t>-17.593</w:t>
            </w:r>
          </w:p>
        </w:tc>
      </w:tr>
      <w:tr>
        <w:trPr>
          <w:trHeight w:val="289" w:hRule="atLeast"/>
        </w:trPr>
        <w:tc>
          <w:tcPr>
            <w:tcW w:w="3647" w:type="dxa"/>
            <w:tcBorders>
              <w:bottom w:val="single" w:sz="4" w:space="0" w:color="000000"/>
            </w:tcBorders>
          </w:tcPr>
          <w:p>
            <w:pPr>
              <w:pStyle w:val="TableParagraph"/>
              <w:spacing w:before="40"/>
              <w:jc w:val="left"/>
              <w:rPr>
                <w:i/>
                <w:sz w:val="17"/>
              </w:rPr>
            </w:pPr>
            <w:r>
              <w:rPr>
                <w:i/>
                <w:sz w:val="17"/>
              </w:rPr>
              <w:t>in % di PIL</w:t>
            </w:r>
          </w:p>
        </w:tc>
        <w:tc>
          <w:tcPr>
            <w:tcW w:w="1090" w:type="dxa"/>
            <w:tcBorders>
              <w:bottom w:val="single" w:sz="4" w:space="0" w:color="000000"/>
            </w:tcBorders>
          </w:tcPr>
          <w:p>
            <w:pPr>
              <w:pStyle w:val="TableParagraph"/>
              <w:spacing w:before="40"/>
              <w:ind w:right="100"/>
              <w:rPr>
                <w:sz w:val="17"/>
              </w:rPr>
            </w:pPr>
            <w:r>
              <w:rPr>
                <w:sz w:val="17"/>
              </w:rPr>
              <w:t>-2,2</w:t>
            </w:r>
          </w:p>
        </w:tc>
        <w:tc>
          <w:tcPr>
            <w:tcW w:w="847" w:type="dxa"/>
            <w:tcBorders>
              <w:bottom w:val="single" w:sz="4" w:space="0" w:color="000000"/>
            </w:tcBorders>
          </w:tcPr>
          <w:p>
            <w:pPr>
              <w:pStyle w:val="TableParagraph"/>
              <w:spacing w:before="40"/>
              <w:ind w:right="100"/>
              <w:rPr>
                <w:sz w:val="17"/>
              </w:rPr>
            </w:pPr>
            <w:r>
              <w:rPr>
                <w:sz w:val="17"/>
              </w:rPr>
              <w:t>-2,2</w:t>
            </w:r>
          </w:p>
        </w:tc>
        <w:tc>
          <w:tcPr>
            <w:tcW w:w="919" w:type="dxa"/>
            <w:tcBorders>
              <w:bottom w:val="single" w:sz="4" w:space="0" w:color="000000"/>
            </w:tcBorders>
          </w:tcPr>
          <w:p>
            <w:pPr>
              <w:pStyle w:val="TableParagraph"/>
              <w:spacing w:before="40"/>
              <w:ind w:right="172"/>
              <w:rPr>
                <w:sz w:val="17"/>
              </w:rPr>
            </w:pPr>
            <w:r>
              <w:rPr>
                <w:sz w:val="17"/>
              </w:rPr>
              <w:t>-1,4</w:t>
            </w:r>
          </w:p>
        </w:tc>
        <w:tc>
          <w:tcPr>
            <w:tcW w:w="932" w:type="dxa"/>
            <w:tcBorders>
              <w:bottom w:val="single" w:sz="4" w:space="0" w:color="000000"/>
            </w:tcBorders>
          </w:tcPr>
          <w:p>
            <w:pPr>
              <w:pStyle w:val="TableParagraph"/>
              <w:spacing w:before="40"/>
              <w:ind w:right="114"/>
              <w:rPr>
                <w:sz w:val="17"/>
              </w:rPr>
            </w:pPr>
            <w:r>
              <w:rPr>
                <w:sz w:val="17"/>
              </w:rPr>
              <w:t>-1,1</w:t>
            </w:r>
          </w:p>
        </w:tc>
        <w:tc>
          <w:tcPr>
            <w:tcW w:w="785" w:type="dxa"/>
            <w:tcBorders>
              <w:bottom w:val="single" w:sz="4" w:space="0" w:color="000000"/>
            </w:tcBorders>
          </w:tcPr>
          <w:p>
            <w:pPr>
              <w:pStyle w:val="TableParagraph"/>
              <w:spacing w:before="40"/>
              <w:ind w:right="23"/>
              <w:rPr>
                <w:sz w:val="17"/>
              </w:rPr>
            </w:pPr>
            <w:r>
              <w:rPr>
                <w:sz w:val="17"/>
              </w:rPr>
              <w:t>-0,9</w:t>
            </w:r>
          </w:p>
        </w:tc>
      </w:tr>
      <w:tr>
        <w:trPr>
          <w:trHeight w:val="273" w:hRule="atLeast"/>
        </w:trPr>
        <w:tc>
          <w:tcPr>
            <w:tcW w:w="3647" w:type="dxa"/>
            <w:tcBorders>
              <w:top w:val="single" w:sz="4" w:space="0" w:color="000000"/>
              <w:bottom w:val="single" w:sz="4" w:space="0" w:color="000000"/>
            </w:tcBorders>
          </w:tcPr>
          <w:p>
            <w:pPr>
              <w:pStyle w:val="TableParagraph"/>
              <w:spacing w:before="24"/>
              <w:ind w:left="4"/>
              <w:jc w:val="left"/>
              <w:rPr>
                <w:sz w:val="17"/>
              </w:rPr>
            </w:pPr>
            <w:r>
              <w:rPr>
                <w:sz w:val="17"/>
              </w:rPr>
              <w:t>PIL nominale tendenziale (x 1.000)</w:t>
            </w:r>
          </w:p>
        </w:tc>
        <w:tc>
          <w:tcPr>
            <w:tcW w:w="1090" w:type="dxa"/>
            <w:tcBorders>
              <w:top w:val="single" w:sz="4" w:space="0" w:color="000000"/>
              <w:bottom w:val="single" w:sz="4" w:space="0" w:color="000000"/>
            </w:tcBorders>
          </w:tcPr>
          <w:p>
            <w:pPr>
              <w:pStyle w:val="TableParagraph"/>
              <w:spacing w:before="24"/>
              <w:ind w:right="101"/>
              <w:rPr>
                <w:sz w:val="17"/>
              </w:rPr>
            </w:pPr>
            <w:r>
              <w:rPr>
                <w:sz w:val="17"/>
              </w:rPr>
              <w:t>1.765,4</w:t>
            </w:r>
          </w:p>
        </w:tc>
        <w:tc>
          <w:tcPr>
            <w:tcW w:w="847" w:type="dxa"/>
            <w:tcBorders>
              <w:top w:val="single" w:sz="4" w:space="0" w:color="000000"/>
              <w:bottom w:val="single" w:sz="4" w:space="0" w:color="000000"/>
            </w:tcBorders>
          </w:tcPr>
          <w:p>
            <w:pPr>
              <w:pStyle w:val="TableParagraph"/>
              <w:spacing w:before="24"/>
              <w:ind w:right="100"/>
              <w:rPr>
                <w:sz w:val="17"/>
              </w:rPr>
            </w:pPr>
            <w:r>
              <w:rPr>
                <w:sz w:val="17"/>
              </w:rPr>
              <w:t>1.783,1</w:t>
            </w:r>
          </w:p>
        </w:tc>
        <w:tc>
          <w:tcPr>
            <w:tcW w:w="919" w:type="dxa"/>
            <w:tcBorders>
              <w:top w:val="single" w:sz="4" w:space="0" w:color="000000"/>
              <w:bottom w:val="single" w:sz="4" w:space="0" w:color="000000"/>
            </w:tcBorders>
          </w:tcPr>
          <w:p>
            <w:pPr>
              <w:pStyle w:val="TableParagraph"/>
              <w:spacing w:before="24"/>
              <w:ind w:right="172"/>
              <w:rPr>
                <w:sz w:val="17"/>
              </w:rPr>
            </w:pPr>
            <w:r>
              <w:rPr>
                <w:sz w:val="17"/>
              </w:rPr>
              <w:t>1.824,5</w:t>
            </w:r>
          </w:p>
        </w:tc>
        <w:tc>
          <w:tcPr>
            <w:tcW w:w="932" w:type="dxa"/>
            <w:tcBorders>
              <w:top w:val="single" w:sz="4" w:space="0" w:color="000000"/>
              <w:bottom w:val="single" w:sz="4" w:space="0" w:color="000000"/>
            </w:tcBorders>
          </w:tcPr>
          <w:p>
            <w:pPr>
              <w:pStyle w:val="TableParagraph"/>
              <w:spacing w:before="24"/>
              <w:ind w:right="115"/>
              <w:rPr>
                <w:sz w:val="17"/>
              </w:rPr>
            </w:pPr>
            <w:r>
              <w:rPr>
                <w:sz w:val="17"/>
              </w:rPr>
              <w:t>1.866,5</w:t>
            </w:r>
          </w:p>
        </w:tc>
        <w:tc>
          <w:tcPr>
            <w:tcW w:w="785" w:type="dxa"/>
            <w:tcBorders>
              <w:top w:val="single" w:sz="4" w:space="0" w:color="000000"/>
              <w:bottom w:val="single" w:sz="4" w:space="0" w:color="000000"/>
            </w:tcBorders>
          </w:tcPr>
          <w:p>
            <w:pPr>
              <w:pStyle w:val="TableParagraph"/>
              <w:spacing w:before="24"/>
              <w:ind w:right="24"/>
              <w:rPr>
                <w:sz w:val="17"/>
              </w:rPr>
            </w:pPr>
            <w:r>
              <w:rPr>
                <w:sz w:val="17"/>
              </w:rPr>
              <w:t>1.913,6</w:t>
            </w:r>
          </w:p>
        </w:tc>
      </w:tr>
    </w:tbl>
    <w:p>
      <w:pPr>
        <w:spacing w:before="17"/>
        <w:ind w:left="1128" w:right="0" w:firstLine="0"/>
        <w:jc w:val="left"/>
        <w:rPr>
          <w:rFonts w:ascii="Franklin Gothic Book"/>
          <w:sz w:val="17"/>
        </w:rPr>
      </w:pPr>
      <w:r>
        <w:rPr/>
        <w:pict>
          <v:line style="position:absolute;mso-position-horizontal-relative:page;mso-position-vertical-relative:paragraph;z-index:-251523072;mso-wrap-distance-left:0;mso-wrap-distance-right:0" from="112.699997pt,14.160286pt" to="524.489997pt,14.160286pt" stroked="true" strokeweight="1.44pt" strokecolor="#086d44">
            <v:stroke dashstyle="solid"/>
            <w10:wrap type="topAndBottom"/>
          </v:line>
        </w:pict>
      </w:r>
      <w:r>
        <w:rPr>
          <w:rFonts w:ascii="Franklin Gothic Book"/>
          <w:sz w:val="17"/>
        </w:rPr>
        <w:t>Nota: Eventuali imprecisioni derivano da arrotondamenti.</w:t>
      </w:r>
    </w:p>
    <w:p>
      <w:pPr>
        <w:spacing w:after="0"/>
        <w:jc w:val="left"/>
        <w:rPr>
          <w:rFonts w:ascii="Franklin Gothic Book"/>
          <w:sz w:val="17"/>
        </w:rPr>
        <w:sectPr>
          <w:pgSz w:w="11910" w:h="16840"/>
          <w:pgMar w:header="838" w:footer="866" w:top="1100" w:bottom="1060" w:left="1140" w:right="0"/>
        </w:sect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spacing w:before="7"/>
        <w:rPr>
          <w:rFonts w:ascii="Franklin Gothic Book"/>
          <w:sz w:val="16"/>
        </w:rPr>
      </w:pPr>
    </w:p>
    <w:tbl>
      <w:tblPr>
        <w:tblW w:w="0" w:type="auto"/>
        <w:jc w:val="left"/>
        <w:tblInd w:w="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9"/>
        <w:gridCol w:w="1408"/>
        <w:gridCol w:w="869"/>
        <w:gridCol w:w="868"/>
        <w:gridCol w:w="868"/>
        <w:gridCol w:w="691"/>
      </w:tblGrid>
      <w:tr>
        <w:trPr>
          <w:trHeight w:val="295" w:hRule="atLeast"/>
        </w:trPr>
        <w:tc>
          <w:tcPr>
            <w:tcW w:w="8223" w:type="dxa"/>
            <w:gridSpan w:val="6"/>
            <w:shd w:val="clear" w:color="auto" w:fill="086D44"/>
          </w:tcPr>
          <w:p>
            <w:pPr>
              <w:pStyle w:val="TableParagraph"/>
              <w:spacing w:before="45"/>
              <w:ind w:left="28"/>
              <w:jc w:val="left"/>
              <w:rPr>
                <w:rFonts w:ascii="Franklin Gothic Heavy"/>
                <w:b/>
                <w:sz w:val="17"/>
              </w:rPr>
            </w:pPr>
            <w:r>
              <w:rPr>
                <w:rFonts w:ascii="Franklin Gothic Heavy"/>
                <w:b/>
                <w:color w:val="EFEFEF"/>
                <w:sz w:val="17"/>
              </w:rPr>
              <w:t>TAVOLA III.1b: CONTO DELLA PA A LEGISLAZIONE VIGENTE (in percentuale del PIL)</w:t>
            </w:r>
          </w:p>
        </w:tc>
      </w:tr>
      <w:tr>
        <w:trPr>
          <w:trHeight w:val="271" w:hRule="atLeast"/>
        </w:trPr>
        <w:tc>
          <w:tcPr>
            <w:tcW w:w="3519" w:type="dxa"/>
            <w:tcBorders>
              <w:bottom w:val="single" w:sz="2" w:space="0" w:color="000000"/>
            </w:tcBorders>
          </w:tcPr>
          <w:p>
            <w:pPr>
              <w:pStyle w:val="TableParagraph"/>
              <w:jc w:val="left"/>
              <w:rPr>
                <w:rFonts w:ascii="Times New Roman"/>
                <w:sz w:val="16"/>
              </w:rPr>
            </w:pPr>
          </w:p>
        </w:tc>
        <w:tc>
          <w:tcPr>
            <w:tcW w:w="1408" w:type="dxa"/>
            <w:tcBorders>
              <w:bottom w:val="single" w:sz="2" w:space="0" w:color="000000"/>
            </w:tcBorders>
          </w:tcPr>
          <w:p>
            <w:pPr>
              <w:pStyle w:val="TableParagraph"/>
              <w:spacing w:before="33"/>
              <w:ind w:right="233"/>
              <w:rPr>
                <w:sz w:val="17"/>
              </w:rPr>
            </w:pPr>
            <w:r>
              <w:rPr>
                <w:sz w:val="17"/>
              </w:rPr>
              <w:t>2018</w:t>
            </w:r>
          </w:p>
        </w:tc>
        <w:tc>
          <w:tcPr>
            <w:tcW w:w="869" w:type="dxa"/>
            <w:tcBorders>
              <w:bottom w:val="single" w:sz="2" w:space="0" w:color="000000"/>
            </w:tcBorders>
          </w:tcPr>
          <w:p>
            <w:pPr>
              <w:pStyle w:val="TableParagraph"/>
              <w:spacing w:before="33"/>
              <w:ind w:left="214" w:right="215"/>
              <w:jc w:val="center"/>
              <w:rPr>
                <w:sz w:val="17"/>
              </w:rPr>
            </w:pPr>
            <w:r>
              <w:rPr>
                <w:sz w:val="17"/>
              </w:rPr>
              <w:t>2019</w:t>
            </w:r>
          </w:p>
        </w:tc>
        <w:tc>
          <w:tcPr>
            <w:tcW w:w="868" w:type="dxa"/>
            <w:tcBorders>
              <w:bottom w:val="single" w:sz="2" w:space="0" w:color="000000"/>
            </w:tcBorders>
          </w:tcPr>
          <w:p>
            <w:pPr>
              <w:pStyle w:val="TableParagraph"/>
              <w:spacing w:before="33"/>
              <w:ind w:left="214" w:right="214"/>
              <w:jc w:val="center"/>
              <w:rPr>
                <w:sz w:val="17"/>
              </w:rPr>
            </w:pPr>
            <w:r>
              <w:rPr>
                <w:sz w:val="17"/>
              </w:rPr>
              <w:t>2020</w:t>
            </w:r>
          </w:p>
        </w:tc>
        <w:tc>
          <w:tcPr>
            <w:tcW w:w="868" w:type="dxa"/>
            <w:tcBorders>
              <w:bottom w:val="single" w:sz="2" w:space="0" w:color="000000"/>
            </w:tcBorders>
          </w:tcPr>
          <w:p>
            <w:pPr>
              <w:pStyle w:val="TableParagraph"/>
              <w:spacing w:before="33"/>
              <w:ind w:right="235"/>
              <w:rPr>
                <w:sz w:val="17"/>
              </w:rPr>
            </w:pPr>
            <w:r>
              <w:rPr>
                <w:sz w:val="17"/>
              </w:rPr>
              <w:t>2021</w:t>
            </w:r>
          </w:p>
        </w:tc>
        <w:tc>
          <w:tcPr>
            <w:tcW w:w="691" w:type="dxa"/>
            <w:tcBorders>
              <w:bottom w:val="single" w:sz="2" w:space="0" w:color="000000"/>
            </w:tcBorders>
          </w:tcPr>
          <w:p>
            <w:pPr>
              <w:pStyle w:val="TableParagraph"/>
              <w:spacing w:before="33"/>
              <w:ind w:right="55"/>
              <w:rPr>
                <w:sz w:val="17"/>
              </w:rPr>
            </w:pPr>
            <w:r>
              <w:rPr>
                <w:sz w:val="17"/>
              </w:rPr>
              <w:t>2022</w:t>
            </w:r>
          </w:p>
        </w:tc>
      </w:tr>
      <w:tr>
        <w:trPr>
          <w:trHeight w:val="620" w:hRule="atLeast"/>
        </w:trPr>
        <w:tc>
          <w:tcPr>
            <w:tcW w:w="3519" w:type="dxa"/>
            <w:tcBorders>
              <w:top w:val="single" w:sz="2" w:space="0" w:color="000000"/>
            </w:tcBorders>
          </w:tcPr>
          <w:p>
            <w:pPr>
              <w:pStyle w:val="TableParagraph"/>
              <w:spacing w:before="127"/>
              <w:jc w:val="left"/>
              <w:rPr>
                <w:sz w:val="17"/>
              </w:rPr>
            </w:pPr>
            <w:r>
              <w:rPr>
                <w:sz w:val="17"/>
              </w:rPr>
              <w:t>SPESE</w:t>
            </w:r>
          </w:p>
          <w:p>
            <w:pPr>
              <w:pStyle w:val="TableParagraph"/>
              <w:spacing w:before="66"/>
              <w:jc w:val="left"/>
              <w:rPr>
                <w:sz w:val="17"/>
              </w:rPr>
            </w:pPr>
            <w:r>
              <w:rPr>
                <w:sz w:val="17"/>
              </w:rPr>
              <w:t>Redditi da lavoro dipendente</w:t>
            </w:r>
          </w:p>
        </w:tc>
        <w:tc>
          <w:tcPr>
            <w:tcW w:w="1408" w:type="dxa"/>
            <w:tcBorders>
              <w:top w:val="single" w:sz="2" w:space="0" w:color="000000"/>
            </w:tcBorders>
          </w:tcPr>
          <w:p>
            <w:pPr>
              <w:pStyle w:val="TableParagraph"/>
              <w:jc w:val="left"/>
              <w:rPr>
                <w:sz w:val="18"/>
              </w:rPr>
            </w:pPr>
          </w:p>
          <w:p>
            <w:pPr>
              <w:pStyle w:val="TableParagraph"/>
              <w:spacing w:before="1"/>
              <w:jc w:val="left"/>
              <w:rPr>
                <w:sz w:val="16"/>
              </w:rPr>
            </w:pPr>
          </w:p>
          <w:p>
            <w:pPr>
              <w:pStyle w:val="TableParagraph"/>
              <w:ind w:right="233"/>
              <w:rPr>
                <w:sz w:val="17"/>
              </w:rPr>
            </w:pPr>
            <w:r>
              <w:rPr>
                <w:sz w:val="17"/>
              </w:rPr>
              <w:t>9,8</w:t>
            </w:r>
          </w:p>
        </w:tc>
        <w:tc>
          <w:tcPr>
            <w:tcW w:w="869" w:type="dxa"/>
            <w:tcBorders>
              <w:top w:val="single" w:sz="2" w:space="0" w:color="000000"/>
            </w:tcBorders>
          </w:tcPr>
          <w:p>
            <w:pPr>
              <w:pStyle w:val="TableParagraph"/>
              <w:jc w:val="left"/>
              <w:rPr>
                <w:sz w:val="18"/>
              </w:rPr>
            </w:pPr>
          </w:p>
          <w:p>
            <w:pPr>
              <w:pStyle w:val="TableParagraph"/>
              <w:spacing w:before="1"/>
              <w:jc w:val="left"/>
              <w:rPr>
                <w:sz w:val="16"/>
              </w:rPr>
            </w:pPr>
          </w:p>
          <w:p>
            <w:pPr>
              <w:pStyle w:val="TableParagraph"/>
              <w:ind w:left="214" w:right="60"/>
              <w:jc w:val="center"/>
              <w:rPr>
                <w:sz w:val="17"/>
              </w:rPr>
            </w:pPr>
            <w:r>
              <w:rPr>
                <w:sz w:val="17"/>
              </w:rPr>
              <w:t>9,7</w:t>
            </w:r>
          </w:p>
        </w:tc>
        <w:tc>
          <w:tcPr>
            <w:tcW w:w="868" w:type="dxa"/>
            <w:tcBorders>
              <w:top w:val="single" w:sz="2" w:space="0" w:color="000000"/>
            </w:tcBorders>
          </w:tcPr>
          <w:p>
            <w:pPr>
              <w:pStyle w:val="TableParagraph"/>
              <w:jc w:val="left"/>
              <w:rPr>
                <w:sz w:val="18"/>
              </w:rPr>
            </w:pPr>
          </w:p>
          <w:p>
            <w:pPr>
              <w:pStyle w:val="TableParagraph"/>
              <w:spacing w:before="1"/>
              <w:jc w:val="left"/>
              <w:rPr>
                <w:sz w:val="16"/>
              </w:rPr>
            </w:pPr>
          </w:p>
          <w:p>
            <w:pPr>
              <w:pStyle w:val="TableParagraph"/>
              <w:ind w:left="214" w:right="59"/>
              <w:jc w:val="center"/>
              <w:rPr>
                <w:sz w:val="17"/>
              </w:rPr>
            </w:pPr>
            <w:r>
              <w:rPr>
                <w:sz w:val="17"/>
              </w:rPr>
              <w:t>9,6</w:t>
            </w:r>
          </w:p>
        </w:tc>
        <w:tc>
          <w:tcPr>
            <w:tcW w:w="868" w:type="dxa"/>
            <w:tcBorders>
              <w:top w:val="single" w:sz="2" w:space="0" w:color="000000"/>
            </w:tcBorders>
          </w:tcPr>
          <w:p>
            <w:pPr>
              <w:pStyle w:val="TableParagraph"/>
              <w:jc w:val="left"/>
              <w:rPr>
                <w:sz w:val="18"/>
              </w:rPr>
            </w:pPr>
          </w:p>
          <w:p>
            <w:pPr>
              <w:pStyle w:val="TableParagraph"/>
              <w:spacing w:before="1"/>
              <w:jc w:val="left"/>
              <w:rPr>
                <w:sz w:val="16"/>
              </w:rPr>
            </w:pPr>
          </w:p>
          <w:p>
            <w:pPr>
              <w:pStyle w:val="TableParagraph"/>
              <w:ind w:right="234"/>
              <w:rPr>
                <w:sz w:val="17"/>
              </w:rPr>
            </w:pPr>
            <w:r>
              <w:rPr>
                <w:sz w:val="17"/>
              </w:rPr>
              <w:t>9,3</w:t>
            </w:r>
          </w:p>
        </w:tc>
        <w:tc>
          <w:tcPr>
            <w:tcW w:w="691" w:type="dxa"/>
            <w:tcBorders>
              <w:top w:val="single" w:sz="2" w:space="0" w:color="000000"/>
            </w:tcBorders>
          </w:tcPr>
          <w:p>
            <w:pPr>
              <w:pStyle w:val="TableParagraph"/>
              <w:jc w:val="left"/>
              <w:rPr>
                <w:sz w:val="18"/>
              </w:rPr>
            </w:pPr>
          </w:p>
          <w:p>
            <w:pPr>
              <w:pStyle w:val="TableParagraph"/>
              <w:spacing w:before="1"/>
              <w:jc w:val="left"/>
              <w:rPr>
                <w:sz w:val="16"/>
              </w:rPr>
            </w:pPr>
          </w:p>
          <w:p>
            <w:pPr>
              <w:pStyle w:val="TableParagraph"/>
              <w:ind w:right="55"/>
              <w:rPr>
                <w:sz w:val="17"/>
              </w:rPr>
            </w:pPr>
            <w:r>
              <w:rPr>
                <w:sz w:val="17"/>
              </w:rPr>
              <w:t>9,2</w:t>
            </w:r>
          </w:p>
        </w:tc>
      </w:tr>
      <w:tr>
        <w:trPr>
          <w:trHeight w:val="277" w:hRule="atLeast"/>
        </w:trPr>
        <w:tc>
          <w:tcPr>
            <w:tcW w:w="3519" w:type="dxa"/>
          </w:tcPr>
          <w:p>
            <w:pPr>
              <w:pStyle w:val="TableParagraph"/>
              <w:spacing w:before="41"/>
              <w:jc w:val="left"/>
              <w:rPr>
                <w:sz w:val="17"/>
              </w:rPr>
            </w:pPr>
            <w:r>
              <w:rPr>
                <w:sz w:val="17"/>
              </w:rPr>
              <w:t>Consumi intermedi</w:t>
            </w:r>
          </w:p>
        </w:tc>
        <w:tc>
          <w:tcPr>
            <w:tcW w:w="1408" w:type="dxa"/>
          </w:tcPr>
          <w:p>
            <w:pPr>
              <w:pStyle w:val="TableParagraph"/>
              <w:spacing w:before="41"/>
              <w:ind w:right="233"/>
              <w:rPr>
                <w:sz w:val="17"/>
              </w:rPr>
            </w:pPr>
            <w:r>
              <w:rPr>
                <w:sz w:val="17"/>
              </w:rPr>
              <w:t>8,3</w:t>
            </w:r>
          </w:p>
        </w:tc>
        <w:tc>
          <w:tcPr>
            <w:tcW w:w="869" w:type="dxa"/>
          </w:tcPr>
          <w:p>
            <w:pPr>
              <w:pStyle w:val="TableParagraph"/>
              <w:spacing w:before="41"/>
              <w:ind w:left="214" w:right="60"/>
              <w:jc w:val="center"/>
              <w:rPr>
                <w:sz w:val="17"/>
              </w:rPr>
            </w:pPr>
            <w:r>
              <w:rPr>
                <w:sz w:val="17"/>
              </w:rPr>
              <w:t>8,2</w:t>
            </w:r>
          </w:p>
        </w:tc>
        <w:tc>
          <w:tcPr>
            <w:tcW w:w="868" w:type="dxa"/>
          </w:tcPr>
          <w:p>
            <w:pPr>
              <w:pStyle w:val="TableParagraph"/>
              <w:spacing w:before="41"/>
              <w:ind w:left="214" w:right="59"/>
              <w:jc w:val="center"/>
              <w:rPr>
                <w:sz w:val="17"/>
              </w:rPr>
            </w:pPr>
            <w:r>
              <w:rPr>
                <w:sz w:val="17"/>
              </w:rPr>
              <w:t>8,2</w:t>
            </w:r>
          </w:p>
        </w:tc>
        <w:tc>
          <w:tcPr>
            <w:tcW w:w="868" w:type="dxa"/>
          </w:tcPr>
          <w:p>
            <w:pPr>
              <w:pStyle w:val="TableParagraph"/>
              <w:spacing w:before="41"/>
              <w:ind w:right="234"/>
              <w:rPr>
                <w:sz w:val="17"/>
              </w:rPr>
            </w:pPr>
            <w:r>
              <w:rPr>
                <w:sz w:val="17"/>
              </w:rPr>
              <w:t>8,1</w:t>
            </w:r>
          </w:p>
        </w:tc>
        <w:tc>
          <w:tcPr>
            <w:tcW w:w="691" w:type="dxa"/>
          </w:tcPr>
          <w:p>
            <w:pPr>
              <w:pStyle w:val="TableParagraph"/>
              <w:spacing w:before="41"/>
              <w:ind w:right="55"/>
              <w:rPr>
                <w:sz w:val="17"/>
              </w:rPr>
            </w:pPr>
            <w:r>
              <w:rPr>
                <w:sz w:val="17"/>
              </w:rPr>
              <w:t>8,0</w:t>
            </w:r>
          </w:p>
        </w:tc>
      </w:tr>
      <w:tr>
        <w:trPr>
          <w:trHeight w:val="278" w:hRule="atLeast"/>
        </w:trPr>
        <w:tc>
          <w:tcPr>
            <w:tcW w:w="3519" w:type="dxa"/>
          </w:tcPr>
          <w:p>
            <w:pPr>
              <w:pStyle w:val="TableParagraph"/>
              <w:spacing w:before="43"/>
              <w:jc w:val="left"/>
              <w:rPr>
                <w:sz w:val="17"/>
              </w:rPr>
            </w:pPr>
            <w:r>
              <w:rPr>
                <w:sz w:val="17"/>
              </w:rPr>
              <w:t>Prestazioni sociali</w:t>
            </w:r>
          </w:p>
        </w:tc>
        <w:tc>
          <w:tcPr>
            <w:tcW w:w="1408" w:type="dxa"/>
          </w:tcPr>
          <w:p>
            <w:pPr>
              <w:pStyle w:val="TableParagraph"/>
              <w:spacing w:before="43"/>
              <w:ind w:right="233"/>
              <w:rPr>
                <w:sz w:val="17"/>
              </w:rPr>
            </w:pPr>
            <w:r>
              <w:rPr>
                <w:sz w:val="17"/>
              </w:rPr>
              <w:t>19,8</w:t>
            </w:r>
          </w:p>
        </w:tc>
        <w:tc>
          <w:tcPr>
            <w:tcW w:w="869" w:type="dxa"/>
          </w:tcPr>
          <w:p>
            <w:pPr>
              <w:pStyle w:val="TableParagraph"/>
              <w:spacing w:before="43"/>
              <w:ind w:left="214" w:right="158"/>
              <w:jc w:val="center"/>
              <w:rPr>
                <w:sz w:val="17"/>
              </w:rPr>
            </w:pPr>
            <w:r>
              <w:rPr>
                <w:sz w:val="17"/>
              </w:rPr>
              <w:t>20,3</w:t>
            </w:r>
          </w:p>
        </w:tc>
        <w:tc>
          <w:tcPr>
            <w:tcW w:w="868" w:type="dxa"/>
          </w:tcPr>
          <w:p>
            <w:pPr>
              <w:pStyle w:val="TableParagraph"/>
              <w:spacing w:before="43"/>
              <w:ind w:left="214" w:right="158"/>
              <w:jc w:val="center"/>
              <w:rPr>
                <w:sz w:val="17"/>
              </w:rPr>
            </w:pPr>
            <w:r>
              <w:rPr>
                <w:sz w:val="17"/>
              </w:rPr>
              <w:t>20,5</w:t>
            </w:r>
          </w:p>
        </w:tc>
        <w:tc>
          <w:tcPr>
            <w:tcW w:w="868" w:type="dxa"/>
          </w:tcPr>
          <w:p>
            <w:pPr>
              <w:pStyle w:val="TableParagraph"/>
              <w:spacing w:before="43"/>
              <w:ind w:right="234"/>
              <w:rPr>
                <w:sz w:val="17"/>
              </w:rPr>
            </w:pPr>
            <w:r>
              <w:rPr>
                <w:sz w:val="17"/>
              </w:rPr>
              <w:t>20,7</w:t>
            </w:r>
          </w:p>
        </w:tc>
        <w:tc>
          <w:tcPr>
            <w:tcW w:w="691" w:type="dxa"/>
          </w:tcPr>
          <w:p>
            <w:pPr>
              <w:pStyle w:val="TableParagraph"/>
              <w:spacing w:before="43"/>
              <w:ind w:right="55"/>
              <w:rPr>
                <w:sz w:val="17"/>
              </w:rPr>
            </w:pPr>
            <w:r>
              <w:rPr>
                <w:sz w:val="17"/>
              </w:rPr>
              <w:t>20,7</w:t>
            </w:r>
          </w:p>
        </w:tc>
      </w:tr>
      <w:tr>
        <w:trPr>
          <w:trHeight w:val="278" w:hRule="atLeast"/>
        </w:trPr>
        <w:tc>
          <w:tcPr>
            <w:tcW w:w="3519" w:type="dxa"/>
          </w:tcPr>
          <w:p>
            <w:pPr>
              <w:pStyle w:val="TableParagraph"/>
              <w:tabs>
                <w:tab w:pos="707" w:val="left" w:leader="none"/>
              </w:tabs>
              <w:spacing w:before="43"/>
              <w:jc w:val="left"/>
              <w:rPr>
                <w:sz w:val="17"/>
              </w:rPr>
            </w:pPr>
            <w:r>
              <w:rPr>
                <w:sz w:val="17"/>
              </w:rPr>
              <w:t>di</w:t>
            </w:r>
            <w:r>
              <w:rPr>
                <w:spacing w:val="-2"/>
                <w:sz w:val="17"/>
              </w:rPr>
              <w:t> </w:t>
            </w:r>
            <w:r>
              <w:rPr>
                <w:sz w:val="17"/>
              </w:rPr>
              <w:t>cui:</w:t>
              <w:tab/>
              <w:t>Pensioni</w:t>
            </w:r>
          </w:p>
        </w:tc>
        <w:tc>
          <w:tcPr>
            <w:tcW w:w="1408" w:type="dxa"/>
          </w:tcPr>
          <w:p>
            <w:pPr>
              <w:pStyle w:val="TableParagraph"/>
              <w:spacing w:before="43"/>
              <w:ind w:right="233"/>
              <w:rPr>
                <w:sz w:val="17"/>
              </w:rPr>
            </w:pPr>
            <w:r>
              <w:rPr>
                <w:sz w:val="17"/>
              </w:rPr>
              <w:t>15,2</w:t>
            </w:r>
          </w:p>
        </w:tc>
        <w:tc>
          <w:tcPr>
            <w:tcW w:w="869" w:type="dxa"/>
          </w:tcPr>
          <w:p>
            <w:pPr>
              <w:pStyle w:val="TableParagraph"/>
              <w:spacing w:before="43"/>
              <w:ind w:left="214" w:right="158"/>
              <w:jc w:val="center"/>
              <w:rPr>
                <w:sz w:val="17"/>
              </w:rPr>
            </w:pPr>
            <w:r>
              <w:rPr>
                <w:sz w:val="17"/>
              </w:rPr>
              <w:t>15,5</w:t>
            </w:r>
          </w:p>
        </w:tc>
        <w:tc>
          <w:tcPr>
            <w:tcW w:w="868" w:type="dxa"/>
          </w:tcPr>
          <w:p>
            <w:pPr>
              <w:pStyle w:val="TableParagraph"/>
              <w:spacing w:before="43"/>
              <w:ind w:left="214" w:right="158"/>
              <w:jc w:val="center"/>
              <w:rPr>
                <w:sz w:val="17"/>
              </w:rPr>
            </w:pPr>
            <w:r>
              <w:rPr>
                <w:sz w:val="17"/>
              </w:rPr>
              <w:t>15,6</w:t>
            </w:r>
          </w:p>
        </w:tc>
        <w:tc>
          <w:tcPr>
            <w:tcW w:w="868" w:type="dxa"/>
          </w:tcPr>
          <w:p>
            <w:pPr>
              <w:pStyle w:val="TableParagraph"/>
              <w:spacing w:before="43"/>
              <w:ind w:right="234"/>
              <w:rPr>
                <w:sz w:val="17"/>
              </w:rPr>
            </w:pPr>
            <w:r>
              <w:rPr>
                <w:sz w:val="17"/>
              </w:rPr>
              <w:t>15,8</w:t>
            </w:r>
          </w:p>
        </w:tc>
        <w:tc>
          <w:tcPr>
            <w:tcW w:w="691" w:type="dxa"/>
          </w:tcPr>
          <w:p>
            <w:pPr>
              <w:pStyle w:val="TableParagraph"/>
              <w:spacing w:before="43"/>
              <w:ind w:right="55"/>
              <w:rPr>
                <w:sz w:val="17"/>
              </w:rPr>
            </w:pPr>
            <w:r>
              <w:rPr>
                <w:sz w:val="17"/>
              </w:rPr>
              <w:t>15,9</w:t>
            </w:r>
          </w:p>
        </w:tc>
      </w:tr>
      <w:tr>
        <w:trPr>
          <w:trHeight w:val="278" w:hRule="atLeast"/>
        </w:trPr>
        <w:tc>
          <w:tcPr>
            <w:tcW w:w="3519" w:type="dxa"/>
          </w:tcPr>
          <w:p>
            <w:pPr>
              <w:pStyle w:val="TableParagraph"/>
              <w:spacing w:before="43"/>
              <w:ind w:left="707"/>
              <w:jc w:val="left"/>
              <w:rPr>
                <w:sz w:val="17"/>
              </w:rPr>
            </w:pPr>
            <w:r>
              <w:rPr>
                <w:sz w:val="17"/>
              </w:rPr>
              <w:t>Altre prestazioni sociali</w:t>
            </w:r>
          </w:p>
        </w:tc>
        <w:tc>
          <w:tcPr>
            <w:tcW w:w="1408" w:type="dxa"/>
          </w:tcPr>
          <w:p>
            <w:pPr>
              <w:pStyle w:val="TableParagraph"/>
              <w:spacing w:before="43"/>
              <w:ind w:right="233"/>
              <w:rPr>
                <w:sz w:val="17"/>
              </w:rPr>
            </w:pPr>
            <w:r>
              <w:rPr>
                <w:sz w:val="17"/>
              </w:rPr>
              <w:t>4,5</w:t>
            </w:r>
          </w:p>
        </w:tc>
        <w:tc>
          <w:tcPr>
            <w:tcW w:w="869" w:type="dxa"/>
          </w:tcPr>
          <w:p>
            <w:pPr>
              <w:pStyle w:val="TableParagraph"/>
              <w:spacing w:before="43"/>
              <w:ind w:left="214" w:right="60"/>
              <w:jc w:val="center"/>
              <w:rPr>
                <w:sz w:val="17"/>
              </w:rPr>
            </w:pPr>
            <w:r>
              <w:rPr>
                <w:sz w:val="17"/>
              </w:rPr>
              <w:t>4,9</w:t>
            </w:r>
          </w:p>
        </w:tc>
        <w:tc>
          <w:tcPr>
            <w:tcW w:w="868" w:type="dxa"/>
          </w:tcPr>
          <w:p>
            <w:pPr>
              <w:pStyle w:val="TableParagraph"/>
              <w:spacing w:before="43"/>
              <w:ind w:left="214" w:right="59"/>
              <w:jc w:val="center"/>
              <w:rPr>
                <w:sz w:val="17"/>
              </w:rPr>
            </w:pPr>
            <w:r>
              <w:rPr>
                <w:sz w:val="17"/>
              </w:rPr>
              <w:t>4,9</w:t>
            </w:r>
          </w:p>
        </w:tc>
        <w:tc>
          <w:tcPr>
            <w:tcW w:w="868" w:type="dxa"/>
          </w:tcPr>
          <w:p>
            <w:pPr>
              <w:pStyle w:val="TableParagraph"/>
              <w:spacing w:before="43"/>
              <w:ind w:right="234"/>
              <w:rPr>
                <w:sz w:val="17"/>
              </w:rPr>
            </w:pPr>
            <w:r>
              <w:rPr>
                <w:sz w:val="17"/>
              </w:rPr>
              <w:t>4,9</w:t>
            </w:r>
          </w:p>
        </w:tc>
        <w:tc>
          <w:tcPr>
            <w:tcW w:w="691" w:type="dxa"/>
          </w:tcPr>
          <w:p>
            <w:pPr>
              <w:pStyle w:val="TableParagraph"/>
              <w:spacing w:before="43"/>
              <w:ind w:right="55"/>
              <w:rPr>
                <w:sz w:val="17"/>
              </w:rPr>
            </w:pPr>
            <w:r>
              <w:rPr>
                <w:sz w:val="17"/>
              </w:rPr>
              <w:t>4,8</w:t>
            </w:r>
          </w:p>
        </w:tc>
      </w:tr>
      <w:tr>
        <w:trPr>
          <w:trHeight w:val="278" w:hRule="atLeast"/>
        </w:trPr>
        <w:tc>
          <w:tcPr>
            <w:tcW w:w="3519" w:type="dxa"/>
          </w:tcPr>
          <w:p>
            <w:pPr>
              <w:pStyle w:val="TableParagraph"/>
              <w:spacing w:before="43"/>
              <w:jc w:val="left"/>
              <w:rPr>
                <w:sz w:val="17"/>
              </w:rPr>
            </w:pPr>
            <w:r>
              <w:rPr>
                <w:sz w:val="17"/>
              </w:rPr>
              <w:t>Altre spese correnti</w:t>
            </w:r>
          </w:p>
        </w:tc>
        <w:tc>
          <w:tcPr>
            <w:tcW w:w="1408" w:type="dxa"/>
          </w:tcPr>
          <w:p>
            <w:pPr>
              <w:pStyle w:val="TableParagraph"/>
              <w:spacing w:before="43"/>
              <w:ind w:right="233"/>
              <w:rPr>
                <w:sz w:val="17"/>
              </w:rPr>
            </w:pPr>
            <w:r>
              <w:rPr>
                <w:sz w:val="17"/>
              </w:rPr>
              <w:t>3,6</w:t>
            </w:r>
          </w:p>
        </w:tc>
        <w:tc>
          <w:tcPr>
            <w:tcW w:w="869" w:type="dxa"/>
          </w:tcPr>
          <w:p>
            <w:pPr>
              <w:pStyle w:val="TableParagraph"/>
              <w:spacing w:before="43"/>
              <w:ind w:left="214" w:right="60"/>
              <w:jc w:val="center"/>
              <w:rPr>
                <w:sz w:val="17"/>
              </w:rPr>
            </w:pPr>
            <w:r>
              <w:rPr>
                <w:sz w:val="17"/>
              </w:rPr>
              <w:t>3,7</w:t>
            </w:r>
          </w:p>
        </w:tc>
        <w:tc>
          <w:tcPr>
            <w:tcW w:w="868" w:type="dxa"/>
          </w:tcPr>
          <w:p>
            <w:pPr>
              <w:pStyle w:val="TableParagraph"/>
              <w:spacing w:before="43"/>
              <w:ind w:left="214" w:right="59"/>
              <w:jc w:val="center"/>
              <w:rPr>
                <w:sz w:val="17"/>
              </w:rPr>
            </w:pPr>
            <w:r>
              <w:rPr>
                <w:sz w:val="17"/>
              </w:rPr>
              <w:t>3,6</w:t>
            </w:r>
          </w:p>
        </w:tc>
        <w:tc>
          <w:tcPr>
            <w:tcW w:w="868" w:type="dxa"/>
          </w:tcPr>
          <w:p>
            <w:pPr>
              <w:pStyle w:val="TableParagraph"/>
              <w:spacing w:before="43"/>
              <w:ind w:right="234"/>
              <w:rPr>
                <w:sz w:val="17"/>
              </w:rPr>
            </w:pPr>
            <w:r>
              <w:rPr>
                <w:sz w:val="17"/>
              </w:rPr>
              <w:t>3,6</w:t>
            </w:r>
          </w:p>
        </w:tc>
        <w:tc>
          <w:tcPr>
            <w:tcW w:w="691" w:type="dxa"/>
          </w:tcPr>
          <w:p>
            <w:pPr>
              <w:pStyle w:val="TableParagraph"/>
              <w:spacing w:before="43"/>
              <w:ind w:right="55"/>
              <w:rPr>
                <w:sz w:val="17"/>
              </w:rPr>
            </w:pPr>
            <w:r>
              <w:rPr>
                <w:sz w:val="17"/>
              </w:rPr>
              <w:t>3,5</w:t>
            </w:r>
          </w:p>
        </w:tc>
      </w:tr>
      <w:tr>
        <w:trPr>
          <w:trHeight w:val="416" w:hRule="atLeast"/>
        </w:trPr>
        <w:tc>
          <w:tcPr>
            <w:tcW w:w="3519" w:type="dxa"/>
          </w:tcPr>
          <w:p>
            <w:pPr>
              <w:pStyle w:val="TableParagraph"/>
              <w:spacing w:before="43"/>
              <w:jc w:val="left"/>
              <w:rPr>
                <w:sz w:val="17"/>
              </w:rPr>
            </w:pPr>
            <w:r>
              <w:rPr>
                <w:sz w:val="17"/>
              </w:rPr>
              <w:t>Totale spese correnti al netto interessi</w:t>
            </w:r>
          </w:p>
        </w:tc>
        <w:tc>
          <w:tcPr>
            <w:tcW w:w="1408" w:type="dxa"/>
          </w:tcPr>
          <w:p>
            <w:pPr>
              <w:pStyle w:val="TableParagraph"/>
              <w:spacing w:before="43"/>
              <w:ind w:right="233"/>
              <w:rPr>
                <w:sz w:val="17"/>
              </w:rPr>
            </w:pPr>
            <w:r>
              <w:rPr>
                <w:sz w:val="17"/>
              </w:rPr>
              <w:t>41,4</w:t>
            </w:r>
          </w:p>
        </w:tc>
        <w:tc>
          <w:tcPr>
            <w:tcW w:w="869" w:type="dxa"/>
          </w:tcPr>
          <w:p>
            <w:pPr>
              <w:pStyle w:val="TableParagraph"/>
              <w:spacing w:before="43"/>
              <w:ind w:left="214" w:right="158"/>
              <w:jc w:val="center"/>
              <w:rPr>
                <w:sz w:val="17"/>
              </w:rPr>
            </w:pPr>
            <w:r>
              <w:rPr>
                <w:sz w:val="17"/>
              </w:rPr>
              <w:t>41,9</w:t>
            </w:r>
          </w:p>
        </w:tc>
        <w:tc>
          <w:tcPr>
            <w:tcW w:w="868" w:type="dxa"/>
          </w:tcPr>
          <w:p>
            <w:pPr>
              <w:pStyle w:val="TableParagraph"/>
              <w:spacing w:before="43"/>
              <w:ind w:left="214" w:right="158"/>
              <w:jc w:val="center"/>
              <w:rPr>
                <w:sz w:val="17"/>
              </w:rPr>
            </w:pPr>
            <w:r>
              <w:rPr>
                <w:sz w:val="17"/>
              </w:rPr>
              <w:t>41,9</w:t>
            </w:r>
          </w:p>
        </w:tc>
        <w:tc>
          <w:tcPr>
            <w:tcW w:w="868" w:type="dxa"/>
          </w:tcPr>
          <w:p>
            <w:pPr>
              <w:pStyle w:val="TableParagraph"/>
              <w:spacing w:before="43"/>
              <w:ind w:right="234"/>
              <w:rPr>
                <w:sz w:val="17"/>
              </w:rPr>
            </w:pPr>
            <w:r>
              <w:rPr>
                <w:sz w:val="17"/>
              </w:rPr>
              <w:t>41,7</w:t>
            </w:r>
          </w:p>
        </w:tc>
        <w:tc>
          <w:tcPr>
            <w:tcW w:w="691" w:type="dxa"/>
          </w:tcPr>
          <w:p>
            <w:pPr>
              <w:pStyle w:val="TableParagraph"/>
              <w:spacing w:before="43"/>
              <w:ind w:right="55"/>
              <w:rPr>
                <w:sz w:val="17"/>
              </w:rPr>
            </w:pPr>
            <w:r>
              <w:rPr>
                <w:sz w:val="17"/>
              </w:rPr>
              <w:t>41,3</w:t>
            </w:r>
          </w:p>
        </w:tc>
      </w:tr>
      <w:tr>
        <w:trPr>
          <w:trHeight w:val="555" w:hRule="atLeast"/>
        </w:trPr>
        <w:tc>
          <w:tcPr>
            <w:tcW w:w="3519" w:type="dxa"/>
          </w:tcPr>
          <w:p>
            <w:pPr>
              <w:pStyle w:val="TableParagraph"/>
              <w:spacing w:before="10"/>
              <w:jc w:val="left"/>
              <w:rPr>
                <w:sz w:val="15"/>
              </w:rPr>
            </w:pPr>
          </w:p>
          <w:p>
            <w:pPr>
              <w:pStyle w:val="TableParagraph"/>
              <w:spacing w:before="1"/>
              <w:jc w:val="left"/>
              <w:rPr>
                <w:sz w:val="17"/>
              </w:rPr>
            </w:pPr>
            <w:r>
              <w:rPr>
                <w:sz w:val="17"/>
              </w:rPr>
              <w:t>Interessi passivi</w:t>
            </w:r>
          </w:p>
        </w:tc>
        <w:tc>
          <w:tcPr>
            <w:tcW w:w="1408" w:type="dxa"/>
          </w:tcPr>
          <w:p>
            <w:pPr>
              <w:pStyle w:val="TableParagraph"/>
              <w:spacing w:before="10"/>
              <w:jc w:val="left"/>
              <w:rPr>
                <w:sz w:val="15"/>
              </w:rPr>
            </w:pPr>
          </w:p>
          <w:p>
            <w:pPr>
              <w:pStyle w:val="TableParagraph"/>
              <w:spacing w:before="1"/>
              <w:ind w:right="233"/>
              <w:rPr>
                <w:sz w:val="17"/>
              </w:rPr>
            </w:pPr>
            <w:r>
              <w:rPr>
                <w:sz w:val="17"/>
              </w:rPr>
              <w:t>3,7</w:t>
            </w:r>
          </w:p>
        </w:tc>
        <w:tc>
          <w:tcPr>
            <w:tcW w:w="869" w:type="dxa"/>
          </w:tcPr>
          <w:p>
            <w:pPr>
              <w:pStyle w:val="TableParagraph"/>
              <w:spacing w:before="10"/>
              <w:jc w:val="left"/>
              <w:rPr>
                <w:sz w:val="15"/>
              </w:rPr>
            </w:pPr>
          </w:p>
          <w:p>
            <w:pPr>
              <w:pStyle w:val="TableParagraph"/>
              <w:spacing w:before="1"/>
              <w:ind w:left="214" w:right="60"/>
              <w:jc w:val="center"/>
              <w:rPr>
                <w:sz w:val="17"/>
              </w:rPr>
            </w:pPr>
            <w:r>
              <w:rPr>
                <w:sz w:val="17"/>
              </w:rPr>
              <w:t>3,4</w:t>
            </w:r>
          </w:p>
        </w:tc>
        <w:tc>
          <w:tcPr>
            <w:tcW w:w="868" w:type="dxa"/>
          </w:tcPr>
          <w:p>
            <w:pPr>
              <w:pStyle w:val="TableParagraph"/>
              <w:spacing w:before="10"/>
              <w:jc w:val="left"/>
              <w:rPr>
                <w:sz w:val="15"/>
              </w:rPr>
            </w:pPr>
          </w:p>
          <w:p>
            <w:pPr>
              <w:pStyle w:val="TableParagraph"/>
              <w:spacing w:before="1"/>
              <w:ind w:left="214" w:right="59"/>
              <w:jc w:val="center"/>
              <w:rPr>
                <w:sz w:val="17"/>
              </w:rPr>
            </w:pPr>
            <w:r>
              <w:rPr>
                <w:sz w:val="17"/>
              </w:rPr>
              <w:t>3,2</w:t>
            </w:r>
          </w:p>
        </w:tc>
        <w:tc>
          <w:tcPr>
            <w:tcW w:w="868" w:type="dxa"/>
          </w:tcPr>
          <w:p>
            <w:pPr>
              <w:pStyle w:val="TableParagraph"/>
              <w:spacing w:before="10"/>
              <w:jc w:val="left"/>
              <w:rPr>
                <w:sz w:val="15"/>
              </w:rPr>
            </w:pPr>
          </w:p>
          <w:p>
            <w:pPr>
              <w:pStyle w:val="TableParagraph"/>
              <w:spacing w:before="1"/>
              <w:ind w:right="234"/>
              <w:rPr>
                <w:sz w:val="17"/>
              </w:rPr>
            </w:pPr>
            <w:r>
              <w:rPr>
                <w:sz w:val="17"/>
              </w:rPr>
              <w:t>3,1</w:t>
            </w:r>
          </w:p>
        </w:tc>
        <w:tc>
          <w:tcPr>
            <w:tcW w:w="691" w:type="dxa"/>
          </w:tcPr>
          <w:p>
            <w:pPr>
              <w:pStyle w:val="TableParagraph"/>
              <w:spacing w:before="10"/>
              <w:jc w:val="left"/>
              <w:rPr>
                <w:sz w:val="15"/>
              </w:rPr>
            </w:pPr>
          </w:p>
          <w:p>
            <w:pPr>
              <w:pStyle w:val="TableParagraph"/>
              <w:spacing w:before="1"/>
              <w:ind w:right="55"/>
              <w:rPr>
                <w:sz w:val="17"/>
              </w:rPr>
            </w:pPr>
            <w:r>
              <w:rPr>
                <w:sz w:val="17"/>
              </w:rPr>
              <w:t>2,9</w:t>
            </w:r>
          </w:p>
        </w:tc>
      </w:tr>
      <w:tr>
        <w:trPr>
          <w:trHeight w:val="408" w:hRule="atLeast"/>
        </w:trPr>
        <w:tc>
          <w:tcPr>
            <w:tcW w:w="3519" w:type="dxa"/>
          </w:tcPr>
          <w:p>
            <w:pPr>
              <w:pStyle w:val="TableParagraph"/>
              <w:spacing w:before="1"/>
              <w:jc w:val="left"/>
              <w:rPr>
                <w:sz w:val="16"/>
              </w:rPr>
            </w:pPr>
          </w:p>
          <w:p>
            <w:pPr>
              <w:pStyle w:val="TableParagraph"/>
              <w:jc w:val="left"/>
              <w:rPr>
                <w:sz w:val="17"/>
              </w:rPr>
            </w:pPr>
            <w:r>
              <w:rPr>
                <w:sz w:val="17"/>
              </w:rPr>
              <w:t>Totale spese correnti</w:t>
            </w:r>
          </w:p>
        </w:tc>
        <w:tc>
          <w:tcPr>
            <w:tcW w:w="1408" w:type="dxa"/>
          </w:tcPr>
          <w:p>
            <w:pPr>
              <w:pStyle w:val="TableParagraph"/>
              <w:spacing w:before="1"/>
              <w:jc w:val="left"/>
              <w:rPr>
                <w:sz w:val="16"/>
              </w:rPr>
            </w:pPr>
          </w:p>
          <w:p>
            <w:pPr>
              <w:pStyle w:val="TableParagraph"/>
              <w:ind w:right="233"/>
              <w:rPr>
                <w:sz w:val="17"/>
              </w:rPr>
            </w:pPr>
            <w:r>
              <w:rPr>
                <w:sz w:val="17"/>
              </w:rPr>
              <w:t>45,1</w:t>
            </w:r>
          </w:p>
        </w:tc>
        <w:tc>
          <w:tcPr>
            <w:tcW w:w="869" w:type="dxa"/>
          </w:tcPr>
          <w:p>
            <w:pPr>
              <w:pStyle w:val="TableParagraph"/>
              <w:spacing w:before="1"/>
              <w:jc w:val="left"/>
              <w:rPr>
                <w:sz w:val="16"/>
              </w:rPr>
            </w:pPr>
          </w:p>
          <w:p>
            <w:pPr>
              <w:pStyle w:val="TableParagraph"/>
              <w:ind w:left="214" w:right="158"/>
              <w:jc w:val="center"/>
              <w:rPr>
                <w:sz w:val="17"/>
              </w:rPr>
            </w:pPr>
            <w:r>
              <w:rPr>
                <w:sz w:val="17"/>
              </w:rPr>
              <w:t>45,4</w:t>
            </w:r>
          </w:p>
        </w:tc>
        <w:tc>
          <w:tcPr>
            <w:tcW w:w="868" w:type="dxa"/>
          </w:tcPr>
          <w:p>
            <w:pPr>
              <w:pStyle w:val="TableParagraph"/>
              <w:spacing w:before="1"/>
              <w:jc w:val="left"/>
              <w:rPr>
                <w:sz w:val="16"/>
              </w:rPr>
            </w:pPr>
          </w:p>
          <w:p>
            <w:pPr>
              <w:pStyle w:val="TableParagraph"/>
              <w:ind w:left="214" w:right="158"/>
              <w:jc w:val="center"/>
              <w:rPr>
                <w:sz w:val="17"/>
              </w:rPr>
            </w:pPr>
            <w:r>
              <w:rPr>
                <w:sz w:val="17"/>
              </w:rPr>
              <w:t>45,2</w:t>
            </w:r>
          </w:p>
        </w:tc>
        <w:tc>
          <w:tcPr>
            <w:tcW w:w="868" w:type="dxa"/>
          </w:tcPr>
          <w:p>
            <w:pPr>
              <w:pStyle w:val="TableParagraph"/>
              <w:spacing w:before="1"/>
              <w:jc w:val="left"/>
              <w:rPr>
                <w:sz w:val="16"/>
              </w:rPr>
            </w:pPr>
          </w:p>
          <w:p>
            <w:pPr>
              <w:pStyle w:val="TableParagraph"/>
              <w:ind w:right="234"/>
              <w:rPr>
                <w:sz w:val="17"/>
              </w:rPr>
            </w:pPr>
            <w:r>
              <w:rPr>
                <w:sz w:val="17"/>
              </w:rPr>
              <w:t>44,8</w:t>
            </w:r>
          </w:p>
        </w:tc>
        <w:tc>
          <w:tcPr>
            <w:tcW w:w="691" w:type="dxa"/>
          </w:tcPr>
          <w:p>
            <w:pPr>
              <w:pStyle w:val="TableParagraph"/>
              <w:spacing w:before="1"/>
              <w:jc w:val="left"/>
              <w:rPr>
                <w:sz w:val="16"/>
              </w:rPr>
            </w:pPr>
          </w:p>
          <w:p>
            <w:pPr>
              <w:pStyle w:val="TableParagraph"/>
              <w:ind w:right="55"/>
              <w:rPr>
                <w:sz w:val="17"/>
              </w:rPr>
            </w:pPr>
            <w:r>
              <w:rPr>
                <w:sz w:val="17"/>
              </w:rPr>
              <w:t>44,3</w:t>
            </w:r>
          </w:p>
        </w:tc>
      </w:tr>
      <w:tr>
        <w:trPr>
          <w:trHeight w:val="425" w:hRule="atLeast"/>
        </w:trPr>
        <w:tc>
          <w:tcPr>
            <w:tcW w:w="3519" w:type="dxa"/>
          </w:tcPr>
          <w:p>
            <w:pPr>
              <w:pStyle w:val="TableParagraph"/>
              <w:tabs>
                <w:tab w:pos="707" w:val="left" w:leader="none"/>
              </w:tabs>
              <w:spacing w:before="52"/>
              <w:jc w:val="left"/>
              <w:rPr>
                <w:sz w:val="17"/>
              </w:rPr>
            </w:pPr>
            <w:r>
              <w:rPr>
                <w:sz w:val="17"/>
              </w:rPr>
              <w:t>di</w:t>
            </w:r>
            <w:r>
              <w:rPr>
                <w:spacing w:val="-2"/>
                <w:sz w:val="17"/>
              </w:rPr>
              <w:t> </w:t>
            </w:r>
            <w:r>
              <w:rPr>
                <w:sz w:val="17"/>
              </w:rPr>
              <w:t>cui:</w:t>
              <w:tab/>
              <w:t>Spesa sanitaria</w:t>
            </w:r>
          </w:p>
        </w:tc>
        <w:tc>
          <w:tcPr>
            <w:tcW w:w="1408" w:type="dxa"/>
          </w:tcPr>
          <w:p>
            <w:pPr>
              <w:pStyle w:val="TableParagraph"/>
              <w:spacing w:before="33"/>
              <w:ind w:right="233"/>
              <w:rPr>
                <w:sz w:val="17"/>
              </w:rPr>
            </w:pPr>
            <w:r>
              <w:rPr>
                <w:sz w:val="17"/>
              </w:rPr>
              <w:t>6,5</w:t>
            </w:r>
          </w:p>
        </w:tc>
        <w:tc>
          <w:tcPr>
            <w:tcW w:w="869" w:type="dxa"/>
          </w:tcPr>
          <w:p>
            <w:pPr>
              <w:pStyle w:val="TableParagraph"/>
              <w:spacing w:before="33"/>
              <w:ind w:left="214" w:right="60"/>
              <w:jc w:val="center"/>
              <w:rPr>
                <w:sz w:val="17"/>
              </w:rPr>
            </w:pPr>
            <w:r>
              <w:rPr>
                <w:sz w:val="17"/>
              </w:rPr>
              <w:t>6,6</w:t>
            </w:r>
          </w:p>
        </w:tc>
        <w:tc>
          <w:tcPr>
            <w:tcW w:w="868" w:type="dxa"/>
          </w:tcPr>
          <w:p>
            <w:pPr>
              <w:pStyle w:val="TableParagraph"/>
              <w:spacing w:before="33"/>
              <w:ind w:left="214" w:right="59"/>
              <w:jc w:val="center"/>
              <w:rPr>
                <w:sz w:val="17"/>
              </w:rPr>
            </w:pPr>
            <w:r>
              <w:rPr>
                <w:sz w:val="17"/>
              </w:rPr>
              <w:t>6,6</w:t>
            </w:r>
          </w:p>
        </w:tc>
        <w:tc>
          <w:tcPr>
            <w:tcW w:w="868" w:type="dxa"/>
          </w:tcPr>
          <w:p>
            <w:pPr>
              <w:pStyle w:val="TableParagraph"/>
              <w:spacing w:before="33"/>
              <w:ind w:right="233"/>
              <w:rPr>
                <w:sz w:val="17"/>
              </w:rPr>
            </w:pPr>
            <w:r>
              <w:rPr>
                <w:sz w:val="17"/>
              </w:rPr>
              <w:t>6,5</w:t>
            </w:r>
          </w:p>
        </w:tc>
        <w:tc>
          <w:tcPr>
            <w:tcW w:w="691" w:type="dxa"/>
          </w:tcPr>
          <w:p>
            <w:pPr>
              <w:pStyle w:val="TableParagraph"/>
              <w:spacing w:before="33"/>
              <w:ind w:right="55"/>
              <w:rPr>
                <w:sz w:val="17"/>
              </w:rPr>
            </w:pPr>
            <w:r>
              <w:rPr>
                <w:sz w:val="17"/>
              </w:rPr>
              <w:t>6,5</w:t>
            </w:r>
          </w:p>
        </w:tc>
      </w:tr>
      <w:tr>
        <w:trPr>
          <w:trHeight w:val="416" w:hRule="atLeast"/>
        </w:trPr>
        <w:tc>
          <w:tcPr>
            <w:tcW w:w="3519" w:type="dxa"/>
          </w:tcPr>
          <w:p>
            <w:pPr>
              <w:pStyle w:val="TableParagraph"/>
              <w:spacing w:before="10"/>
              <w:jc w:val="left"/>
              <w:rPr>
                <w:sz w:val="15"/>
              </w:rPr>
            </w:pPr>
          </w:p>
          <w:p>
            <w:pPr>
              <w:pStyle w:val="TableParagraph"/>
              <w:spacing w:before="1"/>
              <w:jc w:val="left"/>
              <w:rPr>
                <w:sz w:val="17"/>
              </w:rPr>
            </w:pPr>
            <w:r>
              <w:rPr>
                <w:sz w:val="17"/>
              </w:rPr>
              <w:t>Totale spese in conto capitale</w:t>
            </w:r>
          </w:p>
        </w:tc>
        <w:tc>
          <w:tcPr>
            <w:tcW w:w="1408" w:type="dxa"/>
          </w:tcPr>
          <w:p>
            <w:pPr>
              <w:pStyle w:val="TableParagraph"/>
              <w:spacing w:before="10"/>
              <w:jc w:val="left"/>
              <w:rPr>
                <w:sz w:val="15"/>
              </w:rPr>
            </w:pPr>
          </w:p>
          <w:p>
            <w:pPr>
              <w:pStyle w:val="TableParagraph"/>
              <w:spacing w:before="1"/>
              <w:ind w:right="233"/>
              <w:rPr>
                <w:sz w:val="17"/>
              </w:rPr>
            </w:pPr>
            <w:r>
              <w:rPr>
                <w:sz w:val="17"/>
              </w:rPr>
              <w:t>3,3</w:t>
            </w:r>
          </w:p>
        </w:tc>
        <w:tc>
          <w:tcPr>
            <w:tcW w:w="869" w:type="dxa"/>
          </w:tcPr>
          <w:p>
            <w:pPr>
              <w:pStyle w:val="TableParagraph"/>
              <w:spacing w:before="10"/>
              <w:jc w:val="left"/>
              <w:rPr>
                <w:sz w:val="15"/>
              </w:rPr>
            </w:pPr>
          </w:p>
          <w:p>
            <w:pPr>
              <w:pStyle w:val="TableParagraph"/>
              <w:spacing w:before="1"/>
              <w:ind w:left="214" w:right="60"/>
              <w:jc w:val="center"/>
              <w:rPr>
                <w:sz w:val="17"/>
              </w:rPr>
            </w:pPr>
            <w:r>
              <w:rPr>
                <w:sz w:val="17"/>
              </w:rPr>
              <w:t>3,3</w:t>
            </w:r>
          </w:p>
        </w:tc>
        <w:tc>
          <w:tcPr>
            <w:tcW w:w="868" w:type="dxa"/>
          </w:tcPr>
          <w:p>
            <w:pPr>
              <w:pStyle w:val="TableParagraph"/>
              <w:spacing w:before="10"/>
              <w:jc w:val="left"/>
              <w:rPr>
                <w:sz w:val="15"/>
              </w:rPr>
            </w:pPr>
          </w:p>
          <w:p>
            <w:pPr>
              <w:pStyle w:val="TableParagraph"/>
              <w:spacing w:before="1"/>
              <w:ind w:left="214" w:right="59"/>
              <w:jc w:val="center"/>
              <w:rPr>
                <w:sz w:val="17"/>
              </w:rPr>
            </w:pPr>
            <w:r>
              <w:rPr>
                <w:sz w:val="17"/>
              </w:rPr>
              <w:t>3,3</w:t>
            </w:r>
          </w:p>
        </w:tc>
        <w:tc>
          <w:tcPr>
            <w:tcW w:w="868" w:type="dxa"/>
          </w:tcPr>
          <w:p>
            <w:pPr>
              <w:pStyle w:val="TableParagraph"/>
              <w:spacing w:before="10"/>
              <w:jc w:val="left"/>
              <w:rPr>
                <w:sz w:val="15"/>
              </w:rPr>
            </w:pPr>
          </w:p>
          <w:p>
            <w:pPr>
              <w:pStyle w:val="TableParagraph"/>
              <w:spacing w:before="1"/>
              <w:ind w:right="234"/>
              <w:rPr>
                <w:sz w:val="17"/>
              </w:rPr>
            </w:pPr>
            <w:r>
              <w:rPr>
                <w:sz w:val="17"/>
              </w:rPr>
              <w:t>3,4</w:t>
            </w:r>
          </w:p>
        </w:tc>
        <w:tc>
          <w:tcPr>
            <w:tcW w:w="691" w:type="dxa"/>
          </w:tcPr>
          <w:p>
            <w:pPr>
              <w:pStyle w:val="TableParagraph"/>
              <w:spacing w:before="10"/>
              <w:jc w:val="left"/>
              <w:rPr>
                <w:sz w:val="15"/>
              </w:rPr>
            </w:pPr>
          </w:p>
          <w:p>
            <w:pPr>
              <w:pStyle w:val="TableParagraph"/>
              <w:spacing w:before="1"/>
              <w:ind w:right="55"/>
              <w:rPr>
                <w:sz w:val="17"/>
              </w:rPr>
            </w:pPr>
            <w:r>
              <w:rPr>
                <w:sz w:val="17"/>
              </w:rPr>
              <w:t>3,3</w:t>
            </w:r>
          </w:p>
        </w:tc>
      </w:tr>
      <w:tr>
        <w:trPr>
          <w:trHeight w:val="278" w:hRule="atLeast"/>
        </w:trPr>
        <w:tc>
          <w:tcPr>
            <w:tcW w:w="3519" w:type="dxa"/>
          </w:tcPr>
          <w:p>
            <w:pPr>
              <w:pStyle w:val="TableParagraph"/>
              <w:spacing w:before="43"/>
              <w:ind w:left="707"/>
              <w:jc w:val="left"/>
              <w:rPr>
                <w:sz w:val="17"/>
              </w:rPr>
            </w:pPr>
            <w:r>
              <w:rPr>
                <w:sz w:val="17"/>
              </w:rPr>
              <w:t>Investimenti fissi lordi</w:t>
            </w:r>
          </w:p>
        </w:tc>
        <w:tc>
          <w:tcPr>
            <w:tcW w:w="1408" w:type="dxa"/>
          </w:tcPr>
          <w:p>
            <w:pPr>
              <w:pStyle w:val="TableParagraph"/>
              <w:spacing w:before="43"/>
              <w:ind w:right="233"/>
              <w:rPr>
                <w:sz w:val="17"/>
              </w:rPr>
            </w:pPr>
            <w:r>
              <w:rPr>
                <w:sz w:val="17"/>
              </w:rPr>
              <w:t>2,1</w:t>
            </w:r>
          </w:p>
        </w:tc>
        <w:tc>
          <w:tcPr>
            <w:tcW w:w="869" w:type="dxa"/>
          </w:tcPr>
          <w:p>
            <w:pPr>
              <w:pStyle w:val="TableParagraph"/>
              <w:spacing w:before="43"/>
              <w:ind w:left="214" w:right="60"/>
              <w:jc w:val="center"/>
              <w:rPr>
                <w:sz w:val="17"/>
              </w:rPr>
            </w:pPr>
            <w:r>
              <w:rPr>
                <w:sz w:val="17"/>
              </w:rPr>
              <w:t>2,3</w:t>
            </w:r>
          </w:p>
        </w:tc>
        <w:tc>
          <w:tcPr>
            <w:tcW w:w="868" w:type="dxa"/>
          </w:tcPr>
          <w:p>
            <w:pPr>
              <w:pStyle w:val="TableParagraph"/>
              <w:spacing w:before="43"/>
              <w:ind w:left="214" w:right="59"/>
              <w:jc w:val="center"/>
              <w:rPr>
                <w:sz w:val="17"/>
              </w:rPr>
            </w:pPr>
            <w:r>
              <w:rPr>
                <w:sz w:val="17"/>
              </w:rPr>
              <w:t>2,3</w:t>
            </w:r>
          </w:p>
        </w:tc>
        <w:tc>
          <w:tcPr>
            <w:tcW w:w="868" w:type="dxa"/>
          </w:tcPr>
          <w:p>
            <w:pPr>
              <w:pStyle w:val="TableParagraph"/>
              <w:spacing w:before="43"/>
              <w:ind w:right="234"/>
              <w:rPr>
                <w:sz w:val="17"/>
              </w:rPr>
            </w:pPr>
            <w:r>
              <w:rPr>
                <w:sz w:val="17"/>
              </w:rPr>
              <w:t>2,5</w:t>
            </w:r>
          </w:p>
        </w:tc>
        <w:tc>
          <w:tcPr>
            <w:tcW w:w="691" w:type="dxa"/>
          </w:tcPr>
          <w:p>
            <w:pPr>
              <w:pStyle w:val="TableParagraph"/>
              <w:spacing w:before="43"/>
              <w:ind w:right="55"/>
              <w:rPr>
                <w:sz w:val="17"/>
              </w:rPr>
            </w:pPr>
            <w:r>
              <w:rPr>
                <w:sz w:val="17"/>
              </w:rPr>
              <w:t>2,5</w:t>
            </w:r>
          </w:p>
        </w:tc>
      </w:tr>
      <w:tr>
        <w:trPr>
          <w:trHeight w:val="278" w:hRule="atLeast"/>
        </w:trPr>
        <w:tc>
          <w:tcPr>
            <w:tcW w:w="3519" w:type="dxa"/>
          </w:tcPr>
          <w:p>
            <w:pPr>
              <w:pStyle w:val="TableParagraph"/>
              <w:spacing w:before="43"/>
              <w:ind w:left="707"/>
              <w:jc w:val="left"/>
              <w:rPr>
                <w:sz w:val="17"/>
              </w:rPr>
            </w:pPr>
            <w:r>
              <w:rPr>
                <w:sz w:val="17"/>
              </w:rPr>
              <w:t>Contributi in c/capitale</w:t>
            </w:r>
          </w:p>
        </w:tc>
        <w:tc>
          <w:tcPr>
            <w:tcW w:w="1408" w:type="dxa"/>
          </w:tcPr>
          <w:p>
            <w:pPr>
              <w:pStyle w:val="TableParagraph"/>
              <w:spacing w:before="43"/>
              <w:ind w:right="233"/>
              <w:rPr>
                <w:sz w:val="17"/>
              </w:rPr>
            </w:pPr>
            <w:r>
              <w:rPr>
                <w:sz w:val="17"/>
              </w:rPr>
              <w:t>0,8</w:t>
            </w:r>
          </w:p>
        </w:tc>
        <w:tc>
          <w:tcPr>
            <w:tcW w:w="869" w:type="dxa"/>
          </w:tcPr>
          <w:p>
            <w:pPr>
              <w:pStyle w:val="TableParagraph"/>
              <w:spacing w:before="43"/>
              <w:ind w:left="214" w:right="60"/>
              <w:jc w:val="center"/>
              <w:rPr>
                <w:sz w:val="17"/>
              </w:rPr>
            </w:pPr>
            <w:r>
              <w:rPr>
                <w:sz w:val="17"/>
              </w:rPr>
              <w:t>0,8</w:t>
            </w:r>
          </w:p>
        </w:tc>
        <w:tc>
          <w:tcPr>
            <w:tcW w:w="868" w:type="dxa"/>
          </w:tcPr>
          <w:p>
            <w:pPr>
              <w:pStyle w:val="TableParagraph"/>
              <w:spacing w:before="43"/>
              <w:ind w:left="214" w:right="59"/>
              <w:jc w:val="center"/>
              <w:rPr>
                <w:sz w:val="17"/>
              </w:rPr>
            </w:pPr>
            <w:r>
              <w:rPr>
                <w:sz w:val="17"/>
              </w:rPr>
              <w:t>0,7</w:t>
            </w:r>
          </w:p>
        </w:tc>
        <w:tc>
          <w:tcPr>
            <w:tcW w:w="868" w:type="dxa"/>
          </w:tcPr>
          <w:p>
            <w:pPr>
              <w:pStyle w:val="TableParagraph"/>
              <w:spacing w:before="43"/>
              <w:ind w:right="234"/>
              <w:rPr>
                <w:sz w:val="17"/>
              </w:rPr>
            </w:pPr>
            <w:r>
              <w:rPr>
                <w:sz w:val="17"/>
              </w:rPr>
              <w:t>0,7</w:t>
            </w:r>
          </w:p>
        </w:tc>
        <w:tc>
          <w:tcPr>
            <w:tcW w:w="691" w:type="dxa"/>
          </w:tcPr>
          <w:p>
            <w:pPr>
              <w:pStyle w:val="TableParagraph"/>
              <w:spacing w:before="43"/>
              <w:ind w:right="55"/>
              <w:rPr>
                <w:sz w:val="17"/>
              </w:rPr>
            </w:pPr>
            <w:r>
              <w:rPr>
                <w:sz w:val="17"/>
              </w:rPr>
              <w:t>0,6</w:t>
            </w:r>
          </w:p>
        </w:tc>
      </w:tr>
      <w:tr>
        <w:trPr>
          <w:trHeight w:val="417" w:hRule="atLeast"/>
        </w:trPr>
        <w:tc>
          <w:tcPr>
            <w:tcW w:w="3519" w:type="dxa"/>
          </w:tcPr>
          <w:p>
            <w:pPr>
              <w:pStyle w:val="TableParagraph"/>
              <w:spacing w:before="43"/>
              <w:ind w:left="707"/>
              <w:jc w:val="left"/>
              <w:rPr>
                <w:sz w:val="17"/>
              </w:rPr>
            </w:pPr>
            <w:r>
              <w:rPr>
                <w:sz w:val="17"/>
              </w:rPr>
              <w:t>Altri trasferimenti</w:t>
            </w:r>
          </w:p>
        </w:tc>
        <w:tc>
          <w:tcPr>
            <w:tcW w:w="1408" w:type="dxa"/>
          </w:tcPr>
          <w:p>
            <w:pPr>
              <w:pStyle w:val="TableParagraph"/>
              <w:spacing w:before="43"/>
              <w:ind w:right="233"/>
              <w:rPr>
                <w:sz w:val="17"/>
              </w:rPr>
            </w:pPr>
            <w:r>
              <w:rPr>
                <w:sz w:val="17"/>
              </w:rPr>
              <w:t>0,4</w:t>
            </w:r>
          </w:p>
        </w:tc>
        <w:tc>
          <w:tcPr>
            <w:tcW w:w="869" w:type="dxa"/>
          </w:tcPr>
          <w:p>
            <w:pPr>
              <w:pStyle w:val="TableParagraph"/>
              <w:spacing w:before="43"/>
              <w:ind w:left="214" w:right="60"/>
              <w:jc w:val="center"/>
              <w:rPr>
                <w:sz w:val="17"/>
              </w:rPr>
            </w:pPr>
            <w:r>
              <w:rPr>
                <w:sz w:val="17"/>
              </w:rPr>
              <w:t>0,3</w:t>
            </w:r>
          </w:p>
        </w:tc>
        <w:tc>
          <w:tcPr>
            <w:tcW w:w="868" w:type="dxa"/>
          </w:tcPr>
          <w:p>
            <w:pPr>
              <w:pStyle w:val="TableParagraph"/>
              <w:spacing w:before="43"/>
              <w:ind w:left="214" w:right="59"/>
              <w:jc w:val="center"/>
              <w:rPr>
                <w:sz w:val="17"/>
              </w:rPr>
            </w:pPr>
            <w:r>
              <w:rPr>
                <w:sz w:val="17"/>
              </w:rPr>
              <w:t>0,3</w:t>
            </w:r>
          </w:p>
        </w:tc>
        <w:tc>
          <w:tcPr>
            <w:tcW w:w="868" w:type="dxa"/>
          </w:tcPr>
          <w:p>
            <w:pPr>
              <w:pStyle w:val="TableParagraph"/>
              <w:spacing w:before="43"/>
              <w:ind w:right="234"/>
              <w:rPr>
                <w:sz w:val="17"/>
              </w:rPr>
            </w:pPr>
            <w:r>
              <w:rPr>
                <w:sz w:val="17"/>
              </w:rPr>
              <w:t>0,2</w:t>
            </w:r>
          </w:p>
        </w:tc>
        <w:tc>
          <w:tcPr>
            <w:tcW w:w="691" w:type="dxa"/>
          </w:tcPr>
          <w:p>
            <w:pPr>
              <w:pStyle w:val="TableParagraph"/>
              <w:spacing w:before="43"/>
              <w:ind w:right="55"/>
              <w:rPr>
                <w:sz w:val="17"/>
              </w:rPr>
            </w:pPr>
            <w:r>
              <w:rPr>
                <w:sz w:val="17"/>
              </w:rPr>
              <w:t>0,2</w:t>
            </w:r>
          </w:p>
        </w:tc>
      </w:tr>
      <w:tr>
        <w:trPr>
          <w:trHeight w:val="416" w:hRule="atLeast"/>
        </w:trPr>
        <w:tc>
          <w:tcPr>
            <w:tcW w:w="3519" w:type="dxa"/>
          </w:tcPr>
          <w:p>
            <w:pPr>
              <w:pStyle w:val="TableParagraph"/>
              <w:jc w:val="left"/>
              <w:rPr>
                <w:sz w:val="16"/>
              </w:rPr>
            </w:pPr>
          </w:p>
          <w:p>
            <w:pPr>
              <w:pStyle w:val="TableParagraph"/>
              <w:jc w:val="left"/>
              <w:rPr>
                <w:sz w:val="17"/>
              </w:rPr>
            </w:pPr>
            <w:r>
              <w:rPr>
                <w:sz w:val="17"/>
              </w:rPr>
              <w:t>Totale spese finali al netto di interessi</w:t>
            </w:r>
          </w:p>
        </w:tc>
        <w:tc>
          <w:tcPr>
            <w:tcW w:w="1408" w:type="dxa"/>
          </w:tcPr>
          <w:p>
            <w:pPr>
              <w:pStyle w:val="TableParagraph"/>
              <w:jc w:val="left"/>
              <w:rPr>
                <w:sz w:val="16"/>
              </w:rPr>
            </w:pPr>
          </w:p>
          <w:p>
            <w:pPr>
              <w:pStyle w:val="TableParagraph"/>
              <w:ind w:right="233"/>
              <w:rPr>
                <w:sz w:val="17"/>
              </w:rPr>
            </w:pPr>
            <w:r>
              <w:rPr>
                <w:sz w:val="17"/>
              </w:rPr>
              <w:t>44,7</w:t>
            </w:r>
          </w:p>
        </w:tc>
        <w:tc>
          <w:tcPr>
            <w:tcW w:w="869" w:type="dxa"/>
          </w:tcPr>
          <w:p>
            <w:pPr>
              <w:pStyle w:val="TableParagraph"/>
              <w:jc w:val="left"/>
              <w:rPr>
                <w:sz w:val="16"/>
              </w:rPr>
            </w:pPr>
          </w:p>
          <w:p>
            <w:pPr>
              <w:pStyle w:val="TableParagraph"/>
              <w:ind w:left="214" w:right="158"/>
              <w:jc w:val="center"/>
              <w:rPr>
                <w:sz w:val="17"/>
              </w:rPr>
            </w:pPr>
            <w:r>
              <w:rPr>
                <w:sz w:val="17"/>
              </w:rPr>
              <w:t>45,3</w:t>
            </w:r>
          </w:p>
        </w:tc>
        <w:tc>
          <w:tcPr>
            <w:tcW w:w="868" w:type="dxa"/>
          </w:tcPr>
          <w:p>
            <w:pPr>
              <w:pStyle w:val="TableParagraph"/>
              <w:jc w:val="left"/>
              <w:rPr>
                <w:sz w:val="16"/>
              </w:rPr>
            </w:pPr>
          </w:p>
          <w:p>
            <w:pPr>
              <w:pStyle w:val="TableParagraph"/>
              <w:ind w:left="214" w:right="158"/>
              <w:jc w:val="center"/>
              <w:rPr>
                <w:sz w:val="17"/>
              </w:rPr>
            </w:pPr>
            <w:r>
              <w:rPr>
                <w:sz w:val="17"/>
              </w:rPr>
              <w:t>45,2</w:t>
            </w:r>
          </w:p>
        </w:tc>
        <w:tc>
          <w:tcPr>
            <w:tcW w:w="868" w:type="dxa"/>
          </w:tcPr>
          <w:p>
            <w:pPr>
              <w:pStyle w:val="TableParagraph"/>
              <w:jc w:val="left"/>
              <w:rPr>
                <w:sz w:val="16"/>
              </w:rPr>
            </w:pPr>
          </w:p>
          <w:p>
            <w:pPr>
              <w:pStyle w:val="TableParagraph"/>
              <w:ind w:right="234"/>
              <w:rPr>
                <w:sz w:val="17"/>
              </w:rPr>
            </w:pPr>
            <w:r>
              <w:rPr>
                <w:sz w:val="17"/>
              </w:rPr>
              <w:t>45,1</w:t>
            </w:r>
          </w:p>
        </w:tc>
        <w:tc>
          <w:tcPr>
            <w:tcW w:w="691" w:type="dxa"/>
          </w:tcPr>
          <w:p>
            <w:pPr>
              <w:pStyle w:val="TableParagraph"/>
              <w:jc w:val="left"/>
              <w:rPr>
                <w:sz w:val="16"/>
              </w:rPr>
            </w:pPr>
          </w:p>
          <w:p>
            <w:pPr>
              <w:pStyle w:val="TableParagraph"/>
              <w:ind w:right="55"/>
              <w:rPr>
                <w:sz w:val="17"/>
              </w:rPr>
            </w:pPr>
            <w:r>
              <w:rPr>
                <w:sz w:val="17"/>
              </w:rPr>
              <w:t>44,6</w:t>
            </w:r>
          </w:p>
        </w:tc>
      </w:tr>
      <w:tr>
        <w:trPr>
          <w:trHeight w:val="571" w:hRule="atLeast"/>
        </w:trPr>
        <w:tc>
          <w:tcPr>
            <w:tcW w:w="3519" w:type="dxa"/>
            <w:tcBorders>
              <w:bottom w:val="single" w:sz="4" w:space="0" w:color="000000"/>
            </w:tcBorders>
          </w:tcPr>
          <w:p>
            <w:pPr>
              <w:pStyle w:val="TableParagraph"/>
              <w:spacing w:before="41"/>
              <w:ind w:left="4"/>
              <w:jc w:val="left"/>
              <w:rPr>
                <w:sz w:val="17"/>
              </w:rPr>
            </w:pPr>
            <w:r>
              <w:rPr>
                <w:sz w:val="17"/>
              </w:rPr>
              <w:t>Totale spese finali</w:t>
            </w:r>
          </w:p>
        </w:tc>
        <w:tc>
          <w:tcPr>
            <w:tcW w:w="1408" w:type="dxa"/>
            <w:tcBorders>
              <w:bottom w:val="single" w:sz="4" w:space="0" w:color="000000"/>
            </w:tcBorders>
          </w:tcPr>
          <w:p>
            <w:pPr>
              <w:pStyle w:val="TableParagraph"/>
              <w:spacing w:before="41"/>
              <w:ind w:right="233"/>
              <w:rPr>
                <w:sz w:val="17"/>
              </w:rPr>
            </w:pPr>
            <w:r>
              <w:rPr>
                <w:sz w:val="17"/>
              </w:rPr>
              <w:t>48,4</w:t>
            </w:r>
          </w:p>
        </w:tc>
        <w:tc>
          <w:tcPr>
            <w:tcW w:w="869" w:type="dxa"/>
            <w:tcBorders>
              <w:bottom w:val="single" w:sz="4" w:space="0" w:color="000000"/>
            </w:tcBorders>
          </w:tcPr>
          <w:p>
            <w:pPr>
              <w:pStyle w:val="TableParagraph"/>
              <w:spacing w:before="41"/>
              <w:ind w:left="214" w:right="158"/>
              <w:jc w:val="center"/>
              <w:rPr>
                <w:sz w:val="17"/>
              </w:rPr>
            </w:pPr>
            <w:r>
              <w:rPr>
                <w:sz w:val="17"/>
              </w:rPr>
              <w:t>48,7</w:t>
            </w:r>
          </w:p>
        </w:tc>
        <w:tc>
          <w:tcPr>
            <w:tcW w:w="868" w:type="dxa"/>
            <w:tcBorders>
              <w:bottom w:val="single" w:sz="4" w:space="0" w:color="000000"/>
            </w:tcBorders>
          </w:tcPr>
          <w:p>
            <w:pPr>
              <w:pStyle w:val="TableParagraph"/>
              <w:spacing w:before="41"/>
              <w:ind w:left="214" w:right="158"/>
              <w:jc w:val="center"/>
              <w:rPr>
                <w:sz w:val="17"/>
              </w:rPr>
            </w:pPr>
            <w:r>
              <w:rPr>
                <w:sz w:val="17"/>
              </w:rPr>
              <w:t>48,5</w:t>
            </w:r>
          </w:p>
        </w:tc>
        <w:tc>
          <w:tcPr>
            <w:tcW w:w="868" w:type="dxa"/>
            <w:tcBorders>
              <w:bottom w:val="single" w:sz="4" w:space="0" w:color="000000"/>
            </w:tcBorders>
          </w:tcPr>
          <w:p>
            <w:pPr>
              <w:pStyle w:val="TableParagraph"/>
              <w:spacing w:before="41"/>
              <w:ind w:right="234"/>
              <w:rPr>
                <w:sz w:val="17"/>
              </w:rPr>
            </w:pPr>
            <w:r>
              <w:rPr>
                <w:sz w:val="17"/>
              </w:rPr>
              <w:t>48,2</w:t>
            </w:r>
          </w:p>
        </w:tc>
        <w:tc>
          <w:tcPr>
            <w:tcW w:w="691" w:type="dxa"/>
            <w:tcBorders>
              <w:bottom w:val="single" w:sz="4" w:space="0" w:color="000000"/>
            </w:tcBorders>
          </w:tcPr>
          <w:p>
            <w:pPr>
              <w:pStyle w:val="TableParagraph"/>
              <w:spacing w:before="41"/>
              <w:ind w:right="55"/>
              <w:rPr>
                <w:sz w:val="17"/>
              </w:rPr>
            </w:pPr>
            <w:r>
              <w:rPr>
                <w:sz w:val="17"/>
              </w:rPr>
              <w:t>47,5</w:t>
            </w:r>
          </w:p>
        </w:tc>
      </w:tr>
      <w:tr>
        <w:trPr>
          <w:trHeight w:val="261" w:hRule="atLeast"/>
        </w:trPr>
        <w:tc>
          <w:tcPr>
            <w:tcW w:w="3519" w:type="dxa"/>
            <w:tcBorders>
              <w:top w:val="single" w:sz="4" w:space="0" w:color="000000"/>
            </w:tcBorders>
          </w:tcPr>
          <w:p>
            <w:pPr>
              <w:pStyle w:val="TableParagraph"/>
              <w:spacing w:before="26"/>
              <w:jc w:val="left"/>
              <w:rPr>
                <w:sz w:val="17"/>
              </w:rPr>
            </w:pPr>
            <w:r>
              <w:rPr>
                <w:sz w:val="17"/>
              </w:rPr>
              <w:t>ENTRATE</w:t>
            </w:r>
          </w:p>
        </w:tc>
        <w:tc>
          <w:tcPr>
            <w:tcW w:w="1408" w:type="dxa"/>
            <w:tcBorders>
              <w:top w:val="single" w:sz="4" w:space="0" w:color="000000"/>
            </w:tcBorders>
          </w:tcPr>
          <w:p>
            <w:pPr>
              <w:pStyle w:val="TableParagraph"/>
              <w:jc w:val="left"/>
              <w:rPr>
                <w:rFonts w:ascii="Times New Roman"/>
                <w:sz w:val="16"/>
              </w:rPr>
            </w:pPr>
          </w:p>
        </w:tc>
        <w:tc>
          <w:tcPr>
            <w:tcW w:w="869" w:type="dxa"/>
            <w:tcBorders>
              <w:top w:val="single" w:sz="4" w:space="0" w:color="000000"/>
            </w:tcBorders>
          </w:tcPr>
          <w:p>
            <w:pPr>
              <w:pStyle w:val="TableParagraph"/>
              <w:jc w:val="left"/>
              <w:rPr>
                <w:rFonts w:ascii="Times New Roman"/>
                <w:sz w:val="16"/>
              </w:rPr>
            </w:pPr>
          </w:p>
        </w:tc>
        <w:tc>
          <w:tcPr>
            <w:tcW w:w="868" w:type="dxa"/>
            <w:tcBorders>
              <w:top w:val="single" w:sz="4" w:space="0" w:color="000000"/>
            </w:tcBorders>
          </w:tcPr>
          <w:p>
            <w:pPr>
              <w:pStyle w:val="TableParagraph"/>
              <w:jc w:val="left"/>
              <w:rPr>
                <w:rFonts w:ascii="Times New Roman"/>
                <w:sz w:val="16"/>
              </w:rPr>
            </w:pPr>
          </w:p>
        </w:tc>
        <w:tc>
          <w:tcPr>
            <w:tcW w:w="868" w:type="dxa"/>
            <w:tcBorders>
              <w:top w:val="single" w:sz="4" w:space="0" w:color="000000"/>
            </w:tcBorders>
          </w:tcPr>
          <w:p>
            <w:pPr>
              <w:pStyle w:val="TableParagraph"/>
              <w:jc w:val="left"/>
              <w:rPr>
                <w:rFonts w:ascii="Times New Roman"/>
                <w:sz w:val="16"/>
              </w:rPr>
            </w:pPr>
          </w:p>
        </w:tc>
        <w:tc>
          <w:tcPr>
            <w:tcW w:w="691" w:type="dxa"/>
            <w:tcBorders>
              <w:top w:val="single" w:sz="4" w:space="0" w:color="000000"/>
            </w:tcBorders>
          </w:tcPr>
          <w:p>
            <w:pPr>
              <w:pStyle w:val="TableParagraph"/>
              <w:jc w:val="left"/>
              <w:rPr>
                <w:rFonts w:ascii="Times New Roman"/>
                <w:sz w:val="16"/>
              </w:rPr>
            </w:pPr>
          </w:p>
        </w:tc>
      </w:tr>
      <w:tr>
        <w:trPr>
          <w:trHeight w:val="278" w:hRule="atLeast"/>
        </w:trPr>
        <w:tc>
          <w:tcPr>
            <w:tcW w:w="3519" w:type="dxa"/>
          </w:tcPr>
          <w:p>
            <w:pPr>
              <w:pStyle w:val="TableParagraph"/>
              <w:spacing w:before="43"/>
              <w:jc w:val="left"/>
              <w:rPr>
                <w:sz w:val="17"/>
              </w:rPr>
            </w:pPr>
            <w:r>
              <w:rPr>
                <w:sz w:val="17"/>
              </w:rPr>
              <w:t>Totale entrate tributarie</w:t>
            </w:r>
          </w:p>
        </w:tc>
        <w:tc>
          <w:tcPr>
            <w:tcW w:w="1408" w:type="dxa"/>
          </w:tcPr>
          <w:p>
            <w:pPr>
              <w:pStyle w:val="TableParagraph"/>
              <w:spacing w:before="43"/>
              <w:ind w:right="233"/>
              <w:rPr>
                <w:sz w:val="17"/>
              </w:rPr>
            </w:pPr>
            <w:r>
              <w:rPr>
                <w:sz w:val="17"/>
              </w:rPr>
              <w:t>28,5</w:t>
            </w:r>
          </w:p>
        </w:tc>
        <w:tc>
          <w:tcPr>
            <w:tcW w:w="869" w:type="dxa"/>
          </w:tcPr>
          <w:p>
            <w:pPr>
              <w:pStyle w:val="TableParagraph"/>
              <w:spacing w:before="43"/>
              <w:ind w:left="214" w:right="158"/>
              <w:jc w:val="center"/>
              <w:rPr>
                <w:sz w:val="17"/>
              </w:rPr>
            </w:pPr>
            <w:r>
              <w:rPr>
                <w:sz w:val="17"/>
              </w:rPr>
              <w:t>28,4</w:t>
            </w:r>
          </w:p>
        </w:tc>
        <w:tc>
          <w:tcPr>
            <w:tcW w:w="868" w:type="dxa"/>
          </w:tcPr>
          <w:p>
            <w:pPr>
              <w:pStyle w:val="TableParagraph"/>
              <w:spacing w:before="43"/>
              <w:ind w:left="214" w:right="158"/>
              <w:jc w:val="center"/>
              <w:rPr>
                <w:sz w:val="17"/>
              </w:rPr>
            </w:pPr>
            <w:r>
              <w:rPr>
                <w:sz w:val="17"/>
              </w:rPr>
              <w:t>29,1</w:t>
            </w:r>
          </w:p>
        </w:tc>
        <w:tc>
          <w:tcPr>
            <w:tcW w:w="868" w:type="dxa"/>
          </w:tcPr>
          <w:p>
            <w:pPr>
              <w:pStyle w:val="TableParagraph"/>
              <w:spacing w:before="43"/>
              <w:ind w:right="234"/>
              <w:rPr>
                <w:sz w:val="17"/>
              </w:rPr>
            </w:pPr>
            <w:r>
              <w:rPr>
                <w:sz w:val="17"/>
              </w:rPr>
              <w:t>29,3</w:t>
            </w:r>
          </w:p>
        </w:tc>
        <w:tc>
          <w:tcPr>
            <w:tcW w:w="691" w:type="dxa"/>
          </w:tcPr>
          <w:p>
            <w:pPr>
              <w:pStyle w:val="TableParagraph"/>
              <w:spacing w:before="43"/>
              <w:ind w:right="55"/>
              <w:rPr>
                <w:sz w:val="17"/>
              </w:rPr>
            </w:pPr>
            <w:r>
              <w:rPr>
                <w:sz w:val="17"/>
              </w:rPr>
              <w:t>29,0</w:t>
            </w:r>
          </w:p>
        </w:tc>
      </w:tr>
      <w:tr>
        <w:trPr>
          <w:trHeight w:val="278" w:hRule="atLeast"/>
        </w:trPr>
        <w:tc>
          <w:tcPr>
            <w:tcW w:w="3519" w:type="dxa"/>
          </w:tcPr>
          <w:p>
            <w:pPr>
              <w:pStyle w:val="TableParagraph"/>
              <w:spacing w:before="43"/>
              <w:ind w:left="707"/>
              <w:jc w:val="left"/>
              <w:rPr>
                <w:sz w:val="17"/>
              </w:rPr>
            </w:pPr>
            <w:r>
              <w:rPr>
                <w:sz w:val="17"/>
              </w:rPr>
              <w:t>Imposte dirette</w:t>
            </w:r>
          </w:p>
        </w:tc>
        <w:tc>
          <w:tcPr>
            <w:tcW w:w="1408" w:type="dxa"/>
          </w:tcPr>
          <w:p>
            <w:pPr>
              <w:pStyle w:val="TableParagraph"/>
              <w:spacing w:before="43"/>
              <w:ind w:right="233"/>
              <w:rPr>
                <w:sz w:val="17"/>
              </w:rPr>
            </w:pPr>
            <w:r>
              <w:rPr>
                <w:sz w:val="17"/>
              </w:rPr>
              <w:t>14,1</w:t>
            </w:r>
          </w:p>
        </w:tc>
        <w:tc>
          <w:tcPr>
            <w:tcW w:w="869" w:type="dxa"/>
          </w:tcPr>
          <w:p>
            <w:pPr>
              <w:pStyle w:val="TableParagraph"/>
              <w:spacing w:before="43"/>
              <w:ind w:left="214" w:right="158"/>
              <w:jc w:val="center"/>
              <w:rPr>
                <w:sz w:val="17"/>
              </w:rPr>
            </w:pPr>
            <w:r>
              <w:rPr>
                <w:sz w:val="17"/>
              </w:rPr>
              <w:t>14,0</w:t>
            </w:r>
          </w:p>
        </w:tc>
        <w:tc>
          <w:tcPr>
            <w:tcW w:w="868" w:type="dxa"/>
          </w:tcPr>
          <w:p>
            <w:pPr>
              <w:pStyle w:val="TableParagraph"/>
              <w:spacing w:before="43"/>
              <w:ind w:left="214" w:right="158"/>
              <w:jc w:val="center"/>
              <w:rPr>
                <w:sz w:val="17"/>
              </w:rPr>
            </w:pPr>
            <w:r>
              <w:rPr>
                <w:sz w:val="17"/>
              </w:rPr>
              <w:t>13,7</w:t>
            </w:r>
          </w:p>
        </w:tc>
        <w:tc>
          <w:tcPr>
            <w:tcW w:w="868" w:type="dxa"/>
          </w:tcPr>
          <w:p>
            <w:pPr>
              <w:pStyle w:val="TableParagraph"/>
              <w:spacing w:before="43"/>
              <w:ind w:right="234"/>
              <w:rPr>
                <w:sz w:val="17"/>
              </w:rPr>
            </w:pPr>
            <w:r>
              <w:rPr>
                <w:sz w:val="17"/>
              </w:rPr>
              <w:t>13,7</w:t>
            </w:r>
          </w:p>
        </w:tc>
        <w:tc>
          <w:tcPr>
            <w:tcW w:w="691" w:type="dxa"/>
          </w:tcPr>
          <w:p>
            <w:pPr>
              <w:pStyle w:val="TableParagraph"/>
              <w:spacing w:before="43"/>
              <w:ind w:right="55"/>
              <w:rPr>
                <w:sz w:val="17"/>
              </w:rPr>
            </w:pPr>
            <w:r>
              <w:rPr>
                <w:sz w:val="17"/>
              </w:rPr>
              <w:t>13,5</w:t>
            </w:r>
          </w:p>
        </w:tc>
      </w:tr>
      <w:tr>
        <w:trPr>
          <w:trHeight w:val="278" w:hRule="atLeast"/>
        </w:trPr>
        <w:tc>
          <w:tcPr>
            <w:tcW w:w="3519" w:type="dxa"/>
          </w:tcPr>
          <w:p>
            <w:pPr>
              <w:pStyle w:val="TableParagraph"/>
              <w:spacing w:before="43"/>
              <w:ind w:left="707"/>
              <w:jc w:val="left"/>
              <w:rPr>
                <w:sz w:val="17"/>
              </w:rPr>
            </w:pPr>
            <w:r>
              <w:rPr>
                <w:sz w:val="17"/>
              </w:rPr>
              <w:t>Imposte indirette</w:t>
            </w:r>
          </w:p>
        </w:tc>
        <w:tc>
          <w:tcPr>
            <w:tcW w:w="1408" w:type="dxa"/>
          </w:tcPr>
          <w:p>
            <w:pPr>
              <w:pStyle w:val="TableParagraph"/>
              <w:spacing w:before="43"/>
              <w:ind w:right="233"/>
              <w:rPr>
                <w:sz w:val="17"/>
              </w:rPr>
            </w:pPr>
            <w:r>
              <w:rPr>
                <w:sz w:val="17"/>
              </w:rPr>
              <w:t>14,3</w:t>
            </w:r>
          </w:p>
        </w:tc>
        <w:tc>
          <w:tcPr>
            <w:tcW w:w="869" w:type="dxa"/>
          </w:tcPr>
          <w:p>
            <w:pPr>
              <w:pStyle w:val="TableParagraph"/>
              <w:spacing w:before="43"/>
              <w:ind w:left="214" w:right="158"/>
              <w:jc w:val="center"/>
              <w:rPr>
                <w:sz w:val="17"/>
              </w:rPr>
            </w:pPr>
            <w:r>
              <w:rPr>
                <w:sz w:val="17"/>
              </w:rPr>
              <w:t>14,3</w:t>
            </w:r>
          </w:p>
        </w:tc>
        <w:tc>
          <w:tcPr>
            <w:tcW w:w="868" w:type="dxa"/>
          </w:tcPr>
          <w:p>
            <w:pPr>
              <w:pStyle w:val="TableParagraph"/>
              <w:spacing w:before="43"/>
              <w:ind w:left="214" w:right="158"/>
              <w:jc w:val="center"/>
              <w:rPr>
                <w:sz w:val="17"/>
              </w:rPr>
            </w:pPr>
            <w:r>
              <w:rPr>
                <w:sz w:val="17"/>
              </w:rPr>
              <w:t>15,4</w:t>
            </w:r>
          </w:p>
        </w:tc>
        <w:tc>
          <w:tcPr>
            <w:tcW w:w="868" w:type="dxa"/>
          </w:tcPr>
          <w:p>
            <w:pPr>
              <w:pStyle w:val="TableParagraph"/>
              <w:spacing w:before="43"/>
              <w:ind w:right="234"/>
              <w:rPr>
                <w:sz w:val="17"/>
              </w:rPr>
            </w:pPr>
            <w:r>
              <w:rPr>
                <w:sz w:val="17"/>
              </w:rPr>
              <w:t>15,6</w:t>
            </w:r>
          </w:p>
        </w:tc>
        <w:tc>
          <w:tcPr>
            <w:tcW w:w="691" w:type="dxa"/>
          </w:tcPr>
          <w:p>
            <w:pPr>
              <w:pStyle w:val="TableParagraph"/>
              <w:spacing w:before="43"/>
              <w:ind w:right="55"/>
              <w:rPr>
                <w:sz w:val="17"/>
              </w:rPr>
            </w:pPr>
            <w:r>
              <w:rPr>
                <w:sz w:val="17"/>
              </w:rPr>
              <w:t>15,4</w:t>
            </w:r>
          </w:p>
        </w:tc>
      </w:tr>
      <w:tr>
        <w:trPr>
          <w:trHeight w:val="277" w:hRule="atLeast"/>
        </w:trPr>
        <w:tc>
          <w:tcPr>
            <w:tcW w:w="3519" w:type="dxa"/>
          </w:tcPr>
          <w:p>
            <w:pPr>
              <w:pStyle w:val="TableParagraph"/>
              <w:spacing w:before="43"/>
              <w:ind w:left="707"/>
              <w:jc w:val="left"/>
              <w:rPr>
                <w:sz w:val="17"/>
              </w:rPr>
            </w:pPr>
            <w:r>
              <w:rPr>
                <w:sz w:val="17"/>
              </w:rPr>
              <w:t>Imposte in c/capitale</w:t>
            </w:r>
          </w:p>
        </w:tc>
        <w:tc>
          <w:tcPr>
            <w:tcW w:w="1408" w:type="dxa"/>
          </w:tcPr>
          <w:p>
            <w:pPr>
              <w:pStyle w:val="TableParagraph"/>
              <w:spacing w:before="43"/>
              <w:ind w:right="233"/>
              <w:rPr>
                <w:sz w:val="17"/>
              </w:rPr>
            </w:pPr>
            <w:r>
              <w:rPr>
                <w:sz w:val="17"/>
              </w:rPr>
              <w:t>0,1</w:t>
            </w:r>
          </w:p>
        </w:tc>
        <w:tc>
          <w:tcPr>
            <w:tcW w:w="869" w:type="dxa"/>
          </w:tcPr>
          <w:p>
            <w:pPr>
              <w:pStyle w:val="TableParagraph"/>
              <w:spacing w:before="43"/>
              <w:ind w:left="214" w:right="60"/>
              <w:jc w:val="center"/>
              <w:rPr>
                <w:sz w:val="17"/>
              </w:rPr>
            </w:pPr>
            <w:r>
              <w:rPr>
                <w:sz w:val="17"/>
              </w:rPr>
              <w:t>0,1</w:t>
            </w:r>
          </w:p>
        </w:tc>
        <w:tc>
          <w:tcPr>
            <w:tcW w:w="868" w:type="dxa"/>
          </w:tcPr>
          <w:p>
            <w:pPr>
              <w:pStyle w:val="TableParagraph"/>
              <w:spacing w:before="43"/>
              <w:ind w:left="214" w:right="59"/>
              <w:jc w:val="center"/>
              <w:rPr>
                <w:sz w:val="17"/>
              </w:rPr>
            </w:pPr>
            <w:r>
              <w:rPr>
                <w:sz w:val="17"/>
              </w:rPr>
              <w:t>0,1</w:t>
            </w:r>
          </w:p>
        </w:tc>
        <w:tc>
          <w:tcPr>
            <w:tcW w:w="868" w:type="dxa"/>
          </w:tcPr>
          <w:p>
            <w:pPr>
              <w:pStyle w:val="TableParagraph"/>
              <w:spacing w:before="43"/>
              <w:ind w:right="234"/>
              <w:rPr>
                <w:sz w:val="17"/>
              </w:rPr>
            </w:pPr>
            <w:r>
              <w:rPr>
                <w:sz w:val="17"/>
              </w:rPr>
              <w:t>0,1</w:t>
            </w:r>
          </w:p>
        </w:tc>
        <w:tc>
          <w:tcPr>
            <w:tcW w:w="691" w:type="dxa"/>
          </w:tcPr>
          <w:p>
            <w:pPr>
              <w:pStyle w:val="TableParagraph"/>
              <w:spacing w:before="43"/>
              <w:ind w:right="55"/>
              <w:rPr>
                <w:sz w:val="17"/>
              </w:rPr>
            </w:pPr>
            <w:r>
              <w:rPr>
                <w:sz w:val="17"/>
              </w:rPr>
              <w:t>0,1</w:t>
            </w:r>
          </w:p>
        </w:tc>
      </w:tr>
      <w:tr>
        <w:trPr>
          <w:trHeight w:val="277" w:hRule="atLeast"/>
        </w:trPr>
        <w:tc>
          <w:tcPr>
            <w:tcW w:w="3519" w:type="dxa"/>
          </w:tcPr>
          <w:p>
            <w:pPr>
              <w:pStyle w:val="TableParagraph"/>
              <w:spacing w:before="41"/>
              <w:jc w:val="left"/>
              <w:rPr>
                <w:sz w:val="17"/>
              </w:rPr>
            </w:pPr>
            <w:r>
              <w:rPr>
                <w:sz w:val="17"/>
              </w:rPr>
              <w:t>Contributi sociali</w:t>
            </w:r>
          </w:p>
        </w:tc>
        <w:tc>
          <w:tcPr>
            <w:tcW w:w="1408" w:type="dxa"/>
          </w:tcPr>
          <w:p>
            <w:pPr>
              <w:pStyle w:val="TableParagraph"/>
              <w:spacing w:before="41"/>
              <w:ind w:right="233"/>
              <w:rPr>
                <w:sz w:val="17"/>
              </w:rPr>
            </w:pPr>
            <w:r>
              <w:rPr>
                <w:sz w:val="17"/>
              </w:rPr>
              <w:t>13,3</w:t>
            </w:r>
          </w:p>
        </w:tc>
        <w:tc>
          <w:tcPr>
            <w:tcW w:w="869" w:type="dxa"/>
          </w:tcPr>
          <w:p>
            <w:pPr>
              <w:pStyle w:val="TableParagraph"/>
              <w:spacing w:before="41"/>
              <w:ind w:left="214" w:right="158"/>
              <w:jc w:val="center"/>
              <w:rPr>
                <w:sz w:val="17"/>
              </w:rPr>
            </w:pPr>
            <w:r>
              <w:rPr>
                <w:sz w:val="17"/>
              </w:rPr>
              <w:t>13,5</w:t>
            </w:r>
          </w:p>
        </w:tc>
        <w:tc>
          <w:tcPr>
            <w:tcW w:w="868" w:type="dxa"/>
          </w:tcPr>
          <w:p>
            <w:pPr>
              <w:pStyle w:val="TableParagraph"/>
              <w:spacing w:before="41"/>
              <w:ind w:left="214" w:right="158"/>
              <w:jc w:val="center"/>
              <w:rPr>
                <w:sz w:val="17"/>
              </w:rPr>
            </w:pPr>
            <w:r>
              <w:rPr>
                <w:sz w:val="17"/>
              </w:rPr>
              <w:t>13,5</w:t>
            </w:r>
          </w:p>
        </w:tc>
        <w:tc>
          <w:tcPr>
            <w:tcW w:w="868" w:type="dxa"/>
          </w:tcPr>
          <w:p>
            <w:pPr>
              <w:pStyle w:val="TableParagraph"/>
              <w:spacing w:before="41"/>
              <w:ind w:right="234"/>
              <w:rPr>
                <w:sz w:val="17"/>
              </w:rPr>
            </w:pPr>
            <w:r>
              <w:rPr>
                <w:sz w:val="17"/>
              </w:rPr>
              <w:t>13,4</w:t>
            </w:r>
          </w:p>
        </w:tc>
        <w:tc>
          <w:tcPr>
            <w:tcW w:w="691" w:type="dxa"/>
          </w:tcPr>
          <w:p>
            <w:pPr>
              <w:pStyle w:val="TableParagraph"/>
              <w:spacing w:before="41"/>
              <w:ind w:right="55"/>
              <w:rPr>
                <w:sz w:val="17"/>
              </w:rPr>
            </w:pPr>
            <w:r>
              <w:rPr>
                <w:sz w:val="17"/>
              </w:rPr>
              <w:t>13,3</w:t>
            </w:r>
          </w:p>
        </w:tc>
      </w:tr>
      <w:tr>
        <w:trPr>
          <w:trHeight w:val="278" w:hRule="atLeast"/>
        </w:trPr>
        <w:tc>
          <w:tcPr>
            <w:tcW w:w="3519" w:type="dxa"/>
          </w:tcPr>
          <w:p>
            <w:pPr>
              <w:pStyle w:val="TableParagraph"/>
              <w:spacing w:before="43"/>
              <w:ind w:left="707"/>
              <w:jc w:val="left"/>
              <w:rPr>
                <w:sz w:val="17"/>
              </w:rPr>
            </w:pPr>
            <w:r>
              <w:rPr>
                <w:sz w:val="17"/>
              </w:rPr>
              <w:t>Contributi effettivi</w:t>
            </w:r>
          </w:p>
        </w:tc>
        <w:tc>
          <w:tcPr>
            <w:tcW w:w="1408" w:type="dxa"/>
          </w:tcPr>
          <w:p>
            <w:pPr>
              <w:pStyle w:val="TableParagraph"/>
              <w:spacing w:before="43"/>
              <w:ind w:right="233"/>
              <w:rPr>
                <w:sz w:val="17"/>
              </w:rPr>
            </w:pPr>
            <w:r>
              <w:rPr>
                <w:sz w:val="17"/>
              </w:rPr>
              <w:t>13,1</w:t>
            </w:r>
          </w:p>
        </w:tc>
        <w:tc>
          <w:tcPr>
            <w:tcW w:w="869" w:type="dxa"/>
          </w:tcPr>
          <w:p>
            <w:pPr>
              <w:pStyle w:val="TableParagraph"/>
              <w:spacing w:before="43"/>
              <w:ind w:left="214" w:right="158"/>
              <w:jc w:val="center"/>
              <w:rPr>
                <w:sz w:val="17"/>
              </w:rPr>
            </w:pPr>
            <w:r>
              <w:rPr>
                <w:sz w:val="17"/>
              </w:rPr>
              <w:t>13,3</w:t>
            </w:r>
          </w:p>
        </w:tc>
        <w:tc>
          <w:tcPr>
            <w:tcW w:w="868" w:type="dxa"/>
          </w:tcPr>
          <w:p>
            <w:pPr>
              <w:pStyle w:val="TableParagraph"/>
              <w:spacing w:before="43"/>
              <w:ind w:left="214" w:right="158"/>
              <w:jc w:val="center"/>
              <w:rPr>
                <w:sz w:val="17"/>
              </w:rPr>
            </w:pPr>
            <w:r>
              <w:rPr>
                <w:sz w:val="17"/>
              </w:rPr>
              <w:t>13,2</w:t>
            </w:r>
          </w:p>
        </w:tc>
        <w:tc>
          <w:tcPr>
            <w:tcW w:w="868" w:type="dxa"/>
          </w:tcPr>
          <w:p>
            <w:pPr>
              <w:pStyle w:val="TableParagraph"/>
              <w:spacing w:before="43"/>
              <w:ind w:right="234"/>
              <w:rPr>
                <w:sz w:val="17"/>
              </w:rPr>
            </w:pPr>
            <w:r>
              <w:rPr>
                <w:sz w:val="17"/>
              </w:rPr>
              <w:t>13,1</w:t>
            </w:r>
          </w:p>
        </w:tc>
        <w:tc>
          <w:tcPr>
            <w:tcW w:w="691" w:type="dxa"/>
          </w:tcPr>
          <w:p>
            <w:pPr>
              <w:pStyle w:val="TableParagraph"/>
              <w:spacing w:before="43"/>
              <w:ind w:right="55"/>
              <w:rPr>
                <w:sz w:val="17"/>
              </w:rPr>
            </w:pPr>
            <w:r>
              <w:rPr>
                <w:sz w:val="17"/>
              </w:rPr>
              <w:t>13,1</w:t>
            </w:r>
          </w:p>
        </w:tc>
      </w:tr>
      <w:tr>
        <w:trPr>
          <w:trHeight w:val="278" w:hRule="atLeast"/>
        </w:trPr>
        <w:tc>
          <w:tcPr>
            <w:tcW w:w="3519" w:type="dxa"/>
          </w:tcPr>
          <w:p>
            <w:pPr>
              <w:pStyle w:val="TableParagraph"/>
              <w:spacing w:before="43"/>
              <w:ind w:left="707"/>
              <w:jc w:val="left"/>
              <w:rPr>
                <w:sz w:val="17"/>
              </w:rPr>
            </w:pPr>
            <w:r>
              <w:rPr>
                <w:sz w:val="17"/>
              </w:rPr>
              <w:t>Contributi figurativi</w:t>
            </w:r>
          </w:p>
        </w:tc>
        <w:tc>
          <w:tcPr>
            <w:tcW w:w="1408" w:type="dxa"/>
          </w:tcPr>
          <w:p>
            <w:pPr>
              <w:pStyle w:val="TableParagraph"/>
              <w:spacing w:before="43"/>
              <w:ind w:right="233"/>
              <w:rPr>
                <w:sz w:val="17"/>
              </w:rPr>
            </w:pPr>
            <w:r>
              <w:rPr>
                <w:sz w:val="17"/>
              </w:rPr>
              <w:t>0,2</w:t>
            </w:r>
          </w:p>
        </w:tc>
        <w:tc>
          <w:tcPr>
            <w:tcW w:w="869" w:type="dxa"/>
          </w:tcPr>
          <w:p>
            <w:pPr>
              <w:pStyle w:val="TableParagraph"/>
              <w:spacing w:before="43"/>
              <w:ind w:left="214" w:right="60"/>
              <w:jc w:val="center"/>
              <w:rPr>
                <w:sz w:val="17"/>
              </w:rPr>
            </w:pPr>
            <w:r>
              <w:rPr>
                <w:sz w:val="17"/>
              </w:rPr>
              <w:t>0,2</w:t>
            </w:r>
          </w:p>
        </w:tc>
        <w:tc>
          <w:tcPr>
            <w:tcW w:w="868" w:type="dxa"/>
          </w:tcPr>
          <w:p>
            <w:pPr>
              <w:pStyle w:val="TableParagraph"/>
              <w:spacing w:before="43"/>
              <w:ind w:left="214" w:right="59"/>
              <w:jc w:val="center"/>
              <w:rPr>
                <w:sz w:val="17"/>
              </w:rPr>
            </w:pPr>
            <w:r>
              <w:rPr>
                <w:sz w:val="17"/>
              </w:rPr>
              <w:t>0,2</w:t>
            </w:r>
          </w:p>
        </w:tc>
        <w:tc>
          <w:tcPr>
            <w:tcW w:w="868" w:type="dxa"/>
          </w:tcPr>
          <w:p>
            <w:pPr>
              <w:pStyle w:val="TableParagraph"/>
              <w:spacing w:before="43"/>
              <w:ind w:right="234"/>
              <w:rPr>
                <w:sz w:val="17"/>
              </w:rPr>
            </w:pPr>
            <w:r>
              <w:rPr>
                <w:sz w:val="17"/>
              </w:rPr>
              <w:t>0,2</w:t>
            </w:r>
          </w:p>
        </w:tc>
        <w:tc>
          <w:tcPr>
            <w:tcW w:w="691" w:type="dxa"/>
          </w:tcPr>
          <w:p>
            <w:pPr>
              <w:pStyle w:val="TableParagraph"/>
              <w:spacing w:before="43"/>
              <w:ind w:right="55"/>
              <w:rPr>
                <w:sz w:val="17"/>
              </w:rPr>
            </w:pPr>
            <w:r>
              <w:rPr>
                <w:sz w:val="17"/>
              </w:rPr>
              <w:t>0,2</w:t>
            </w:r>
          </w:p>
        </w:tc>
      </w:tr>
      <w:tr>
        <w:trPr>
          <w:trHeight w:val="278" w:hRule="atLeast"/>
        </w:trPr>
        <w:tc>
          <w:tcPr>
            <w:tcW w:w="3519" w:type="dxa"/>
          </w:tcPr>
          <w:p>
            <w:pPr>
              <w:pStyle w:val="TableParagraph"/>
              <w:spacing w:before="43"/>
              <w:jc w:val="left"/>
              <w:rPr>
                <w:sz w:val="17"/>
              </w:rPr>
            </w:pPr>
            <w:r>
              <w:rPr>
                <w:sz w:val="17"/>
              </w:rPr>
              <w:t>Altre entrate correnti</w:t>
            </w:r>
          </w:p>
        </w:tc>
        <w:tc>
          <w:tcPr>
            <w:tcW w:w="1408" w:type="dxa"/>
          </w:tcPr>
          <w:p>
            <w:pPr>
              <w:pStyle w:val="TableParagraph"/>
              <w:spacing w:before="43"/>
              <w:ind w:right="233"/>
              <w:rPr>
                <w:sz w:val="17"/>
              </w:rPr>
            </w:pPr>
            <w:r>
              <w:rPr>
                <w:sz w:val="17"/>
              </w:rPr>
              <w:t>4,3</w:t>
            </w:r>
          </w:p>
        </w:tc>
        <w:tc>
          <w:tcPr>
            <w:tcW w:w="869" w:type="dxa"/>
          </w:tcPr>
          <w:p>
            <w:pPr>
              <w:pStyle w:val="TableParagraph"/>
              <w:spacing w:before="43"/>
              <w:ind w:left="214" w:right="60"/>
              <w:jc w:val="center"/>
              <w:rPr>
                <w:sz w:val="17"/>
              </w:rPr>
            </w:pPr>
            <w:r>
              <w:rPr>
                <w:sz w:val="17"/>
              </w:rPr>
              <w:t>4,4</w:t>
            </w:r>
          </w:p>
        </w:tc>
        <w:tc>
          <w:tcPr>
            <w:tcW w:w="868" w:type="dxa"/>
          </w:tcPr>
          <w:p>
            <w:pPr>
              <w:pStyle w:val="TableParagraph"/>
              <w:spacing w:before="43"/>
              <w:ind w:left="214" w:right="59"/>
              <w:jc w:val="center"/>
              <w:rPr>
                <w:sz w:val="17"/>
              </w:rPr>
            </w:pPr>
            <w:r>
              <w:rPr>
                <w:sz w:val="17"/>
              </w:rPr>
              <w:t>4,4</w:t>
            </w:r>
          </w:p>
        </w:tc>
        <w:tc>
          <w:tcPr>
            <w:tcW w:w="868" w:type="dxa"/>
          </w:tcPr>
          <w:p>
            <w:pPr>
              <w:pStyle w:val="TableParagraph"/>
              <w:spacing w:before="43"/>
              <w:ind w:right="234"/>
              <w:rPr>
                <w:sz w:val="17"/>
              </w:rPr>
            </w:pPr>
            <w:r>
              <w:rPr>
                <w:sz w:val="17"/>
              </w:rPr>
              <w:t>4,3</w:t>
            </w:r>
          </w:p>
        </w:tc>
        <w:tc>
          <w:tcPr>
            <w:tcW w:w="691" w:type="dxa"/>
          </w:tcPr>
          <w:p>
            <w:pPr>
              <w:pStyle w:val="TableParagraph"/>
              <w:spacing w:before="43"/>
              <w:ind w:right="55"/>
              <w:rPr>
                <w:sz w:val="17"/>
              </w:rPr>
            </w:pPr>
            <w:r>
              <w:rPr>
                <w:sz w:val="17"/>
              </w:rPr>
              <w:t>4,1</w:t>
            </w:r>
          </w:p>
        </w:tc>
      </w:tr>
      <w:tr>
        <w:trPr>
          <w:trHeight w:val="416" w:hRule="atLeast"/>
        </w:trPr>
        <w:tc>
          <w:tcPr>
            <w:tcW w:w="3519" w:type="dxa"/>
          </w:tcPr>
          <w:p>
            <w:pPr>
              <w:pStyle w:val="TableParagraph"/>
              <w:spacing w:before="43"/>
              <w:jc w:val="left"/>
              <w:rPr>
                <w:sz w:val="17"/>
              </w:rPr>
            </w:pPr>
            <w:r>
              <w:rPr>
                <w:sz w:val="17"/>
              </w:rPr>
              <w:t>Totale entrate correnti</w:t>
            </w:r>
          </w:p>
        </w:tc>
        <w:tc>
          <w:tcPr>
            <w:tcW w:w="1408" w:type="dxa"/>
          </w:tcPr>
          <w:p>
            <w:pPr>
              <w:pStyle w:val="TableParagraph"/>
              <w:spacing w:before="43"/>
              <w:ind w:right="233"/>
              <w:rPr>
                <w:sz w:val="17"/>
              </w:rPr>
            </w:pPr>
            <w:r>
              <w:rPr>
                <w:sz w:val="17"/>
              </w:rPr>
              <w:t>46,0</w:t>
            </w:r>
          </w:p>
        </w:tc>
        <w:tc>
          <w:tcPr>
            <w:tcW w:w="869" w:type="dxa"/>
          </w:tcPr>
          <w:p>
            <w:pPr>
              <w:pStyle w:val="TableParagraph"/>
              <w:spacing w:before="43"/>
              <w:ind w:left="214" w:right="158"/>
              <w:jc w:val="center"/>
              <w:rPr>
                <w:sz w:val="17"/>
              </w:rPr>
            </w:pPr>
            <w:r>
              <w:rPr>
                <w:sz w:val="17"/>
              </w:rPr>
              <w:t>46,3</w:t>
            </w:r>
          </w:p>
        </w:tc>
        <w:tc>
          <w:tcPr>
            <w:tcW w:w="868" w:type="dxa"/>
          </w:tcPr>
          <w:p>
            <w:pPr>
              <w:pStyle w:val="TableParagraph"/>
              <w:spacing w:before="43"/>
              <w:ind w:left="214" w:right="158"/>
              <w:jc w:val="center"/>
              <w:rPr>
                <w:sz w:val="17"/>
              </w:rPr>
            </w:pPr>
            <w:r>
              <w:rPr>
                <w:sz w:val="17"/>
              </w:rPr>
              <w:t>46,9</w:t>
            </w:r>
          </w:p>
        </w:tc>
        <w:tc>
          <w:tcPr>
            <w:tcW w:w="868" w:type="dxa"/>
          </w:tcPr>
          <w:p>
            <w:pPr>
              <w:pStyle w:val="TableParagraph"/>
              <w:spacing w:before="43"/>
              <w:ind w:right="234"/>
              <w:rPr>
                <w:sz w:val="17"/>
              </w:rPr>
            </w:pPr>
            <w:r>
              <w:rPr>
                <w:sz w:val="17"/>
              </w:rPr>
              <w:t>46,8</w:t>
            </w:r>
          </w:p>
        </w:tc>
        <w:tc>
          <w:tcPr>
            <w:tcW w:w="691" w:type="dxa"/>
          </w:tcPr>
          <w:p>
            <w:pPr>
              <w:pStyle w:val="TableParagraph"/>
              <w:spacing w:before="43"/>
              <w:ind w:right="55"/>
              <w:rPr>
                <w:sz w:val="17"/>
              </w:rPr>
            </w:pPr>
            <w:r>
              <w:rPr>
                <w:sz w:val="17"/>
              </w:rPr>
              <w:t>46,4</w:t>
            </w:r>
          </w:p>
        </w:tc>
      </w:tr>
      <w:tr>
        <w:trPr>
          <w:trHeight w:val="555" w:hRule="atLeast"/>
        </w:trPr>
        <w:tc>
          <w:tcPr>
            <w:tcW w:w="3519" w:type="dxa"/>
          </w:tcPr>
          <w:p>
            <w:pPr>
              <w:pStyle w:val="TableParagraph"/>
              <w:spacing w:before="10"/>
              <w:jc w:val="left"/>
              <w:rPr>
                <w:sz w:val="15"/>
              </w:rPr>
            </w:pPr>
          </w:p>
          <w:p>
            <w:pPr>
              <w:pStyle w:val="TableParagraph"/>
              <w:spacing w:before="1"/>
              <w:jc w:val="left"/>
              <w:rPr>
                <w:sz w:val="17"/>
              </w:rPr>
            </w:pPr>
            <w:r>
              <w:rPr>
                <w:sz w:val="17"/>
              </w:rPr>
              <w:t>Entrate in c/capitale non tributarie</w:t>
            </w:r>
          </w:p>
        </w:tc>
        <w:tc>
          <w:tcPr>
            <w:tcW w:w="1408" w:type="dxa"/>
          </w:tcPr>
          <w:p>
            <w:pPr>
              <w:pStyle w:val="TableParagraph"/>
              <w:spacing w:before="10"/>
              <w:jc w:val="left"/>
              <w:rPr>
                <w:sz w:val="15"/>
              </w:rPr>
            </w:pPr>
          </w:p>
          <w:p>
            <w:pPr>
              <w:pStyle w:val="TableParagraph"/>
              <w:spacing w:before="1"/>
              <w:ind w:right="233"/>
              <w:rPr>
                <w:sz w:val="17"/>
              </w:rPr>
            </w:pPr>
            <w:r>
              <w:rPr>
                <w:sz w:val="17"/>
              </w:rPr>
              <w:t>0,1</w:t>
            </w:r>
          </w:p>
        </w:tc>
        <w:tc>
          <w:tcPr>
            <w:tcW w:w="869" w:type="dxa"/>
          </w:tcPr>
          <w:p>
            <w:pPr>
              <w:pStyle w:val="TableParagraph"/>
              <w:spacing w:before="10"/>
              <w:jc w:val="left"/>
              <w:rPr>
                <w:sz w:val="15"/>
              </w:rPr>
            </w:pPr>
          </w:p>
          <w:p>
            <w:pPr>
              <w:pStyle w:val="TableParagraph"/>
              <w:spacing w:before="1"/>
              <w:ind w:left="214" w:right="60"/>
              <w:jc w:val="center"/>
              <w:rPr>
                <w:sz w:val="17"/>
              </w:rPr>
            </w:pPr>
            <w:r>
              <w:rPr>
                <w:sz w:val="17"/>
              </w:rPr>
              <w:t>0,1</w:t>
            </w:r>
          </w:p>
        </w:tc>
        <w:tc>
          <w:tcPr>
            <w:tcW w:w="868" w:type="dxa"/>
          </w:tcPr>
          <w:p>
            <w:pPr>
              <w:pStyle w:val="TableParagraph"/>
              <w:spacing w:before="10"/>
              <w:jc w:val="left"/>
              <w:rPr>
                <w:sz w:val="15"/>
              </w:rPr>
            </w:pPr>
          </w:p>
          <w:p>
            <w:pPr>
              <w:pStyle w:val="TableParagraph"/>
              <w:spacing w:before="1"/>
              <w:ind w:left="214" w:right="59"/>
              <w:jc w:val="center"/>
              <w:rPr>
                <w:sz w:val="17"/>
              </w:rPr>
            </w:pPr>
            <w:r>
              <w:rPr>
                <w:sz w:val="17"/>
              </w:rPr>
              <w:t>0,1</w:t>
            </w:r>
          </w:p>
        </w:tc>
        <w:tc>
          <w:tcPr>
            <w:tcW w:w="868" w:type="dxa"/>
          </w:tcPr>
          <w:p>
            <w:pPr>
              <w:pStyle w:val="TableParagraph"/>
              <w:spacing w:before="10"/>
              <w:jc w:val="left"/>
              <w:rPr>
                <w:sz w:val="15"/>
              </w:rPr>
            </w:pPr>
          </w:p>
          <w:p>
            <w:pPr>
              <w:pStyle w:val="TableParagraph"/>
              <w:spacing w:before="1"/>
              <w:ind w:right="234"/>
              <w:rPr>
                <w:sz w:val="17"/>
              </w:rPr>
            </w:pPr>
            <w:r>
              <w:rPr>
                <w:sz w:val="17"/>
              </w:rPr>
              <w:t>0,1</w:t>
            </w:r>
          </w:p>
        </w:tc>
        <w:tc>
          <w:tcPr>
            <w:tcW w:w="691" w:type="dxa"/>
          </w:tcPr>
          <w:p>
            <w:pPr>
              <w:pStyle w:val="TableParagraph"/>
              <w:spacing w:before="10"/>
              <w:jc w:val="left"/>
              <w:rPr>
                <w:sz w:val="15"/>
              </w:rPr>
            </w:pPr>
          </w:p>
          <w:p>
            <w:pPr>
              <w:pStyle w:val="TableParagraph"/>
              <w:spacing w:before="1"/>
              <w:ind w:right="55"/>
              <w:rPr>
                <w:sz w:val="17"/>
              </w:rPr>
            </w:pPr>
            <w:r>
              <w:rPr>
                <w:sz w:val="17"/>
              </w:rPr>
              <w:t>0,1</w:t>
            </w:r>
          </w:p>
        </w:tc>
      </w:tr>
      <w:tr>
        <w:trPr>
          <w:trHeight w:val="417" w:hRule="atLeast"/>
        </w:trPr>
        <w:tc>
          <w:tcPr>
            <w:tcW w:w="3519" w:type="dxa"/>
          </w:tcPr>
          <w:p>
            <w:pPr>
              <w:pStyle w:val="TableParagraph"/>
              <w:jc w:val="left"/>
              <w:rPr>
                <w:sz w:val="16"/>
              </w:rPr>
            </w:pPr>
          </w:p>
          <w:p>
            <w:pPr>
              <w:pStyle w:val="TableParagraph"/>
              <w:jc w:val="left"/>
              <w:rPr>
                <w:sz w:val="17"/>
              </w:rPr>
            </w:pPr>
            <w:r>
              <w:rPr>
                <w:sz w:val="17"/>
              </w:rPr>
              <w:t>Totale entrate finali</w:t>
            </w:r>
          </w:p>
        </w:tc>
        <w:tc>
          <w:tcPr>
            <w:tcW w:w="1408" w:type="dxa"/>
          </w:tcPr>
          <w:p>
            <w:pPr>
              <w:pStyle w:val="TableParagraph"/>
              <w:jc w:val="left"/>
              <w:rPr>
                <w:sz w:val="16"/>
              </w:rPr>
            </w:pPr>
          </w:p>
          <w:p>
            <w:pPr>
              <w:pStyle w:val="TableParagraph"/>
              <w:ind w:right="233"/>
              <w:rPr>
                <w:sz w:val="17"/>
              </w:rPr>
            </w:pPr>
            <w:r>
              <w:rPr>
                <w:sz w:val="17"/>
              </w:rPr>
              <w:t>46,2</w:t>
            </w:r>
          </w:p>
        </w:tc>
        <w:tc>
          <w:tcPr>
            <w:tcW w:w="869" w:type="dxa"/>
          </w:tcPr>
          <w:p>
            <w:pPr>
              <w:pStyle w:val="TableParagraph"/>
              <w:jc w:val="left"/>
              <w:rPr>
                <w:sz w:val="16"/>
              </w:rPr>
            </w:pPr>
          </w:p>
          <w:p>
            <w:pPr>
              <w:pStyle w:val="TableParagraph"/>
              <w:ind w:left="214" w:right="158"/>
              <w:jc w:val="center"/>
              <w:rPr>
                <w:sz w:val="17"/>
              </w:rPr>
            </w:pPr>
            <w:r>
              <w:rPr>
                <w:sz w:val="17"/>
              </w:rPr>
              <w:t>46,5</w:t>
            </w:r>
          </w:p>
        </w:tc>
        <w:tc>
          <w:tcPr>
            <w:tcW w:w="868" w:type="dxa"/>
          </w:tcPr>
          <w:p>
            <w:pPr>
              <w:pStyle w:val="TableParagraph"/>
              <w:jc w:val="left"/>
              <w:rPr>
                <w:sz w:val="16"/>
              </w:rPr>
            </w:pPr>
          </w:p>
          <w:p>
            <w:pPr>
              <w:pStyle w:val="TableParagraph"/>
              <w:ind w:left="214" w:right="158"/>
              <w:jc w:val="center"/>
              <w:rPr>
                <w:sz w:val="17"/>
              </w:rPr>
            </w:pPr>
            <w:r>
              <w:rPr>
                <w:sz w:val="17"/>
              </w:rPr>
              <w:t>47,1</w:t>
            </w:r>
          </w:p>
        </w:tc>
        <w:tc>
          <w:tcPr>
            <w:tcW w:w="868" w:type="dxa"/>
          </w:tcPr>
          <w:p>
            <w:pPr>
              <w:pStyle w:val="TableParagraph"/>
              <w:jc w:val="left"/>
              <w:rPr>
                <w:sz w:val="16"/>
              </w:rPr>
            </w:pPr>
          </w:p>
          <w:p>
            <w:pPr>
              <w:pStyle w:val="TableParagraph"/>
              <w:ind w:right="234"/>
              <w:rPr>
                <w:sz w:val="17"/>
              </w:rPr>
            </w:pPr>
            <w:r>
              <w:rPr>
                <w:sz w:val="17"/>
              </w:rPr>
              <w:t>47,0</w:t>
            </w:r>
          </w:p>
        </w:tc>
        <w:tc>
          <w:tcPr>
            <w:tcW w:w="691" w:type="dxa"/>
          </w:tcPr>
          <w:p>
            <w:pPr>
              <w:pStyle w:val="TableParagraph"/>
              <w:jc w:val="left"/>
              <w:rPr>
                <w:sz w:val="16"/>
              </w:rPr>
            </w:pPr>
          </w:p>
          <w:p>
            <w:pPr>
              <w:pStyle w:val="TableParagraph"/>
              <w:ind w:right="55"/>
              <w:rPr>
                <w:sz w:val="17"/>
              </w:rPr>
            </w:pPr>
            <w:r>
              <w:rPr>
                <w:sz w:val="17"/>
              </w:rPr>
              <w:t>46,6</w:t>
            </w:r>
          </w:p>
        </w:tc>
      </w:tr>
      <w:tr>
        <w:trPr>
          <w:trHeight w:val="294" w:hRule="atLeast"/>
        </w:trPr>
        <w:tc>
          <w:tcPr>
            <w:tcW w:w="3519" w:type="dxa"/>
            <w:tcBorders>
              <w:bottom w:val="single" w:sz="4" w:space="0" w:color="000000"/>
            </w:tcBorders>
          </w:tcPr>
          <w:p>
            <w:pPr>
              <w:pStyle w:val="TableParagraph"/>
              <w:spacing w:before="43"/>
              <w:ind w:left="4"/>
              <w:jc w:val="left"/>
              <w:rPr>
                <w:i/>
                <w:sz w:val="17"/>
              </w:rPr>
            </w:pPr>
            <w:r>
              <w:rPr>
                <w:i/>
                <w:sz w:val="17"/>
              </w:rPr>
              <w:t>p.m. Pressione fiscale</w:t>
            </w:r>
          </w:p>
        </w:tc>
        <w:tc>
          <w:tcPr>
            <w:tcW w:w="1408" w:type="dxa"/>
            <w:tcBorders>
              <w:bottom w:val="single" w:sz="4" w:space="0" w:color="000000"/>
            </w:tcBorders>
          </w:tcPr>
          <w:p>
            <w:pPr>
              <w:pStyle w:val="TableParagraph"/>
              <w:spacing w:before="43"/>
              <w:ind w:right="233"/>
              <w:rPr>
                <w:i/>
                <w:sz w:val="17"/>
              </w:rPr>
            </w:pPr>
            <w:r>
              <w:rPr>
                <w:i/>
                <w:sz w:val="17"/>
              </w:rPr>
              <w:t>41,8</w:t>
            </w:r>
          </w:p>
        </w:tc>
        <w:tc>
          <w:tcPr>
            <w:tcW w:w="869" w:type="dxa"/>
            <w:tcBorders>
              <w:bottom w:val="single" w:sz="4" w:space="0" w:color="000000"/>
            </w:tcBorders>
          </w:tcPr>
          <w:p>
            <w:pPr>
              <w:pStyle w:val="TableParagraph"/>
              <w:spacing w:before="43"/>
              <w:ind w:left="214" w:right="158"/>
              <w:jc w:val="center"/>
              <w:rPr>
                <w:i/>
                <w:sz w:val="17"/>
              </w:rPr>
            </w:pPr>
            <w:r>
              <w:rPr>
                <w:i/>
                <w:sz w:val="17"/>
              </w:rPr>
              <w:t>41,9</w:t>
            </w:r>
          </w:p>
        </w:tc>
        <w:tc>
          <w:tcPr>
            <w:tcW w:w="868" w:type="dxa"/>
            <w:tcBorders>
              <w:bottom w:val="single" w:sz="4" w:space="0" w:color="000000"/>
            </w:tcBorders>
          </w:tcPr>
          <w:p>
            <w:pPr>
              <w:pStyle w:val="TableParagraph"/>
              <w:spacing w:before="43"/>
              <w:ind w:left="214" w:right="158"/>
              <w:jc w:val="center"/>
              <w:rPr>
                <w:i/>
                <w:sz w:val="17"/>
              </w:rPr>
            </w:pPr>
            <w:r>
              <w:rPr>
                <w:i/>
                <w:sz w:val="17"/>
              </w:rPr>
              <w:t>42,6</w:t>
            </w:r>
          </w:p>
        </w:tc>
        <w:tc>
          <w:tcPr>
            <w:tcW w:w="868" w:type="dxa"/>
            <w:tcBorders>
              <w:bottom w:val="single" w:sz="4" w:space="0" w:color="000000"/>
            </w:tcBorders>
          </w:tcPr>
          <w:p>
            <w:pPr>
              <w:pStyle w:val="TableParagraph"/>
              <w:spacing w:before="43"/>
              <w:ind w:right="234"/>
              <w:rPr>
                <w:i/>
                <w:sz w:val="17"/>
              </w:rPr>
            </w:pPr>
            <w:r>
              <w:rPr>
                <w:i/>
                <w:sz w:val="17"/>
              </w:rPr>
              <w:t>42,6</w:t>
            </w:r>
          </w:p>
        </w:tc>
        <w:tc>
          <w:tcPr>
            <w:tcW w:w="691" w:type="dxa"/>
            <w:tcBorders>
              <w:bottom w:val="single" w:sz="4" w:space="0" w:color="000000"/>
            </w:tcBorders>
          </w:tcPr>
          <w:p>
            <w:pPr>
              <w:pStyle w:val="TableParagraph"/>
              <w:spacing w:before="43"/>
              <w:ind w:right="55"/>
              <w:rPr>
                <w:i/>
                <w:sz w:val="17"/>
              </w:rPr>
            </w:pPr>
            <w:r>
              <w:rPr>
                <w:i/>
                <w:sz w:val="17"/>
              </w:rPr>
              <w:t>42,3</w:t>
            </w:r>
          </w:p>
        </w:tc>
      </w:tr>
      <w:tr>
        <w:trPr>
          <w:trHeight w:val="262" w:hRule="atLeast"/>
        </w:trPr>
        <w:tc>
          <w:tcPr>
            <w:tcW w:w="3519" w:type="dxa"/>
            <w:tcBorders>
              <w:top w:val="single" w:sz="4" w:space="0" w:color="000000"/>
            </w:tcBorders>
          </w:tcPr>
          <w:p>
            <w:pPr>
              <w:pStyle w:val="TableParagraph"/>
              <w:spacing w:before="26"/>
              <w:jc w:val="left"/>
              <w:rPr>
                <w:sz w:val="17"/>
              </w:rPr>
            </w:pPr>
            <w:r>
              <w:rPr>
                <w:sz w:val="17"/>
              </w:rPr>
              <w:t>SALDI</w:t>
            </w:r>
          </w:p>
        </w:tc>
        <w:tc>
          <w:tcPr>
            <w:tcW w:w="1408" w:type="dxa"/>
            <w:tcBorders>
              <w:top w:val="single" w:sz="4" w:space="0" w:color="000000"/>
            </w:tcBorders>
          </w:tcPr>
          <w:p>
            <w:pPr>
              <w:pStyle w:val="TableParagraph"/>
              <w:jc w:val="left"/>
              <w:rPr>
                <w:rFonts w:ascii="Times New Roman"/>
                <w:sz w:val="16"/>
              </w:rPr>
            </w:pPr>
          </w:p>
        </w:tc>
        <w:tc>
          <w:tcPr>
            <w:tcW w:w="869" w:type="dxa"/>
            <w:tcBorders>
              <w:top w:val="single" w:sz="4" w:space="0" w:color="000000"/>
            </w:tcBorders>
          </w:tcPr>
          <w:p>
            <w:pPr>
              <w:pStyle w:val="TableParagraph"/>
              <w:jc w:val="left"/>
              <w:rPr>
                <w:rFonts w:ascii="Times New Roman"/>
                <w:sz w:val="16"/>
              </w:rPr>
            </w:pPr>
          </w:p>
        </w:tc>
        <w:tc>
          <w:tcPr>
            <w:tcW w:w="868" w:type="dxa"/>
            <w:tcBorders>
              <w:top w:val="single" w:sz="4" w:space="0" w:color="000000"/>
            </w:tcBorders>
          </w:tcPr>
          <w:p>
            <w:pPr>
              <w:pStyle w:val="TableParagraph"/>
              <w:jc w:val="left"/>
              <w:rPr>
                <w:rFonts w:ascii="Times New Roman"/>
                <w:sz w:val="16"/>
              </w:rPr>
            </w:pPr>
          </w:p>
        </w:tc>
        <w:tc>
          <w:tcPr>
            <w:tcW w:w="868" w:type="dxa"/>
            <w:tcBorders>
              <w:top w:val="single" w:sz="4" w:space="0" w:color="000000"/>
            </w:tcBorders>
          </w:tcPr>
          <w:p>
            <w:pPr>
              <w:pStyle w:val="TableParagraph"/>
              <w:jc w:val="left"/>
              <w:rPr>
                <w:rFonts w:ascii="Times New Roman"/>
                <w:sz w:val="16"/>
              </w:rPr>
            </w:pPr>
          </w:p>
        </w:tc>
        <w:tc>
          <w:tcPr>
            <w:tcW w:w="691" w:type="dxa"/>
            <w:tcBorders>
              <w:top w:val="single" w:sz="4" w:space="0" w:color="000000"/>
            </w:tcBorders>
          </w:tcPr>
          <w:p>
            <w:pPr>
              <w:pStyle w:val="TableParagraph"/>
              <w:jc w:val="left"/>
              <w:rPr>
                <w:rFonts w:ascii="Times New Roman"/>
                <w:sz w:val="16"/>
              </w:rPr>
            </w:pPr>
          </w:p>
        </w:tc>
      </w:tr>
      <w:tr>
        <w:trPr>
          <w:trHeight w:val="278" w:hRule="atLeast"/>
        </w:trPr>
        <w:tc>
          <w:tcPr>
            <w:tcW w:w="3519" w:type="dxa"/>
          </w:tcPr>
          <w:p>
            <w:pPr>
              <w:pStyle w:val="TableParagraph"/>
              <w:spacing w:before="43"/>
              <w:jc w:val="left"/>
              <w:rPr>
                <w:sz w:val="17"/>
              </w:rPr>
            </w:pPr>
            <w:r>
              <w:rPr>
                <w:sz w:val="17"/>
              </w:rPr>
              <w:t>Saldo primario</w:t>
            </w:r>
          </w:p>
        </w:tc>
        <w:tc>
          <w:tcPr>
            <w:tcW w:w="1408" w:type="dxa"/>
          </w:tcPr>
          <w:p>
            <w:pPr>
              <w:pStyle w:val="TableParagraph"/>
              <w:spacing w:before="43"/>
              <w:ind w:right="233"/>
              <w:rPr>
                <w:sz w:val="17"/>
              </w:rPr>
            </w:pPr>
            <w:r>
              <w:rPr>
                <w:sz w:val="17"/>
              </w:rPr>
              <w:t>1,5</w:t>
            </w:r>
          </w:p>
        </w:tc>
        <w:tc>
          <w:tcPr>
            <w:tcW w:w="869" w:type="dxa"/>
          </w:tcPr>
          <w:p>
            <w:pPr>
              <w:pStyle w:val="TableParagraph"/>
              <w:spacing w:before="43"/>
              <w:ind w:left="214" w:right="60"/>
              <w:jc w:val="center"/>
              <w:rPr>
                <w:sz w:val="17"/>
              </w:rPr>
            </w:pPr>
            <w:r>
              <w:rPr>
                <w:sz w:val="17"/>
              </w:rPr>
              <w:t>1,3</w:t>
            </w:r>
          </w:p>
        </w:tc>
        <w:tc>
          <w:tcPr>
            <w:tcW w:w="868" w:type="dxa"/>
          </w:tcPr>
          <w:p>
            <w:pPr>
              <w:pStyle w:val="TableParagraph"/>
              <w:spacing w:before="43"/>
              <w:ind w:left="214" w:right="59"/>
              <w:jc w:val="center"/>
              <w:rPr>
                <w:sz w:val="17"/>
              </w:rPr>
            </w:pPr>
            <w:r>
              <w:rPr>
                <w:sz w:val="17"/>
              </w:rPr>
              <w:t>1,9</w:t>
            </w:r>
          </w:p>
        </w:tc>
        <w:tc>
          <w:tcPr>
            <w:tcW w:w="868" w:type="dxa"/>
          </w:tcPr>
          <w:p>
            <w:pPr>
              <w:pStyle w:val="TableParagraph"/>
              <w:spacing w:before="43"/>
              <w:ind w:right="234"/>
              <w:rPr>
                <w:sz w:val="17"/>
              </w:rPr>
            </w:pPr>
            <w:r>
              <w:rPr>
                <w:sz w:val="17"/>
              </w:rPr>
              <w:t>1,9</w:t>
            </w:r>
          </w:p>
        </w:tc>
        <w:tc>
          <w:tcPr>
            <w:tcW w:w="691" w:type="dxa"/>
          </w:tcPr>
          <w:p>
            <w:pPr>
              <w:pStyle w:val="TableParagraph"/>
              <w:spacing w:before="43"/>
              <w:ind w:right="55"/>
              <w:rPr>
                <w:sz w:val="17"/>
              </w:rPr>
            </w:pPr>
            <w:r>
              <w:rPr>
                <w:sz w:val="17"/>
              </w:rPr>
              <w:t>2,0</w:t>
            </w:r>
          </w:p>
        </w:tc>
      </w:tr>
      <w:tr>
        <w:trPr>
          <w:trHeight w:val="277" w:hRule="atLeast"/>
        </w:trPr>
        <w:tc>
          <w:tcPr>
            <w:tcW w:w="3519" w:type="dxa"/>
          </w:tcPr>
          <w:p>
            <w:pPr>
              <w:pStyle w:val="TableParagraph"/>
              <w:spacing w:before="43"/>
              <w:jc w:val="left"/>
              <w:rPr>
                <w:sz w:val="17"/>
              </w:rPr>
            </w:pPr>
            <w:r>
              <w:rPr>
                <w:sz w:val="17"/>
              </w:rPr>
              <w:t>Saldo di parte corrente</w:t>
            </w:r>
          </w:p>
        </w:tc>
        <w:tc>
          <w:tcPr>
            <w:tcW w:w="1408" w:type="dxa"/>
          </w:tcPr>
          <w:p>
            <w:pPr>
              <w:pStyle w:val="TableParagraph"/>
              <w:spacing w:before="43"/>
              <w:ind w:right="233"/>
              <w:rPr>
                <w:sz w:val="17"/>
              </w:rPr>
            </w:pPr>
            <w:r>
              <w:rPr>
                <w:sz w:val="17"/>
              </w:rPr>
              <w:t>0,9</w:t>
            </w:r>
          </w:p>
        </w:tc>
        <w:tc>
          <w:tcPr>
            <w:tcW w:w="869" w:type="dxa"/>
          </w:tcPr>
          <w:p>
            <w:pPr>
              <w:pStyle w:val="TableParagraph"/>
              <w:spacing w:before="43"/>
              <w:ind w:left="214" w:right="60"/>
              <w:jc w:val="center"/>
              <w:rPr>
                <w:sz w:val="17"/>
              </w:rPr>
            </w:pPr>
            <w:r>
              <w:rPr>
                <w:sz w:val="17"/>
              </w:rPr>
              <w:t>1,0</w:t>
            </w:r>
          </w:p>
        </w:tc>
        <w:tc>
          <w:tcPr>
            <w:tcW w:w="868" w:type="dxa"/>
          </w:tcPr>
          <w:p>
            <w:pPr>
              <w:pStyle w:val="TableParagraph"/>
              <w:spacing w:before="43"/>
              <w:ind w:left="214" w:right="59"/>
              <w:jc w:val="center"/>
              <w:rPr>
                <w:sz w:val="17"/>
              </w:rPr>
            </w:pPr>
            <w:r>
              <w:rPr>
                <w:sz w:val="17"/>
              </w:rPr>
              <w:t>1,7</w:t>
            </w:r>
          </w:p>
        </w:tc>
        <w:tc>
          <w:tcPr>
            <w:tcW w:w="868" w:type="dxa"/>
          </w:tcPr>
          <w:p>
            <w:pPr>
              <w:pStyle w:val="TableParagraph"/>
              <w:spacing w:before="43"/>
              <w:ind w:right="234"/>
              <w:rPr>
                <w:sz w:val="17"/>
              </w:rPr>
            </w:pPr>
            <w:r>
              <w:rPr>
                <w:sz w:val="17"/>
              </w:rPr>
              <w:t>2,0</w:t>
            </w:r>
          </w:p>
        </w:tc>
        <w:tc>
          <w:tcPr>
            <w:tcW w:w="691" w:type="dxa"/>
          </w:tcPr>
          <w:p>
            <w:pPr>
              <w:pStyle w:val="TableParagraph"/>
              <w:spacing w:before="43"/>
              <w:ind w:right="55"/>
              <w:rPr>
                <w:sz w:val="17"/>
              </w:rPr>
            </w:pPr>
            <w:r>
              <w:rPr>
                <w:sz w:val="17"/>
              </w:rPr>
              <w:t>2,1</w:t>
            </w:r>
          </w:p>
        </w:tc>
      </w:tr>
      <w:tr>
        <w:trPr>
          <w:trHeight w:val="295" w:hRule="atLeast"/>
        </w:trPr>
        <w:tc>
          <w:tcPr>
            <w:tcW w:w="3519" w:type="dxa"/>
            <w:tcBorders>
              <w:bottom w:val="single" w:sz="4" w:space="0" w:color="000000"/>
            </w:tcBorders>
          </w:tcPr>
          <w:p>
            <w:pPr>
              <w:pStyle w:val="TableParagraph"/>
              <w:spacing w:before="41"/>
              <w:jc w:val="left"/>
              <w:rPr>
                <w:sz w:val="17"/>
              </w:rPr>
            </w:pPr>
            <w:r>
              <w:rPr>
                <w:sz w:val="17"/>
              </w:rPr>
              <w:t>Indebitamento netto</w:t>
            </w:r>
          </w:p>
        </w:tc>
        <w:tc>
          <w:tcPr>
            <w:tcW w:w="1408" w:type="dxa"/>
            <w:tcBorders>
              <w:bottom w:val="single" w:sz="4" w:space="0" w:color="000000"/>
            </w:tcBorders>
          </w:tcPr>
          <w:p>
            <w:pPr>
              <w:pStyle w:val="TableParagraph"/>
              <w:spacing w:before="41"/>
              <w:ind w:right="233"/>
              <w:rPr>
                <w:sz w:val="17"/>
              </w:rPr>
            </w:pPr>
            <w:r>
              <w:rPr>
                <w:sz w:val="17"/>
              </w:rPr>
              <w:t>-2,2</w:t>
            </w:r>
          </w:p>
        </w:tc>
        <w:tc>
          <w:tcPr>
            <w:tcW w:w="869" w:type="dxa"/>
            <w:tcBorders>
              <w:bottom w:val="single" w:sz="4" w:space="0" w:color="000000"/>
            </w:tcBorders>
          </w:tcPr>
          <w:p>
            <w:pPr>
              <w:pStyle w:val="TableParagraph"/>
              <w:spacing w:before="41"/>
              <w:ind w:left="214" w:right="103"/>
              <w:jc w:val="center"/>
              <w:rPr>
                <w:sz w:val="17"/>
              </w:rPr>
            </w:pPr>
            <w:r>
              <w:rPr>
                <w:sz w:val="17"/>
              </w:rPr>
              <w:t>-2,2</w:t>
            </w:r>
          </w:p>
        </w:tc>
        <w:tc>
          <w:tcPr>
            <w:tcW w:w="868" w:type="dxa"/>
            <w:tcBorders>
              <w:bottom w:val="single" w:sz="4" w:space="0" w:color="000000"/>
            </w:tcBorders>
          </w:tcPr>
          <w:p>
            <w:pPr>
              <w:pStyle w:val="TableParagraph"/>
              <w:spacing w:before="41"/>
              <w:ind w:left="214" w:right="103"/>
              <w:jc w:val="center"/>
              <w:rPr>
                <w:sz w:val="17"/>
              </w:rPr>
            </w:pPr>
            <w:r>
              <w:rPr>
                <w:sz w:val="17"/>
              </w:rPr>
              <w:t>-1,4</w:t>
            </w:r>
          </w:p>
        </w:tc>
        <w:tc>
          <w:tcPr>
            <w:tcW w:w="868" w:type="dxa"/>
            <w:tcBorders>
              <w:bottom w:val="single" w:sz="4" w:space="0" w:color="000000"/>
            </w:tcBorders>
          </w:tcPr>
          <w:p>
            <w:pPr>
              <w:pStyle w:val="TableParagraph"/>
              <w:spacing w:before="41"/>
              <w:ind w:right="234"/>
              <w:rPr>
                <w:sz w:val="17"/>
              </w:rPr>
            </w:pPr>
            <w:r>
              <w:rPr>
                <w:sz w:val="17"/>
              </w:rPr>
              <w:t>-1,1</w:t>
            </w:r>
          </w:p>
        </w:tc>
        <w:tc>
          <w:tcPr>
            <w:tcW w:w="691" w:type="dxa"/>
            <w:tcBorders>
              <w:bottom w:val="single" w:sz="4" w:space="0" w:color="000000"/>
            </w:tcBorders>
          </w:tcPr>
          <w:p>
            <w:pPr>
              <w:pStyle w:val="TableParagraph"/>
              <w:spacing w:before="41"/>
              <w:ind w:right="55"/>
              <w:rPr>
                <w:sz w:val="17"/>
              </w:rPr>
            </w:pPr>
            <w:r>
              <w:rPr>
                <w:sz w:val="17"/>
              </w:rPr>
              <w:t>-0,9</w:t>
            </w:r>
          </w:p>
        </w:tc>
      </w:tr>
    </w:tbl>
    <w:p>
      <w:pPr>
        <w:spacing w:before="0"/>
        <w:ind w:left="278" w:right="2393" w:firstLine="0"/>
        <w:jc w:val="left"/>
        <w:rPr>
          <w:rFonts w:ascii="Franklin Gothic Book"/>
          <w:sz w:val="17"/>
        </w:rPr>
      </w:pPr>
      <w:r>
        <w:rPr/>
        <w:pict>
          <v:line style="position:absolute;mso-position-horizontal-relative:page;mso-position-vertical-relative:paragraph;z-index:-251522048;mso-wrap-distance-left:0;mso-wrap-distance-right:0" from="70.223999pt,22.07029pt" to="479.133999pt,22.07029pt" stroked="true" strokeweight="1.44pt" strokecolor="#086d44">
            <v:stroke dashstyle="solid"/>
            <w10:wrap type="topAndBottom"/>
          </v:line>
        </w:pict>
      </w:r>
      <w:r>
        <w:rPr>
          <w:rFonts w:ascii="Franklin Gothic Book"/>
          <w:sz w:val="17"/>
        </w:rPr>
        <w:t>Nota: I rapporti al PIL sono calcolati sulle previsioni del quadro tendenziale. Eventuali imprecisioni derivano da arrotondamenti.</w:t>
      </w:r>
    </w:p>
    <w:p>
      <w:pPr>
        <w:spacing w:after="0"/>
        <w:jc w:val="left"/>
        <w:rPr>
          <w:rFonts w:ascii="Franklin Gothic Book"/>
          <w:sz w:val="17"/>
        </w:rPr>
        <w:sectPr>
          <w:pgSz w:w="11910" w:h="16840"/>
          <w:pgMar w:header="838" w:footer="866" w:top="1100" w:bottom="1060" w:left="114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5"/>
        </w:rPr>
      </w:pPr>
    </w:p>
    <w:tbl>
      <w:tblPr>
        <w:tblW w:w="0" w:type="auto"/>
        <w:jc w:val="left"/>
        <w:tblInd w:w="1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27"/>
        <w:gridCol w:w="1733"/>
        <w:gridCol w:w="967"/>
        <w:gridCol w:w="965"/>
        <w:gridCol w:w="736"/>
      </w:tblGrid>
      <w:tr>
        <w:trPr>
          <w:trHeight w:val="295" w:hRule="atLeast"/>
        </w:trPr>
        <w:tc>
          <w:tcPr>
            <w:tcW w:w="8228" w:type="dxa"/>
            <w:gridSpan w:val="5"/>
            <w:shd w:val="clear" w:color="auto" w:fill="086D44"/>
          </w:tcPr>
          <w:p>
            <w:pPr>
              <w:pStyle w:val="TableParagraph"/>
              <w:spacing w:before="45"/>
              <w:ind w:left="62"/>
              <w:jc w:val="left"/>
              <w:rPr>
                <w:rFonts w:ascii="Franklin Gothic Heavy"/>
                <w:b/>
                <w:sz w:val="17"/>
              </w:rPr>
            </w:pPr>
            <w:r>
              <w:rPr>
                <w:rFonts w:ascii="Franklin Gothic Heavy"/>
                <w:b/>
                <w:color w:val="EFEFEF"/>
                <w:sz w:val="17"/>
              </w:rPr>
              <w:t>TAVOLA III.1c: CONTO DELLA PA A LEGISLAZIONE VIGENTE (variazioni percentuali)</w:t>
            </w:r>
          </w:p>
        </w:tc>
      </w:tr>
      <w:tr>
        <w:trPr>
          <w:trHeight w:val="270" w:hRule="atLeast"/>
        </w:trPr>
        <w:tc>
          <w:tcPr>
            <w:tcW w:w="3827" w:type="dxa"/>
            <w:tcBorders>
              <w:bottom w:val="single" w:sz="4" w:space="0" w:color="000000"/>
            </w:tcBorders>
          </w:tcPr>
          <w:p>
            <w:pPr>
              <w:pStyle w:val="TableParagraph"/>
              <w:jc w:val="left"/>
              <w:rPr>
                <w:rFonts w:ascii="Times New Roman"/>
                <w:sz w:val="16"/>
              </w:rPr>
            </w:pPr>
          </w:p>
        </w:tc>
        <w:tc>
          <w:tcPr>
            <w:tcW w:w="1733" w:type="dxa"/>
            <w:tcBorders>
              <w:bottom w:val="single" w:sz="4" w:space="0" w:color="000000"/>
            </w:tcBorders>
          </w:tcPr>
          <w:p>
            <w:pPr>
              <w:pStyle w:val="TableParagraph"/>
              <w:spacing w:before="33"/>
              <w:ind w:right="282"/>
              <w:rPr>
                <w:sz w:val="17"/>
              </w:rPr>
            </w:pPr>
            <w:r>
              <w:rPr>
                <w:sz w:val="17"/>
              </w:rPr>
              <w:t>2019</w:t>
            </w:r>
          </w:p>
        </w:tc>
        <w:tc>
          <w:tcPr>
            <w:tcW w:w="967" w:type="dxa"/>
            <w:tcBorders>
              <w:bottom w:val="single" w:sz="4" w:space="0" w:color="000000"/>
            </w:tcBorders>
          </w:tcPr>
          <w:p>
            <w:pPr>
              <w:pStyle w:val="TableParagraph"/>
              <w:spacing w:before="33"/>
              <w:ind w:right="281"/>
              <w:rPr>
                <w:sz w:val="17"/>
              </w:rPr>
            </w:pPr>
            <w:r>
              <w:rPr>
                <w:sz w:val="17"/>
              </w:rPr>
              <w:t>2020</w:t>
            </w:r>
          </w:p>
        </w:tc>
        <w:tc>
          <w:tcPr>
            <w:tcW w:w="965" w:type="dxa"/>
            <w:tcBorders>
              <w:bottom w:val="single" w:sz="4" w:space="0" w:color="000000"/>
            </w:tcBorders>
          </w:tcPr>
          <w:p>
            <w:pPr>
              <w:pStyle w:val="TableParagraph"/>
              <w:spacing w:before="33"/>
              <w:ind w:right="281"/>
              <w:rPr>
                <w:sz w:val="17"/>
              </w:rPr>
            </w:pPr>
            <w:r>
              <w:rPr>
                <w:sz w:val="17"/>
              </w:rPr>
              <w:t>2021</w:t>
            </w:r>
          </w:p>
        </w:tc>
        <w:tc>
          <w:tcPr>
            <w:tcW w:w="736" w:type="dxa"/>
            <w:tcBorders>
              <w:bottom w:val="single" w:sz="4" w:space="0" w:color="000000"/>
            </w:tcBorders>
          </w:tcPr>
          <w:p>
            <w:pPr>
              <w:pStyle w:val="TableParagraph"/>
              <w:spacing w:before="33"/>
              <w:ind w:right="50"/>
              <w:rPr>
                <w:sz w:val="17"/>
              </w:rPr>
            </w:pPr>
            <w:r>
              <w:rPr>
                <w:sz w:val="17"/>
              </w:rPr>
              <w:t>2022</w:t>
            </w:r>
          </w:p>
        </w:tc>
      </w:tr>
      <w:tr>
        <w:trPr>
          <w:trHeight w:val="343" w:hRule="atLeast"/>
        </w:trPr>
        <w:tc>
          <w:tcPr>
            <w:tcW w:w="3827" w:type="dxa"/>
            <w:tcBorders>
              <w:top w:val="single" w:sz="4" w:space="0" w:color="000000"/>
            </w:tcBorders>
          </w:tcPr>
          <w:p>
            <w:pPr>
              <w:pStyle w:val="TableParagraph"/>
              <w:spacing w:before="127"/>
              <w:ind w:left="33"/>
              <w:jc w:val="left"/>
              <w:rPr>
                <w:sz w:val="17"/>
              </w:rPr>
            </w:pPr>
            <w:r>
              <w:rPr>
                <w:sz w:val="17"/>
              </w:rPr>
              <w:t>SPESE</w:t>
            </w:r>
          </w:p>
        </w:tc>
        <w:tc>
          <w:tcPr>
            <w:tcW w:w="1733" w:type="dxa"/>
            <w:tcBorders>
              <w:top w:val="single" w:sz="4" w:space="0" w:color="000000"/>
            </w:tcBorders>
          </w:tcPr>
          <w:p>
            <w:pPr>
              <w:pStyle w:val="TableParagraph"/>
              <w:jc w:val="left"/>
              <w:rPr>
                <w:rFonts w:ascii="Times New Roman"/>
                <w:sz w:val="16"/>
              </w:rPr>
            </w:pPr>
          </w:p>
        </w:tc>
        <w:tc>
          <w:tcPr>
            <w:tcW w:w="967" w:type="dxa"/>
            <w:tcBorders>
              <w:top w:val="single" w:sz="4" w:space="0" w:color="000000"/>
            </w:tcBorders>
          </w:tcPr>
          <w:p>
            <w:pPr>
              <w:pStyle w:val="TableParagraph"/>
              <w:jc w:val="left"/>
              <w:rPr>
                <w:rFonts w:ascii="Times New Roman"/>
                <w:sz w:val="16"/>
              </w:rPr>
            </w:pPr>
          </w:p>
        </w:tc>
        <w:tc>
          <w:tcPr>
            <w:tcW w:w="965" w:type="dxa"/>
            <w:tcBorders>
              <w:top w:val="single" w:sz="4" w:space="0" w:color="000000"/>
            </w:tcBorders>
          </w:tcPr>
          <w:p>
            <w:pPr>
              <w:pStyle w:val="TableParagraph"/>
              <w:jc w:val="left"/>
              <w:rPr>
                <w:rFonts w:ascii="Times New Roman"/>
                <w:sz w:val="16"/>
              </w:rPr>
            </w:pPr>
          </w:p>
        </w:tc>
        <w:tc>
          <w:tcPr>
            <w:tcW w:w="736" w:type="dxa"/>
            <w:tcBorders>
              <w:top w:val="single" w:sz="4" w:space="0" w:color="000000"/>
            </w:tcBorders>
          </w:tcPr>
          <w:p>
            <w:pPr>
              <w:pStyle w:val="TableParagraph"/>
              <w:jc w:val="left"/>
              <w:rPr>
                <w:rFonts w:ascii="Times New Roman"/>
                <w:sz w:val="16"/>
              </w:rPr>
            </w:pPr>
          </w:p>
        </w:tc>
      </w:tr>
      <w:tr>
        <w:trPr>
          <w:trHeight w:val="238" w:hRule="atLeast"/>
        </w:trPr>
        <w:tc>
          <w:tcPr>
            <w:tcW w:w="3827" w:type="dxa"/>
          </w:tcPr>
          <w:p>
            <w:pPr>
              <w:pStyle w:val="TableParagraph"/>
              <w:spacing w:before="23"/>
              <w:ind w:left="33"/>
              <w:jc w:val="left"/>
              <w:rPr>
                <w:sz w:val="17"/>
              </w:rPr>
            </w:pPr>
            <w:r>
              <w:rPr>
                <w:sz w:val="17"/>
              </w:rPr>
              <w:t>Redditi da lavoro dipendente</w:t>
            </w:r>
          </w:p>
        </w:tc>
        <w:tc>
          <w:tcPr>
            <w:tcW w:w="1733" w:type="dxa"/>
          </w:tcPr>
          <w:p>
            <w:pPr>
              <w:pStyle w:val="TableParagraph"/>
              <w:spacing w:before="23"/>
              <w:ind w:right="282"/>
              <w:rPr>
                <w:sz w:val="17"/>
              </w:rPr>
            </w:pPr>
            <w:r>
              <w:rPr>
                <w:sz w:val="17"/>
              </w:rPr>
              <w:t>0,3</w:t>
            </w:r>
          </w:p>
        </w:tc>
        <w:tc>
          <w:tcPr>
            <w:tcW w:w="967" w:type="dxa"/>
          </w:tcPr>
          <w:p>
            <w:pPr>
              <w:pStyle w:val="TableParagraph"/>
              <w:spacing w:before="23"/>
              <w:ind w:right="280"/>
              <w:rPr>
                <w:sz w:val="17"/>
              </w:rPr>
            </w:pPr>
            <w:r>
              <w:rPr>
                <w:sz w:val="17"/>
              </w:rPr>
              <w:t>1,0</w:t>
            </w:r>
          </w:p>
        </w:tc>
        <w:tc>
          <w:tcPr>
            <w:tcW w:w="965" w:type="dxa"/>
          </w:tcPr>
          <w:p>
            <w:pPr>
              <w:pStyle w:val="TableParagraph"/>
              <w:spacing w:before="23"/>
              <w:ind w:right="279"/>
              <w:rPr>
                <w:sz w:val="17"/>
              </w:rPr>
            </w:pPr>
            <w:r>
              <w:rPr>
                <w:sz w:val="17"/>
              </w:rPr>
              <w:t>-0,2</w:t>
            </w:r>
          </w:p>
        </w:tc>
        <w:tc>
          <w:tcPr>
            <w:tcW w:w="736" w:type="dxa"/>
          </w:tcPr>
          <w:p>
            <w:pPr>
              <w:pStyle w:val="TableParagraph"/>
              <w:spacing w:before="23"/>
              <w:ind w:right="51"/>
              <w:rPr>
                <w:sz w:val="17"/>
              </w:rPr>
            </w:pPr>
            <w:r>
              <w:rPr>
                <w:sz w:val="17"/>
              </w:rPr>
              <w:t>0,9</w:t>
            </w:r>
          </w:p>
        </w:tc>
      </w:tr>
      <w:tr>
        <w:trPr>
          <w:trHeight w:val="238" w:hRule="atLeast"/>
        </w:trPr>
        <w:tc>
          <w:tcPr>
            <w:tcW w:w="3827" w:type="dxa"/>
          </w:tcPr>
          <w:p>
            <w:pPr>
              <w:pStyle w:val="TableParagraph"/>
              <w:spacing w:before="22"/>
              <w:ind w:left="33"/>
              <w:jc w:val="left"/>
              <w:rPr>
                <w:sz w:val="17"/>
              </w:rPr>
            </w:pPr>
            <w:r>
              <w:rPr>
                <w:sz w:val="17"/>
              </w:rPr>
              <w:t>Consumi intermedi</w:t>
            </w:r>
          </w:p>
        </w:tc>
        <w:tc>
          <w:tcPr>
            <w:tcW w:w="1733" w:type="dxa"/>
          </w:tcPr>
          <w:p>
            <w:pPr>
              <w:pStyle w:val="TableParagraph"/>
              <w:spacing w:before="22"/>
              <w:ind w:right="282"/>
              <w:rPr>
                <w:sz w:val="17"/>
              </w:rPr>
            </w:pPr>
            <w:r>
              <w:rPr>
                <w:sz w:val="17"/>
              </w:rPr>
              <w:t>0,2</w:t>
            </w:r>
          </w:p>
        </w:tc>
        <w:tc>
          <w:tcPr>
            <w:tcW w:w="967" w:type="dxa"/>
          </w:tcPr>
          <w:p>
            <w:pPr>
              <w:pStyle w:val="TableParagraph"/>
              <w:spacing w:before="22"/>
              <w:ind w:right="280"/>
              <w:rPr>
                <w:sz w:val="17"/>
              </w:rPr>
            </w:pPr>
            <w:r>
              <w:rPr>
                <w:sz w:val="17"/>
              </w:rPr>
              <w:t>2,2</w:t>
            </w:r>
          </w:p>
        </w:tc>
        <w:tc>
          <w:tcPr>
            <w:tcW w:w="965" w:type="dxa"/>
          </w:tcPr>
          <w:p>
            <w:pPr>
              <w:pStyle w:val="TableParagraph"/>
              <w:spacing w:before="22"/>
              <w:ind w:right="279"/>
              <w:rPr>
                <w:sz w:val="17"/>
              </w:rPr>
            </w:pPr>
            <w:r>
              <w:rPr>
                <w:sz w:val="17"/>
              </w:rPr>
              <w:t>0,7</w:t>
            </w:r>
          </w:p>
        </w:tc>
        <w:tc>
          <w:tcPr>
            <w:tcW w:w="736" w:type="dxa"/>
          </w:tcPr>
          <w:p>
            <w:pPr>
              <w:pStyle w:val="TableParagraph"/>
              <w:spacing w:before="22"/>
              <w:ind w:right="51"/>
              <w:rPr>
                <w:sz w:val="17"/>
              </w:rPr>
            </w:pPr>
            <w:r>
              <w:rPr>
                <w:sz w:val="17"/>
              </w:rPr>
              <w:t>1,1</w:t>
            </w:r>
          </w:p>
        </w:tc>
      </w:tr>
      <w:tr>
        <w:trPr>
          <w:trHeight w:val="238" w:hRule="atLeast"/>
        </w:trPr>
        <w:tc>
          <w:tcPr>
            <w:tcW w:w="3827" w:type="dxa"/>
          </w:tcPr>
          <w:p>
            <w:pPr>
              <w:pStyle w:val="TableParagraph"/>
              <w:spacing w:before="23"/>
              <w:ind w:left="33"/>
              <w:jc w:val="left"/>
              <w:rPr>
                <w:sz w:val="17"/>
              </w:rPr>
            </w:pPr>
            <w:r>
              <w:rPr>
                <w:sz w:val="17"/>
              </w:rPr>
              <w:t>Prestazioni sociali</w:t>
            </w:r>
          </w:p>
        </w:tc>
        <w:tc>
          <w:tcPr>
            <w:tcW w:w="1733" w:type="dxa"/>
          </w:tcPr>
          <w:p>
            <w:pPr>
              <w:pStyle w:val="TableParagraph"/>
              <w:spacing w:before="23"/>
              <w:ind w:right="282"/>
              <w:rPr>
                <w:sz w:val="17"/>
              </w:rPr>
            </w:pPr>
            <w:r>
              <w:rPr>
                <w:sz w:val="17"/>
              </w:rPr>
              <w:t>3,9</w:t>
            </w:r>
          </w:p>
        </w:tc>
        <w:tc>
          <w:tcPr>
            <w:tcW w:w="967" w:type="dxa"/>
          </w:tcPr>
          <w:p>
            <w:pPr>
              <w:pStyle w:val="TableParagraph"/>
              <w:spacing w:before="23"/>
              <w:ind w:right="280"/>
              <w:rPr>
                <w:sz w:val="17"/>
              </w:rPr>
            </w:pPr>
            <w:r>
              <w:rPr>
                <w:sz w:val="17"/>
              </w:rPr>
              <w:t>3,3</w:t>
            </w:r>
          </w:p>
        </w:tc>
        <w:tc>
          <w:tcPr>
            <w:tcW w:w="965" w:type="dxa"/>
          </w:tcPr>
          <w:p>
            <w:pPr>
              <w:pStyle w:val="TableParagraph"/>
              <w:spacing w:before="23"/>
              <w:ind w:right="279"/>
              <w:rPr>
                <w:sz w:val="17"/>
              </w:rPr>
            </w:pPr>
            <w:r>
              <w:rPr>
                <w:sz w:val="17"/>
              </w:rPr>
              <w:t>3,2</w:t>
            </w:r>
          </w:p>
        </w:tc>
        <w:tc>
          <w:tcPr>
            <w:tcW w:w="736" w:type="dxa"/>
          </w:tcPr>
          <w:p>
            <w:pPr>
              <w:pStyle w:val="TableParagraph"/>
              <w:spacing w:before="23"/>
              <w:ind w:right="51"/>
              <w:rPr>
                <w:sz w:val="17"/>
              </w:rPr>
            </w:pPr>
            <w:r>
              <w:rPr>
                <w:sz w:val="17"/>
              </w:rPr>
              <w:t>2,5</w:t>
            </w:r>
          </w:p>
        </w:tc>
      </w:tr>
      <w:tr>
        <w:trPr>
          <w:trHeight w:val="237" w:hRule="atLeast"/>
        </w:trPr>
        <w:tc>
          <w:tcPr>
            <w:tcW w:w="3827" w:type="dxa"/>
          </w:tcPr>
          <w:p>
            <w:pPr>
              <w:pStyle w:val="TableParagraph"/>
              <w:tabs>
                <w:tab w:pos="724" w:val="left" w:leader="none"/>
              </w:tabs>
              <w:spacing w:before="22"/>
              <w:ind w:left="33"/>
              <w:jc w:val="left"/>
              <w:rPr>
                <w:sz w:val="17"/>
              </w:rPr>
            </w:pPr>
            <w:r>
              <w:rPr>
                <w:sz w:val="17"/>
              </w:rPr>
              <w:t>di</w:t>
            </w:r>
            <w:r>
              <w:rPr>
                <w:spacing w:val="-2"/>
                <w:sz w:val="17"/>
              </w:rPr>
              <w:t> </w:t>
            </w:r>
            <w:r>
              <w:rPr>
                <w:sz w:val="17"/>
              </w:rPr>
              <w:t>cui:</w:t>
              <w:tab/>
              <w:t>Pensioni</w:t>
            </w:r>
          </w:p>
        </w:tc>
        <w:tc>
          <w:tcPr>
            <w:tcW w:w="1733" w:type="dxa"/>
          </w:tcPr>
          <w:p>
            <w:pPr>
              <w:pStyle w:val="TableParagraph"/>
              <w:spacing w:before="22"/>
              <w:ind w:right="282"/>
              <w:rPr>
                <w:sz w:val="17"/>
              </w:rPr>
            </w:pPr>
            <w:r>
              <w:rPr>
                <w:sz w:val="17"/>
              </w:rPr>
              <w:t>2,7</w:t>
            </w:r>
          </w:p>
        </w:tc>
        <w:tc>
          <w:tcPr>
            <w:tcW w:w="967" w:type="dxa"/>
          </w:tcPr>
          <w:p>
            <w:pPr>
              <w:pStyle w:val="TableParagraph"/>
              <w:spacing w:before="22"/>
              <w:ind w:right="280"/>
              <w:rPr>
                <w:sz w:val="17"/>
              </w:rPr>
            </w:pPr>
            <w:r>
              <w:rPr>
                <w:sz w:val="17"/>
              </w:rPr>
              <w:t>3,2</w:t>
            </w:r>
          </w:p>
        </w:tc>
        <w:tc>
          <w:tcPr>
            <w:tcW w:w="965" w:type="dxa"/>
          </w:tcPr>
          <w:p>
            <w:pPr>
              <w:pStyle w:val="TableParagraph"/>
              <w:spacing w:before="22"/>
              <w:ind w:right="279"/>
              <w:rPr>
                <w:sz w:val="17"/>
              </w:rPr>
            </w:pPr>
            <w:r>
              <w:rPr>
                <w:sz w:val="17"/>
              </w:rPr>
              <w:t>3,8</w:t>
            </w:r>
          </w:p>
        </w:tc>
        <w:tc>
          <w:tcPr>
            <w:tcW w:w="736" w:type="dxa"/>
          </w:tcPr>
          <w:p>
            <w:pPr>
              <w:pStyle w:val="TableParagraph"/>
              <w:spacing w:before="22"/>
              <w:ind w:right="51"/>
              <w:rPr>
                <w:sz w:val="17"/>
              </w:rPr>
            </w:pPr>
            <w:r>
              <w:rPr>
                <w:sz w:val="17"/>
              </w:rPr>
              <w:t>2,9</w:t>
            </w:r>
          </w:p>
        </w:tc>
      </w:tr>
      <w:tr>
        <w:trPr>
          <w:trHeight w:val="238" w:hRule="atLeast"/>
        </w:trPr>
        <w:tc>
          <w:tcPr>
            <w:tcW w:w="3827" w:type="dxa"/>
          </w:tcPr>
          <w:p>
            <w:pPr>
              <w:pStyle w:val="TableParagraph"/>
              <w:spacing w:before="22"/>
              <w:ind w:left="741"/>
              <w:jc w:val="left"/>
              <w:rPr>
                <w:sz w:val="17"/>
              </w:rPr>
            </w:pPr>
            <w:r>
              <w:rPr>
                <w:sz w:val="17"/>
              </w:rPr>
              <w:t>Altre prestazioni sociali</w:t>
            </w:r>
          </w:p>
        </w:tc>
        <w:tc>
          <w:tcPr>
            <w:tcW w:w="1733" w:type="dxa"/>
          </w:tcPr>
          <w:p>
            <w:pPr>
              <w:pStyle w:val="TableParagraph"/>
              <w:spacing w:before="22"/>
              <w:ind w:right="282"/>
              <w:rPr>
                <w:sz w:val="17"/>
              </w:rPr>
            </w:pPr>
            <w:r>
              <w:rPr>
                <w:sz w:val="17"/>
              </w:rPr>
              <w:t>8,0</w:t>
            </w:r>
          </w:p>
        </w:tc>
        <w:tc>
          <w:tcPr>
            <w:tcW w:w="967" w:type="dxa"/>
          </w:tcPr>
          <w:p>
            <w:pPr>
              <w:pStyle w:val="TableParagraph"/>
              <w:spacing w:before="22"/>
              <w:ind w:right="280"/>
              <w:rPr>
                <w:sz w:val="17"/>
              </w:rPr>
            </w:pPr>
            <w:r>
              <w:rPr>
                <w:sz w:val="17"/>
              </w:rPr>
              <w:t>3,6</w:t>
            </w:r>
          </w:p>
        </w:tc>
        <w:tc>
          <w:tcPr>
            <w:tcW w:w="965" w:type="dxa"/>
          </w:tcPr>
          <w:p>
            <w:pPr>
              <w:pStyle w:val="TableParagraph"/>
              <w:spacing w:before="22"/>
              <w:ind w:right="279"/>
              <w:rPr>
                <w:sz w:val="17"/>
              </w:rPr>
            </w:pPr>
            <w:r>
              <w:rPr>
                <w:sz w:val="17"/>
              </w:rPr>
              <w:t>1,3</w:t>
            </w:r>
          </w:p>
        </w:tc>
        <w:tc>
          <w:tcPr>
            <w:tcW w:w="736" w:type="dxa"/>
          </w:tcPr>
          <w:p>
            <w:pPr>
              <w:pStyle w:val="TableParagraph"/>
              <w:spacing w:before="22"/>
              <w:ind w:right="51"/>
              <w:rPr>
                <w:sz w:val="17"/>
              </w:rPr>
            </w:pPr>
            <w:r>
              <w:rPr>
                <w:sz w:val="17"/>
              </w:rPr>
              <w:t>1,2</w:t>
            </w:r>
          </w:p>
        </w:tc>
      </w:tr>
      <w:tr>
        <w:trPr>
          <w:trHeight w:val="238" w:hRule="atLeast"/>
        </w:trPr>
        <w:tc>
          <w:tcPr>
            <w:tcW w:w="3827" w:type="dxa"/>
          </w:tcPr>
          <w:p>
            <w:pPr>
              <w:pStyle w:val="TableParagraph"/>
              <w:spacing w:before="23"/>
              <w:ind w:left="33"/>
              <w:jc w:val="left"/>
              <w:rPr>
                <w:sz w:val="17"/>
              </w:rPr>
            </w:pPr>
            <w:r>
              <w:rPr>
                <w:sz w:val="17"/>
              </w:rPr>
              <w:t>Altre spese correnti</w:t>
            </w:r>
          </w:p>
        </w:tc>
        <w:tc>
          <w:tcPr>
            <w:tcW w:w="1733" w:type="dxa"/>
          </w:tcPr>
          <w:p>
            <w:pPr>
              <w:pStyle w:val="TableParagraph"/>
              <w:spacing w:before="23"/>
              <w:ind w:right="282"/>
              <w:rPr>
                <w:sz w:val="17"/>
              </w:rPr>
            </w:pPr>
            <w:r>
              <w:rPr>
                <w:sz w:val="17"/>
              </w:rPr>
              <w:t>2,2</w:t>
            </w:r>
          </w:p>
        </w:tc>
        <w:tc>
          <w:tcPr>
            <w:tcW w:w="967" w:type="dxa"/>
          </w:tcPr>
          <w:p>
            <w:pPr>
              <w:pStyle w:val="TableParagraph"/>
              <w:spacing w:before="23"/>
              <w:ind w:right="280"/>
              <w:rPr>
                <w:sz w:val="17"/>
              </w:rPr>
            </w:pPr>
            <w:r>
              <w:rPr>
                <w:sz w:val="17"/>
              </w:rPr>
              <w:t>1,2</w:t>
            </w:r>
          </w:p>
        </w:tc>
        <w:tc>
          <w:tcPr>
            <w:tcW w:w="965" w:type="dxa"/>
          </w:tcPr>
          <w:p>
            <w:pPr>
              <w:pStyle w:val="TableParagraph"/>
              <w:spacing w:before="23"/>
              <w:ind w:right="279"/>
              <w:rPr>
                <w:sz w:val="17"/>
              </w:rPr>
            </w:pPr>
            <w:r>
              <w:rPr>
                <w:sz w:val="17"/>
              </w:rPr>
              <w:t>0,8</w:t>
            </w:r>
          </w:p>
        </w:tc>
        <w:tc>
          <w:tcPr>
            <w:tcW w:w="736" w:type="dxa"/>
          </w:tcPr>
          <w:p>
            <w:pPr>
              <w:pStyle w:val="TableParagraph"/>
              <w:spacing w:before="23"/>
              <w:ind w:right="51"/>
              <w:rPr>
                <w:sz w:val="17"/>
              </w:rPr>
            </w:pPr>
            <w:r>
              <w:rPr>
                <w:sz w:val="17"/>
              </w:rPr>
              <w:t>-0,1</w:t>
            </w:r>
          </w:p>
        </w:tc>
      </w:tr>
      <w:tr>
        <w:trPr>
          <w:trHeight w:val="357" w:hRule="atLeast"/>
        </w:trPr>
        <w:tc>
          <w:tcPr>
            <w:tcW w:w="3827" w:type="dxa"/>
          </w:tcPr>
          <w:p>
            <w:pPr>
              <w:pStyle w:val="TableParagraph"/>
              <w:spacing w:before="22"/>
              <w:ind w:left="33"/>
              <w:jc w:val="left"/>
              <w:rPr>
                <w:sz w:val="17"/>
              </w:rPr>
            </w:pPr>
            <w:r>
              <w:rPr>
                <w:sz w:val="17"/>
              </w:rPr>
              <w:t>Totale spese correnti al netto interessi</w:t>
            </w:r>
          </w:p>
        </w:tc>
        <w:tc>
          <w:tcPr>
            <w:tcW w:w="1733" w:type="dxa"/>
          </w:tcPr>
          <w:p>
            <w:pPr>
              <w:pStyle w:val="TableParagraph"/>
              <w:spacing w:before="22"/>
              <w:ind w:right="282"/>
              <w:rPr>
                <w:sz w:val="17"/>
              </w:rPr>
            </w:pPr>
            <w:r>
              <w:rPr>
                <w:sz w:val="17"/>
              </w:rPr>
              <w:t>2,2</w:t>
            </w:r>
          </w:p>
        </w:tc>
        <w:tc>
          <w:tcPr>
            <w:tcW w:w="967" w:type="dxa"/>
          </w:tcPr>
          <w:p>
            <w:pPr>
              <w:pStyle w:val="TableParagraph"/>
              <w:spacing w:before="22"/>
              <w:ind w:right="280"/>
              <w:rPr>
                <w:sz w:val="17"/>
              </w:rPr>
            </w:pPr>
            <w:r>
              <w:rPr>
                <w:sz w:val="17"/>
              </w:rPr>
              <w:t>2,4</w:t>
            </w:r>
          </w:p>
        </w:tc>
        <w:tc>
          <w:tcPr>
            <w:tcW w:w="965" w:type="dxa"/>
          </w:tcPr>
          <w:p>
            <w:pPr>
              <w:pStyle w:val="TableParagraph"/>
              <w:spacing w:before="22"/>
              <w:ind w:right="279"/>
              <w:rPr>
                <w:sz w:val="17"/>
              </w:rPr>
            </w:pPr>
            <w:r>
              <w:rPr>
                <w:sz w:val="17"/>
              </w:rPr>
              <w:t>1,7</w:t>
            </w:r>
          </w:p>
        </w:tc>
        <w:tc>
          <w:tcPr>
            <w:tcW w:w="736" w:type="dxa"/>
          </w:tcPr>
          <w:p>
            <w:pPr>
              <w:pStyle w:val="TableParagraph"/>
              <w:spacing w:before="22"/>
              <w:ind w:right="51"/>
              <w:rPr>
                <w:sz w:val="17"/>
              </w:rPr>
            </w:pPr>
            <w:r>
              <w:rPr>
                <w:sz w:val="17"/>
              </w:rPr>
              <w:t>1,6</w:t>
            </w:r>
          </w:p>
        </w:tc>
      </w:tr>
      <w:tr>
        <w:trPr>
          <w:trHeight w:val="477" w:hRule="atLeast"/>
        </w:trPr>
        <w:tc>
          <w:tcPr>
            <w:tcW w:w="3827" w:type="dxa"/>
          </w:tcPr>
          <w:p>
            <w:pPr>
              <w:pStyle w:val="TableParagraph"/>
              <w:spacing w:before="142"/>
              <w:ind w:left="33"/>
              <w:jc w:val="left"/>
              <w:rPr>
                <w:sz w:val="17"/>
              </w:rPr>
            </w:pPr>
            <w:r>
              <w:rPr>
                <w:sz w:val="17"/>
              </w:rPr>
              <w:t>Interessi passivi</w:t>
            </w:r>
          </w:p>
        </w:tc>
        <w:tc>
          <w:tcPr>
            <w:tcW w:w="1733" w:type="dxa"/>
          </w:tcPr>
          <w:p>
            <w:pPr>
              <w:pStyle w:val="TableParagraph"/>
              <w:spacing w:before="142"/>
              <w:ind w:right="282"/>
              <w:rPr>
                <w:sz w:val="17"/>
              </w:rPr>
            </w:pPr>
            <w:r>
              <w:rPr>
                <w:sz w:val="17"/>
              </w:rPr>
              <w:t>-5,2</w:t>
            </w:r>
          </w:p>
        </w:tc>
        <w:tc>
          <w:tcPr>
            <w:tcW w:w="967" w:type="dxa"/>
          </w:tcPr>
          <w:p>
            <w:pPr>
              <w:pStyle w:val="TableParagraph"/>
              <w:spacing w:before="142"/>
              <w:ind w:right="280"/>
              <w:rPr>
                <w:sz w:val="17"/>
              </w:rPr>
            </w:pPr>
            <w:r>
              <w:rPr>
                <w:sz w:val="17"/>
              </w:rPr>
              <w:t>-3,4</w:t>
            </w:r>
          </w:p>
        </w:tc>
        <w:tc>
          <w:tcPr>
            <w:tcW w:w="965" w:type="dxa"/>
          </w:tcPr>
          <w:p>
            <w:pPr>
              <w:pStyle w:val="TableParagraph"/>
              <w:spacing w:before="142"/>
              <w:ind w:right="279"/>
              <w:rPr>
                <w:sz w:val="17"/>
              </w:rPr>
            </w:pPr>
            <w:r>
              <w:rPr>
                <w:sz w:val="17"/>
              </w:rPr>
              <w:t>-2,5</w:t>
            </w:r>
          </w:p>
        </w:tc>
        <w:tc>
          <w:tcPr>
            <w:tcW w:w="736" w:type="dxa"/>
          </w:tcPr>
          <w:p>
            <w:pPr>
              <w:pStyle w:val="TableParagraph"/>
              <w:spacing w:before="142"/>
              <w:ind w:right="51"/>
              <w:rPr>
                <w:sz w:val="17"/>
              </w:rPr>
            </w:pPr>
            <w:r>
              <w:rPr>
                <w:sz w:val="17"/>
              </w:rPr>
              <w:t>-2,7</w:t>
            </w:r>
          </w:p>
        </w:tc>
      </w:tr>
      <w:tr>
        <w:trPr>
          <w:trHeight w:val="359" w:hRule="atLeast"/>
        </w:trPr>
        <w:tc>
          <w:tcPr>
            <w:tcW w:w="3827" w:type="dxa"/>
          </w:tcPr>
          <w:p>
            <w:pPr>
              <w:pStyle w:val="TableParagraph"/>
              <w:spacing w:before="142"/>
              <w:ind w:left="33"/>
              <w:jc w:val="left"/>
              <w:rPr>
                <w:sz w:val="17"/>
              </w:rPr>
            </w:pPr>
            <w:r>
              <w:rPr>
                <w:sz w:val="17"/>
              </w:rPr>
              <w:t>Totale spese correnti</w:t>
            </w:r>
          </w:p>
        </w:tc>
        <w:tc>
          <w:tcPr>
            <w:tcW w:w="1733" w:type="dxa"/>
          </w:tcPr>
          <w:p>
            <w:pPr>
              <w:pStyle w:val="TableParagraph"/>
              <w:spacing w:before="142"/>
              <w:ind w:right="282"/>
              <w:rPr>
                <w:sz w:val="17"/>
              </w:rPr>
            </w:pPr>
            <w:r>
              <w:rPr>
                <w:sz w:val="17"/>
              </w:rPr>
              <w:t>1,6</w:t>
            </w:r>
          </w:p>
        </w:tc>
        <w:tc>
          <w:tcPr>
            <w:tcW w:w="967" w:type="dxa"/>
          </w:tcPr>
          <w:p>
            <w:pPr>
              <w:pStyle w:val="TableParagraph"/>
              <w:spacing w:before="142"/>
              <w:ind w:right="280"/>
              <w:rPr>
                <w:sz w:val="17"/>
              </w:rPr>
            </w:pPr>
            <w:r>
              <w:rPr>
                <w:sz w:val="17"/>
              </w:rPr>
              <w:t>1,9</w:t>
            </w:r>
          </w:p>
        </w:tc>
        <w:tc>
          <w:tcPr>
            <w:tcW w:w="965" w:type="dxa"/>
          </w:tcPr>
          <w:p>
            <w:pPr>
              <w:pStyle w:val="TableParagraph"/>
              <w:spacing w:before="142"/>
              <w:ind w:right="279"/>
              <w:rPr>
                <w:sz w:val="17"/>
              </w:rPr>
            </w:pPr>
            <w:r>
              <w:rPr>
                <w:sz w:val="17"/>
              </w:rPr>
              <w:t>1,4</w:t>
            </w:r>
          </w:p>
        </w:tc>
        <w:tc>
          <w:tcPr>
            <w:tcW w:w="736" w:type="dxa"/>
          </w:tcPr>
          <w:p>
            <w:pPr>
              <w:pStyle w:val="TableParagraph"/>
              <w:spacing w:before="142"/>
              <w:ind w:right="51"/>
              <w:rPr>
                <w:sz w:val="17"/>
              </w:rPr>
            </w:pPr>
            <w:r>
              <w:rPr>
                <w:sz w:val="17"/>
              </w:rPr>
              <w:t>1,3</w:t>
            </w:r>
          </w:p>
        </w:tc>
      </w:tr>
      <w:tr>
        <w:trPr>
          <w:trHeight w:val="359" w:hRule="atLeast"/>
        </w:trPr>
        <w:tc>
          <w:tcPr>
            <w:tcW w:w="3827" w:type="dxa"/>
          </w:tcPr>
          <w:p>
            <w:pPr>
              <w:pStyle w:val="TableParagraph"/>
              <w:tabs>
                <w:tab w:pos="741" w:val="left" w:leader="none"/>
              </w:tabs>
              <w:spacing w:before="24"/>
              <w:ind w:left="33"/>
              <w:jc w:val="left"/>
              <w:rPr>
                <w:sz w:val="17"/>
              </w:rPr>
            </w:pPr>
            <w:r>
              <w:rPr>
                <w:sz w:val="17"/>
              </w:rPr>
              <w:t>di</w:t>
            </w:r>
            <w:r>
              <w:rPr>
                <w:spacing w:val="-2"/>
                <w:sz w:val="17"/>
              </w:rPr>
              <w:t> </w:t>
            </w:r>
            <w:r>
              <w:rPr>
                <w:sz w:val="17"/>
              </w:rPr>
              <w:t>cui:</w:t>
              <w:tab/>
              <w:t>Spesa sanitaria</w:t>
            </w:r>
          </w:p>
        </w:tc>
        <w:tc>
          <w:tcPr>
            <w:tcW w:w="1733" w:type="dxa"/>
          </w:tcPr>
          <w:p>
            <w:pPr>
              <w:pStyle w:val="TableParagraph"/>
              <w:spacing w:before="24"/>
              <w:ind w:right="282"/>
              <w:rPr>
                <w:sz w:val="17"/>
              </w:rPr>
            </w:pPr>
            <w:r>
              <w:rPr>
                <w:sz w:val="17"/>
              </w:rPr>
              <w:t>2,7</w:t>
            </w:r>
          </w:p>
        </w:tc>
        <w:tc>
          <w:tcPr>
            <w:tcW w:w="967" w:type="dxa"/>
          </w:tcPr>
          <w:p>
            <w:pPr>
              <w:pStyle w:val="TableParagraph"/>
              <w:spacing w:before="24"/>
              <w:ind w:right="280"/>
              <w:rPr>
                <w:sz w:val="17"/>
              </w:rPr>
            </w:pPr>
            <w:r>
              <w:rPr>
                <w:sz w:val="17"/>
              </w:rPr>
              <w:t>1,7</w:t>
            </w:r>
          </w:p>
        </w:tc>
        <w:tc>
          <w:tcPr>
            <w:tcW w:w="965" w:type="dxa"/>
          </w:tcPr>
          <w:p>
            <w:pPr>
              <w:pStyle w:val="TableParagraph"/>
              <w:spacing w:before="24"/>
              <w:ind w:right="279"/>
              <w:rPr>
                <w:sz w:val="17"/>
              </w:rPr>
            </w:pPr>
            <w:r>
              <w:rPr>
                <w:sz w:val="17"/>
              </w:rPr>
              <w:t>1,2</w:t>
            </w:r>
          </w:p>
        </w:tc>
        <w:tc>
          <w:tcPr>
            <w:tcW w:w="736" w:type="dxa"/>
          </w:tcPr>
          <w:p>
            <w:pPr>
              <w:pStyle w:val="TableParagraph"/>
              <w:spacing w:before="24"/>
              <w:ind w:right="51"/>
              <w:rPr>
                <w:sz w:val="17"/>
              </w:rPr>
            </w:pPr>
            <w:r>
              <w:rPr>
                <w:sz w:val="17"/>
              </w:rPr>
              <w:t>1.4</w:t>
            </w:r>
          </w:p>
        </w:tc>
      </w:tr>
      <w:tr>
        <w:trPr>
          <w:trHeight w:val="357" w:hRule="atLeast"/>
        </w:trPr>
        <w:tc>
          <w:tcPr>
            <w:tcW w:w="3827" w:type="dxa"/>
          </w:tcPr>
          <w:p>
            <w:pPr>
              <w:pStyle w:val="TableParagraph"/>
              <w:spacing w:before="142"/>
              <w:ind w:left="33"/>
              <w:jc w:val="left"/>
              <w:rPr>
                <w:sz w:val="17"/>
              </w:rPr>
            </w:pPr>
            <w:r>
              <w:rPr>
                <w:sz w:val="17"/>
              </w:rPr>
              <w:t>Totale spese in conto capitale</w:t>
            </w:r>
          </w:p>
        </w:tc>
        <w:tc>
          <w:tcPr>
            <w:tcW w:w="1733" w:type="dxa"/>
          </w:tcPr>
          <w:p>
            <w:pPr>
              <w:pStyle w:val="TableParagraph"/>
              <w:spacing w:before="142"/>
              <w:ind w:right="282"/>
              <w:rPr>
                <w:sz w:val="17"/>
              </w:rPr>
            </w:pPr>
            <w:r>
              <w:rPr>
                <w:sz w:val="17"/>
              </w:rPr>
              <w:t>1,8</w:t>
            </w:r>
          </w:p>
        </w:tc>
        <w:tc>
          <w:tcPr>
            <w:tcW w:w="967" w:type="dxa"/>
          </w:tcPr>
          <w:p>
            <w:pPr>
              <w:pStyle w:val="TableParagraph"/>
              <w:spacing w:before="142"/>
              <w:ind w:right="280"/>
              <w:rPr>
                <w:sz w:val="17"/>
              </w:rPr>
            </w:pPr>
            <w:r>
              <w:rPr>
                <w:sz w:val="17"/>
              </w:rPr>
              <w:t>0,6</w:t>
            </w:r>
          </w:p>
        </w:tc>
        <w:tc>
          <w:tcPr>
            <w:tcW w:w="965" w:type="dxa"/>
          </w:tcPr>
          <w:p>
            <w:pPr>
              <w:pStyle w:val="TableParagraph"/>
              <w:spacing w:before="142"/>
              <w:ind w:right="279"/>
              <w:rPr>
                <w:sz w:val="17"/>
              </w:rPr>
            </w:pPr>
            <w:r>
              <w:rPr>
                <w:sz w:val="17"/>
              </w:rPr>
              <w:t>6,0</w:t>
            </w:r>
          </w:p>
        </w:tc>
        <w:tc>
          <w:tcPr>
            <w:tcW w:w="736" w:type="dxa"/>
          </w:tcPr>
          <w:p>
            <w:pPr>
              <w:pStyle w:val="TableParagraph"/>
              <w:spacing w:before="142"/>
              <w:ind w:right="51"/>
              <w:rPr>
                <w:sz w:val="17"/>
              </w:rPr>
            </w:pPr>
            <w:r>
              <w:rPr>
                <w:sz w:val="17"/>
              </w:rPr>
              <w:t>-1,8</w:t>
            </w:r>
          </w:p>
        </w:tc>
      </w:tr>
      <w:tr>
        <w:trPr>
          <w:trHeight w:val="238" w:hRule="atLeast"/>
        </w:trPr>
        <w:tc>
          <w:tcPr>
            <w:tcW w:w="3827" w:type="dxa"/>
          </w:tcPr>
          <w:p>
            <w:pPr>
              <w:pStyle w:val="TableParagraph"/>
              <w:spacing w:before="22"/>
              <w:ind w:left="739"/>
              <w:jc w:val="left"/>
              <w:rPr>
                <w:sz w:val="17"/>
              </w:rPr>
            </w:pPr>
            <w:r>
              <w:rPr>
                <w:sz w:val="17"/>
              </w:rPr>
              <w:t>Investimenti fissi lordi</w:t>
            </w:r>
          </w:p>
        </w:tc>
        <w:tc>
          <w:tcPr>
            <w:tcW w:w="1733" w:type="dxa"/>
          </w:tcPr>
          <w:p>
            <w:pPr>
              <w:pStyle w:val="TableParagraph"/>
              <w:spacing w:before="22"/>
              <w:ind w:right="282"/>
              <w:rPr>
                <w:sz w:val="17"/>
              </w:rPr>
            </w:pPr>
            <w:r>
              <w:rPr>
                <w:sz w:val="17"/>
              </w:rPr>
              <w:t>7,7</w:t>
            </w:r>
          </w:p>
        </w:tc>
        <w:tc>
          <w:tcPr>
            <w:tcW w:w="967" w:type="dxa"/>
          </w:tcPr>
          <w:p>
            <w:pPr>
              <w:pStyle w:val="TableParagraph"/>
              <w:spacing w:before="22"/>
              <w:ind w:right="280"/>
              <w:rPr>
                <w:sz w:val="17"/>
              </w:rPr>
            </w:pPr>
            <w:r>
              <w:rPr>
                <w:sz w:val="17"/>
              </w:rPr>
              <w:t>3,7</w:t>
            </w:r>
          </w:p>
        </w:tc>
        <w:tc>
          <w:tcPr>
            <w:tcW w:w="965" w:type="dxa"/>
          </w:tcPr>
          <w:p>
            <w:pPr>
              <w:pStyle w:val="TableParagraph"/>
              <w:spacing w:before="22"/>
              <w:ind w:right="279"/>
              <w:rPr>
                <w:sz w:val="17"/>
              </w:rPr>
            </w:pPr>
            <w:r>
              <w:rPr>
                <w:sz w:val="17"/>
              </w:rPr>
              <w:t>9,5</w:t>
            </w:r>
          </w:p>
        </w:tc>
        <w:tc>
          <w:tcPr>
            <w:tcW w:w="736" w:type="dxa"/>
          </w:tcPr>
          <w:p>
            <w:pPr>
              <w:pStyle w:val="TableParagraph"/>
              <w:spacing w:before="22"/>
              <w:ind w:right="51"/>
              <w:rPr>
                <w:sz w:val="17"/>
              </w:rPr>
            </w:pPr>
            <w:r>
              <w:rPr>
                <w:sz w:val="17"/>
              </w:rPr>
              <w:t>2,0</w:t>
            </w:r>
          </w:p>
        </w:tc>
      </w:tr>
      <w:tr>
        <w:trPr>
          <w:trHeight w:val="238" w:hRule="atLeast"/>
        </w:trPr>
        <w:tc>
          <w:tcPr>
            <w:tcW w:w="3827" w:type="dxa"/>
          </w:tcPr>
          <w:p>
            <w:pPr>
              <w:pStyle w:val="TableParagraph"/>
              <w:spacing w:before="23"/>
              <w:ind w:left="741"/>
              <w:jc w:val="left"/>
              <w:rPr>
                <w:sz w:val="17"/>
              </w:rPr>
            </w:pPr>
            <w:r>
              <w:rPr>
                <w:sz w:val="17"/>
              </w:rPr>
              <w:t>Contributi in c/capitale</w:t>
            </w:r>
          </w:p>
        </w:tc>
        <w:tc>
          <w:tcPr>
            <w:tcW w:w="1733" w:type="dxa"/>
          </w:tcPr>
          <w:p>
            <w:pPr>
              <w:pStyle w:val="TableParagraph"/>
              <w:spacing w:before="23"/>
              <w:ind w:right="282"/>
              <w:rPr>
                <w:sz w:val="17"/>
              </w:rPr>
            </w:pPr>
            <w:r>
              <w:rPr>
                <w:sz w:val="17"/>
              </w:rPr>
              <w:t>2,0</w:t>
            </w:r>
          </w:p>
        </w:tc>
        <w:tc>
          <w:tcPr>
            <w:tcW w:w="967" w:type="dxa"/>
          </w:tcPr>
          <w:p>
            <w:pPr>
              <w:pStyle w:val="TableParagraph"/>
              <w:spacing w:before="23"/>
              <w:ind w:right="280"/>
              <w:rPr>
                <w:sz w:val="17"/>
              </w:rPr>
            </w:pPr>
            <w:r>
              <w:rPr>
                <w:sz w:val="17"/>
              </w:rPr>
              <w:t>-4,7</w:t>
            </w:r>
          </w:p>
        </w:tc>
        <w:tc>
          <w:tcPr>
            <w:tcW w:w="965" w:type="dxa"/>
          </w:tcPr>
          <w:p>
            <w:pPr>
              <w:pStyle w:val="TableParagraph"/>
              <w:spacing w:before="23"/>
              <w:ind w:right="279"/>
              <w:rPr>
                <w:sz w:val="17"/>
              </w:rPr>
            </w:pPr>
            <w:r>
              <w:rPr>
                <w:sz w:val="17"/>
              </w:rPr>
              <w:t>-0,2</w:t>
            </w:r>
          </w:p>
        </w:tc>
        <w:tc>
          <w:tcPr>
            <w:tcW w:w="736" w:type="dxa"/>
          </w:tcPr>
          <w:p>
            <w:pPr>
              <w:pStyle w:val="TableParagraph"/>
              <w:spacing w:before="23"/>
              <w:ind w:right="51"/>
              <w:rPr>
                <w:sz w:val="17"/>
              </w:rPr>
            </w:pPr>
            <w:r>
              <w:rPr>
                <w:sz w:val="17"/>
              </w:rPr>
              <w:t>-6,9</w:t>
            </w:r>
          </w:p>
        </w:tc>
      </w:tr>
      <w:tr>
        <w:trPr>
          <w:trHeight w:val="357" w:hRule="atLeast"/>
        </w:trPr>
        <w:tc>
          <w:tcPr>
            <w:tcW w:w="3827" w:type="dxa"/>
          </w:tcPr>
          <w:p>
            <w:pPr>
              <w:pStyle w:val="TableParagraph"/>
              <w:spacing w:before="22"/>
              <w:ind w:left="741"/>
              <w:jc w:val="left"/>
              <w:rPr>
                <w:sz w:val="17"/>
              </w:rPr>
            </w:pPr>
            <w:r>
              <w:rPr>
                <w:sz w:val="17"/>
              </w:rPr>
              <w:t>Altri trasferimenti</w:t>
            </w:r>
          </w:p>
        </w:tc>
        <w:tc>
          <w:tcPr>
            <w:tcW w:w="1733" w:type="dxa"/>
          </w:tcPr>
          <w:p>
            <w:pPr>
              <w:pStyle w:val="TableParagraph"/>
              <w:spacing w:before="22"/>
              <w:ind w:right="282"/>
              <w:rPr>
                <w:sz w:val="17"/>
              </w:rPr>
            </w:pPr>
            <w:r>
              <w:rPr>
                <w:sz w:val="17"/>
              </w:rPr>
              <w:t>-29,2</w:t>
            </w:r>
          </w:p>
        </w:tc>
        <w:tc>
          <w:tcPr>
            <w:tcW w:w="967" w:type="dxa"/>
          </w:tcPr>
          <w:p>
            <w:pPr>
              <w:pStyle w:val="TableParagraph"/>
              <w:spacing w:before="22"/>
              <w:ind w:right="280"/>
              <w:rPr>
                <w:sz w:val="17"/>
              </w:rPr>
            </w:pPr>
            <w:r>
              <w:rPr>
                <w:sz w:val="17"/>
              </w:rPr>
              <w:t>-9,0</w:t>
            </w:r>
          </w:p>
        </w:tc>
        <w:tc>
          <w:tcPr>
            <w:tcW w:w="965" w:type="dxa"/>
          </w:tcPr>
          <w:p>
            <w:pPr>
              <w:pStyle w:val="TableParagraph"/>
              <w:spacing w:before="22"/>
              <w:ind w:right="279"/>
              <w:rPr>
                <w:sz w:val="17"/>
              </w:rPr>
            </w:pPr>
            <w:r>
              <w:rPr>
                <w:sz w:val="17"/>
              </w:rPr>
              <w:t>-7,4</w:t>
            </w:r>
          </w:p>
        </w:tc>
        <w:tc>
          <w:tcPr>
            <w:tcW w:w="736" w:type="dxa"/>
          </w:tcPr>
          <w:p>
            <w:pPr>
              <w:pStyle w:val="TableParagraph"/>
              <w:spacing w:before="22"/>
              <w:ind w:right="51"/>
              <w:rPr>
                <w:sz w:val="17"/>
              </w:rPr>
            </w:pPr>
            <w:r>
              <w:rPr>
                <w:sz w:val="17"/>
              </w:rPr>
              <w:t>-27,4</w:t>
            </w:r>
          </w:p>
        </w:tc>
      </w:tr>
      <w:tr>
        <w:trPr>
          <w:trHeight w:val="358" w:hRule="atLeast"/>
        </w:trPr>
        <w:tc>
          <w:tcPr>
            <w:tcW w:w="3827" w:type="dxa"/>
          </w:tcPr>
          <w:p>
            <w:pPr>
              <w:pStyle w:val="TableParagraph"/>
              <w:spacing w:before="142"/>
              <w:ind w:left="33"/>
              <w:jc w:val="left"/>
              <w:rPr>
                <w:sz w:val="17"/>
              </w:rPr>
            </w:pPr>
            <w:r>
              <w:rPr>
                <w:sz w:val="17"/>
              </w:rPr>
              <w:t>Totale spese finali al netto di interessi</w:t>
            </w:r>
          </w:p>
        </w:tc>
        <w:tc>
          <w:tcPr>
            <w:tcW w:w="1733" w:type="dxa"/>
          </w:tcPr>
          <w:p>
            <w:pPr>
              <w:pStyle w:val="TableParagraph"/>
              <w:spacing w:before="142"/>
              <w:ind w:right="282"/>
              <w:rPr>
                <w:sz w:val="17"/>
              </w:rPr>
            </w:pPr>
            <w:r>
              <w:rPr>
                <w:sz w:val="17"/>
              </w:rPr>
              <w:t>2,2</w:t>
            </w:r>
          </w:p>
        </w:tc>
        <w:tc>
          <w:tcPr>
            <w:tcW w:w="967" w:type="dxa"/>
          </w:tcPr>
          <w:p>
            <w:pPr>
              <w:pStyle w:val="TableParagraph"/>
              <w:spacing w:before="142"/>
              <w:ind w:right="280"/>
              <w:rPr>
                <w:sz w:val="17"/>
              </w:rPr>
            </w:pPr>
            <w:r>
              <w:rPr>
                <w:sz w:val="17"/>
              </w:rPr>
              <w:t>2,2</w:t>
            </w:r>
          </w:p>
        </w:tc>
        <w:tc>
          <w:tcPr>
            <w:tcW w:w="965" w:type="dxa"/>
          </w:tcPr>
          <w:p>
            <w:pPr>
              <w:pStyle w:val="TableParagraph"/>
              <w:spacing w:before="142"/>
              <w:ind w:right="279"/>
              <w:rPr>
                <w:sz w:val="17"/>
              </w:rPr>
            </w:pPr>
            <w:r>
              <w:rPr>
                <w:sz w:val="17"/>
              </w:rPr>
              <w:t>2,0</w:t>
            </w:r>
          </w:p>
        </w:tc>
        <w:tc>
          <w:tcPr>
            <w:tcW w:w="736" w:type="dxa"/>
          </w:tcPr>
          <w:p>
            <w:pPr>
              <w:pStyle w:val="TableParagraph"/>
              <w:spacing w:before="142"/>
              <w:ind w:right="51"/>
              <w:rPr>
                <w:sz w:val="17"/>
              </w:rPr>
            </w:pPr>
            <w:r>
              <w:rPr>
                <w:sz w:val="17"/>
              </w:rPr>
              <w:t>1,4</w:t>
            </w:r>
          </w:p>
        </w:tc>
      </w:tr>
      <w:tr>
        <w:trPr>
          <w:trHeight w:val="493" w:hRule="atLeast"/>
        </w:trPr>
        <w:tc>
          <w:tcPr>
            <w:tcW w:w="3827" w:type="dxa"/>
            <w:tcBorders>
              <w:bottom w:val="single" w:sz="4" w:space="0" w:color="000000"/>
            </w:tcBorders>
          </w:tcPr>
          <w:p>
            <w:pPr>
              <w:pStyle w:val="TableParagraph"/>
              <w:spacing w:before="23"/>
              <w:ind w:left="38"/>
              <w:jc w:val="left"/>
              <w:rPr>
                <w:sz w:val="17"/>
              </w:rPr>
            </w:pPr>
            <w:r>
              <w:rPr>
                <w:sz w:val="17"/>
              </w:rPr>
              <w:t>Totale spese finali</w:t>
            </w:r>
          </w:p>
        </w:tc>
        <w:tc>
          <w:tcPr>
            <w:tcW w:w="1733" w:type="dxa"/>
            <w:tcBorders>
              <w:bottom w:val="single" w:sz="4" w:space="0" w:color="000000"/>
            </w:tcBorders>
          </w:tcPr>
          <w:p>
            <w:pPr>
              <w:pStyle w:val="TableParagraph"/>
              <w:spacing w:before="23"/>
              <w:ind w:right="282"/>
              <w:rPr>
                <w:sz w:val="17"/>
              </w:rPr>
            </w:pPr>
            <w:r>
              <w:rPr>
                <w:sz w:val="17"/>
              </w:rPr>
              <w:t>1,6</w:t>
            </w:r>
          </w:p>
        </w:tc>
        <w:tc>
          <w:tcPr>
            <w:tcW w:w="967" w:type="dxa"/>
            <w:tcBorders>
              <w:bottom w:val="single" w:sz="4" w:space="0" w:color="000000"/>
            </w:tcBorders>
          </w:tcPr>
          <w:p>
            <w:pPr>
              <w:pStyle w:val="TableParagraph"/>
              <w:spacing w:before="23"/>
              <w:ind w:right="280"/>
              <w:rPr>
                <w:sz w:val="17"/>
              </w:rPr>
            </w:pPr>
            <w:r>
              <w:rPr>
                <w:sz w:val="17"/>
              </w:rPr>
              <w:t>1,8</w:t>
            </w:r>
          </w:p>
        </w:tc>
        <w:tc>
          <w:tcPr>
            <w:tcW w:w="965" w:type="dxa"/>
            <w:tcBorders>
              <w:bottom w:val="single" w:sz="4" w:space="0" w:color="000000"/>
            </w:tcBorders>
          </w:tcPr>
          <w:p>
            <w:pPr>
              <w:pStyle w:val="TableParagraph"/>
              <w:spacing w:before="23"/>
              <w:ind w:right="279"/>
              <w:rPr>
                <w:sz w:val="17"/>
              </w:rPr>
            </w:pPr>
            <w:r>
              <w:rPr>
                <w:sz w:val="17"/>
              </w:rPr>
              <w:t>1,7</w:t>
            </w:r>
          </w:p>
        </w:tc>
        <w:tc>
          <w:tcPr>
            <w:tcW w:w="736" w:type="dxa"/>
            <w:tcBorders>
              <w:bottom w:val="single" w:sz="4" w:space="0" w:color="000000"/>
            </w:tcBorders>
          </w:tcPr>
          <w:p>
            <w:pPr>
              <w:pStyle w:val="TableParagraph"/>
              <w:spacing w:before="23"/>
              <w:ind w:right="51"/>
              <w:rPr>
                <w:sz w:val="17"/>
              </w:rPr>
            </w:pPr>
            <w:r>
              <w:rPr>
                <w:sz w:val="17"/>
              </w:rPr>
              <w:t>1,1</w:t>
            </w:r>
          </w:p>
        </w:tc>
      </w:tr>
      <w:tr>
        <w:trPr>
          <w:trHeight w:val="461" w:hRule="atLeast"/>
        </w:trPr>
        <w:tc>
          <w:tcPr>
            <w:tcW w:w="3827" w:type="dxa"/>
            <w:tcBorders>
              <w:top w:val="single" w:sz="4" w:space="0" w:color="000000"/>
            </w:tcBorders>
          </w:tcPr>
          <w:p>
            <w:pPr>
              <w:pStyle w:val="TableParagraph"/>
              <w:spacing w:before="7"/>
              <w:ind w:left="33"/>
              <w:jc w:val="left"/>
              <w:rPr>
                <w:sz w:val="17"/>
              </w:rPr>
            </w:pPr>
            <w:r>
              <w:rPr>
                <w:sz w:val="17"/>
              </w:rPr>
              <w:t>ENTRATE</w:t>
            </w:r>
          </w:p>
          <w:p>
            <w:pPr>
              <w:pStyle w:val="TableParagraph"/>
              <w:spacing w:before="45"/>
              <w:ind w:left="33"/>
              <w:jc w:val="left"/>
              <w:rPr>
                <w:sz w:val="17"/>
              </w:rPr>
            </w:pPr>
            <w:r>
              <w:rPr>
                <w:sz w:val="17"/>
              </w:rPr>
              <w:t>Totale entrate tributarie</w:t>
            </w:r>
          </w:p>
        </w:tc>
        <w:tc>
          <w:tcPr>
            <w:tcW w:w="1733" w:type="dxa"/>
            <w:tcBorders>
              <w:top w:val="single" w:sz="4" w:space="0" w:color="000000"/>
            </w:tcBorders>
          </w:tcPr>
          <w:p>
            <w:pPr>
              <w:pStyle w:val="TableParagraph"/>
              <w:spacing w:before="3"/>
              <w:jc w:val="left"/>
              <w:rPr>
                <w:rFonts w:ascii="Times New Roman"/>
                <w:sz w:val="21"/>
              </w:rPr>
            </w:pPr>
          </w:p>
          <w:p>
            <w:pPr>
              <w:pStyle w:val="TableParagraph"/>
              <w:ind w:right="282"/>
              <w:rPr>
                <w:sz w:val="17"/>
              </w:rPr>
            </w:pPr>
            <w:r>
              <w:rPr>
                <w:sz w:val="17"/>
              </w:rPr>
              <w:t>0,5</w:t>
            </w:r>
          </w:p>
        </w:tc>
        <w:tc>
          <w:tcPr>
            <w:tcW w:w="967" w:type="dxa"/>
            <w:tcBorders>
              <w:top w:val="single" w:sz="4" w:space="0" w:color="000000"/>
            </w:tcBorders>
          </w:tcPr>
          <w:p>
            <w:pPr>
              <w:pStyle w:val="TableParagraph"/>
              <w:spacing w:before="3"/>
              <w:jc w:val="left"/>
              <w:rPr>
                <w:rFonts w:ascii="Times New Roman"/>
                <w:sz w:val="21"/>
              </w:rPr>
            </w:pPr>
          </w:p>
          <w:p>
            <w:pPr>
              <w:pStyle w:val="TableParagraph"/>
              <w:ind w:right="280"/>
              <w:rPr>
                <w:sz w:val="17"/>
              </w:rPr>
            </w:pPr>
            <w:r>
              <w:rPr>
                <w:sz w:val="17"/>
              </w:rPr>
              <w:t>5,0</w:t>
            </w:r>
          </w:p>
        </w:tc>
        <w:tc>
          <w:tcPr>
            <w:tcW w:w="965" w:type="dxa"/>
            <w:tcBorders>
              <w:top w:val="single" w:sz="4" w:space="0" w:color="000000"/>
            </w:tcBorders>
          </w:tcPr>
          <w:p>
            <w:pPr>
              <w:pStyle w:val="TableParagraph"/>
              <w:spacing w:before="3"/>
              <w:jc w:val="left"/>
              <w:rPr>
                <w:rFonts w:ascii="Times New Roman"/>
                <w:sz w:val="21"/>
              </w:rPr>
            </w:pPr>
          </w:p>
          <w:p>
            <w:pPr>
              <w:pStyle w:val="TableParagraph"/>
              <w:ind w:right="279"/>
              <w:rPr>
                <w:sz w:val="17"/>
              </w:rPr>
            </w:pPr>
            <w:r>
              <w:rPr>
                <w:sz w:val="17"/>
              </w:rPr>
              <w:t>2,7</w:t>
            </w:r>
          </w:p>
        </w:tc>
        <w:tc>
          <w:tcPr>
            <w:tcW w:w="736" w:type="dxa"/>
            <w:tcBorders>
              <w:top w:val="single" w:sz="4" w:space="0" w:color="000000"/>
            </w:tcBorders>
          </w:tcPr>
          <w:p>
            <w:pPr>
              <w:pStyle w:val="TableParagraph"/>
              <w:spacing w:before="3"/>
              <w:jc w:val="left"/>
              <w:rPr>
                <w:rFonts w:ascii="Times New Roman"/>
                <w:sz w:val="21"/>
              </w:rPr>
            </w:pPr>
          </w:p>
          <w:p>
            <w:pPr>
              <w:pStyle w:val="TableParagraph"/>
              <w:ind w:right="51"/>
              <w:rPr>
                <w:sz w:val="17"/>
              </w:rPr>
            </w:pPr>
            <w:r>
              <w:rPr>
                <w:sz w:val="17"/>
              </w:rPr>
              <w:t>1,5</w:t>
            </w:r>
          </w:p>
        </w:tc>
      </w:tr>
      <w:tr>
        <w:trPr>
          <w:trHeight w:val="238" w:hRule="atLeast"/>
        </w:trPr>
        <w:tc>
          <w:tcPr>
            <w:tcW w:w="3827" w:type="dxa"/>
          </w:tcPr>
          <w:p>
            <w:pPr>
              <w:pStyle w:val="TableParagraph"/>
              <w:spacing w:before="23"/>
              <w:ind w:left="741"/>
              <w:jc w:val="left"/>
              <w:rPr>
                <w:sz w:val="17"/>
              </w:rPr>
            </w:pPr>
            <w:r>
              <w:rPr>
                <w:sz w:val="17"/>
              </w:rPr>
              <w:t>Imposte dirette</w:t>
            </w:r>
          </w:p>
        </w:tc>
        <w:tc>
          <w:tcPr>
            <w:tcW w:w="1733" w:type="dxa"/>
          </w:tcPr>
          <w:p>
            <w:pPr>
              <w:pStyle w:val="TableParagraph"/>
              <w:spacing w:before="23"/>
              <w:ind w:right="282"/>
              <w:rPr>
                <w:sz w:val="17"/>
              </w:rPr>
            </w:pPr>
            <w:r>
              <w:rPr>
                <w:sz w:val="17"/>
              </w:rPr>
              <w:t>0,5</w:t>
            </w:r>
          </w:p>
        </w:tc>
        <w:tc>
          <w:tcPr>
            <w:tcW w:w="967" w:type="dxa"/>
          </w:tcPr>
          <w:p>
            <w:pPr>
              <w:pStyle w:val="TableParagraph"/>
              <w:spacing w:before="23"/>
              <w:ind w:right="280"/>
              <w:rPr>
                <w:sz w:val="17"/>
              </w:rPr>
            </w:pPr>
            <w:r>
              <w:rPr>
                <w:sz w:val="17"/>
              </w:rPr>
              <w:t>0,1</w:t>
            </w:r>
          </w:p>
        </w:tc>
        <w:tc>
          <w:tcPr>
            <w:tcW w:w="965" w:type="dxa"/>
          </w:tcPr>
          <w:p>
            <w:pPr>
              <w:pStyle w:val="TableParagraph"/>
              <w:spacing w:before="23"/>
              <w:ind w:right="279"/>
              <w:rPr>
                <w:sz w:val="17"/>
              </w:rPr>
            </w:pPr>
            <w:r>
              <w:rPr>
                <w:sz w:val="17"/>
              </w:rPr>
              <w:t>1,8</w:t>
            </w:r>
          </w:p>
        </w:tc>
        <w:tc>
          <w:tcPr>
            <w:tcW w:w="736" w:type="dxa"/>
          </w:tcPr>
          <w:p>
            <w:pPr>
              <w:pStyle w:val="TableParagraph"/>
              <w:spacing w:before="23"/>
              <w:ind w:right="51"/>
              <w:rPr>
                <w:sz w:val="17"/>
              </w:rPr>
            </w:pPr>
            <w:r>
              <w:rPr>
                <w:sz w:val="17"/>
              </w:rPr>
              <w:t>1,3</w:t>
            </w:r>
          </w:p>
        </w:tc>
      </w:tr>
      <w:tr>
        <w:trPr>
          <w:trHeight w:val="238" w:hRule="atLeast"/>
        </w:trPr>
        <w:tc>
          <w:tcPr>
            <w:tcW w:w="3827" w:type="dxa"/>
          </w:tcPr>
          <w:p>
            <w:pPr>
              <w:pStyle w:val="TableParagraph"/>
              <w:spacing w:before="22"/>
              <w:ind w:left="741"/>
              <w:jc w:val="left"/>
              <w:rPr>
                <w:sz w:val="17"/>
              </w:rPr>
            </w:pPr>
            <w:r>
              <w:rPr>
                <w:sz w:val="17"/>
              </w:rPr>
              <w:t>Imposte indirette</w:t>
            </w:r>
          </w:p>
        </w:tc>
        <w:tc>
          <w:tcPr>
            <w:tcW w:w="1733" w:type="dxa"/>
          </w:tcPr>
          <w:p>
            <w:pPr>
              <w:pStyle w:val="TableParagraph"/>
              <w:spacing w:before="22"/>
              <w:ind w:right="282"/>
              <w:rPr>
                <w:sz w:val="17"/>
              </w:rPr>
            </w:pPr>
            <w:r>
              <w:rPr>
                <w:sz w:val="17"/>
              </w:rPr>
              <w:t>0,7</w:t>
            </w:r>
          </w:p>
        </w:tc>
        <w:tc>
          <w:tcPr>
            <w:tcW w:w="967" w:type="dxa"/>
          </w:tcPr>
          <w:p>
            <w:pPr>
              <w:pStyle w:val="TableParagraph"/>
              <w:spacing w:before="22"/>
              <w:ind w:right="280"/>
              <w:rPr>
                <w:sz w:val="17"/>
              </w:rPr>
            </w:pPr>
            <w:r>
              <w:rPr>
                <w:sz w:val="17"/>
              </w:rPr>
              <w:t>9,9</w:t>
            </w:r>
          </w:p>
        </w:tc>
        <w:tc>
          <w:tcPr>
            <w:tcW w:w="965" w:type="dxa"/>
          </w:tcPr>
          <w:p>
            <w:pPr>
              <w:pStyle w:val="TableParagraph"/>
              <w:spacing w:before="22"/>
              <w:ind w:right="279"/>
              <w:rPr>
                <w:sz w:val="17"/>
              </w:rPr>
            </w:pPr>
            <w:r>
              <w:rPr>
                <w:sz w:val="17"/>
              </w:rPr>
              <w:t>3,6</w:t>
            </w:r>
          </w:p>
        </w:tc>
        <w:tc>
          <w:tcPr>
            <w:tcW w:w="736" w:type="dxa"/>
          </w:tcPr>
          <w:p>
            <w:pPr>
              <w:pStyle w:val="TableParagraph"/>
              <w:spacing w:before="22"/>
              <w:ind w:right="51"/>
              <w:rPr>
                <w:sz w:val="17"/>
              </w:rPr>
            </w:pPr>
            <w:r>
              <w:rPr>
                <w:sz w:val="17"/>
              </w:rPr>
              <w:t>1,8</w:t>
            </w:r>
          </w:p>
        </w:tc>
      </w:tr>
      <w:tr>
        <w:trPr>
          <w:trHeight w:val="238" w:hRule="atLeast"/>
        </w:trPr>
        <w:tc>
          <w:tcPr>
            <w:tcW w:w="3827" w:type="dxa"/>
          </w:tcPr>
          <w:p>
            <w:pPr>
              <w:pStyle w:val="TableParagraph"/>
              <w:spacing w:before="23"/>
              <w:ind w:left="741"/>
              <w:jc w:val="left"/>
              <w:rPr>
                <w:sz w:val="17"/>
              </w:rPr>
            </w:pPr>
            <w:r>
              <w:rPr>
                <w:sz w:val="17"/>
              </w:rPr>
              <w:t>Imposte in c/capitale</w:t>
            </w:r>
          </w:p>
        </w:tc>
        <w:tc>
          <w:tcPr>
            <w:tcW w:w="1733" w:type="dxa"/>
          </w:tcPr>
          <w:p>
            <w:pPr>
              <w:pStyle w:val="TableParagraph"/>
              <w:spacing w:before="23"/>
              <w:ind w:right="282"/>
              <w:rPr>
                <w:sz w:val="17"/>
              </w:rPr>
            </w:pPr>
            <w:r>
              <w:rPr>
                <w:sz w:val="17"/>
              </w:rPr>
              <w:t>-24,7</w:t>
            </w:r>
          </w:p>
        </w:tc>
        <w:tc>
          <w:tcPr>
            <w:tcW w:w="967" w:type="dxa"/>
          </w:tcPr>
          <w:p>
            <w:pPr>
              <w:pStyle w:val="TableParagraph"/>
              <w:spacing w:before="23"/>
              <w:ind w:right="280"/>
              <w:rPr>
                <w:sz w:val="17"/>
              </w:rPr>
            </w:pPr>
            <w:r>
              <w:rPr>
                <w:sz w:val="17"/>
              </w:rPr>
              <w:t>-7,1</w:t>
            </w:r>
          </w:p>
        </w:tc>
        <w:tc>
          <w:tcPr>
            <w:tcW w:w="965" w:type="dxa"/>
          </w:tcPr>
          <w:p>
            <w:pPr>
              <w:pStyle w:val="TableParagraph"/>
              <w:spacing w:before="23"/>
              <w:ind w:right="279"/>
              <w:rPr>
                <w:sz w:val="17"/>
              </w:rPr>
            </w:pPr>
            <w:r>
              <w:rPr>
                <w:sz w:val="17"/>
              </w:rPr>
              <w:t>0,5</w:t>
            </w:r>
          </w:p>
        </w:tc>
        <w:tc>
          <w:tcPr>
            <w:tcW w:w="736" w:type="dxa"/>
          </w:tcPr>
          <w:p>
            <w:pPr>
              <w:pStyle w:val="TableParagraph"/>
              <w:spacing w:before="23"/>
              <w:ind w:right="51"/>
              <w:rPr>
                <w:sz w:val="17"/>
              </w:rPr>
            </w:pPr>
            <w:r>
              <w:rPr>
                <w:sz w:val="17"/>
              </w:rPr>
              <w:t>0,7</w:t>
            </w:r>
          </w:p>
        </w:tc>
      </w:tr>
      <w:tr>
        <w:trPr>
          <w:trHeight w:val="238" w:hRule="atLeast"/>
        </w:trPr>
        <w:tc>
          <w:tcPr>
            <w:tcW w:w="3827" w:type="dxa"/>
          </w:tcPr>
          <w:p>
            <w:pPr>
              <w:pStyle w:val="TableParagraph"/>
              <w:spacing w:before="22"/>
              <w:ind w:left="33"/>
              <w:jc w:val="left"/>
              <w:rPr>
                <w:sz w:val="17"/>
              </w:rPr>
            </w:pPr>
            <w:r>
              <w:rPr>
                <w:sz w:val="17"/>
              </w:rPr>
              <w:t>Contributi sociali</w:t>
            </w:r>
          </w:p>
        </w:tc>
        <w:tc>
          <w:tcPr>
            <w:tcW w:w="1733" w:type="dxa"/>
          </w:tcPr>
          <w:p>
            <w:pPr>
              <w:pStyle w:val="TableParagraph"/>
              <w:spacing w:before="22"/>
              <w:ind w:right="282"/>
              <w:rPr>
                <w:sz w:val="17"/>
              </w:rPr>
            </w:pPr>
            <w:r>
              <w:rPr>
                <w:sz w:val="17"/>
              </w:rPr>
              <w:t>2,8</w:t>
            </w:r>
          </w:p>
        </w:tc>
        <w:tc>
          <w:tcPr>
            <w:tcW w:w="967" w:type="dxa"/>
          </w:tcPr>
          <w:p>
            <w:pPr>
              <w:pStyle w:val="TableParagraph"/>
              <w:spacing w:before="22"/>
              <w:ind w:right="280"/>
              <w:rPr>
                <w:sz w:val="17"/>
              </w:rPr>
            </w:pPr>
            <w:r>
              <w:rPr>
                <w:sz w:val="17"/>
              </w:rPr>
              <w:t>1,6</w:t>
            </w:r>
          </w:p>
        </w:tc>
        <w:tc>
          <w:tcPr>
            <w:tcW w:w="965" w:type="dxa"/>
          </w:tcPr>
          <w:p>
            <w:pPr>
              <w:pStyle w:val="TableParagraph"/>
              <w:spacing w:before="22"/>
              <w:ind w:right="279"/>
              <w:rPr>
                <w:sz w:val="17"/>
              </w:rPr>
            </w:pPr>
            <w:r>
              <w:rPr>
                <w:sz w:val="17"/>
              </w:rPr>
              <w:t>1,6</w:t>
            </w:r>
          </w:p>
        </w:tc>
        <w:tc>
          <w:tcPr>
            <w:tcW w:w="736" w:type="dxa"/>
          </w:tcPr>
          <w:p>
            <w:pPr>
              <w:pStyle w:val="TableParagraph"/>
              <w:spacing w:before="22"/>
              <w:ind w:right="51"/>
              <w:rPr>
                <w:sz w:val="17"/>
              </w:rPr>
            </w:pPr>
            <w:r>
              <w:rPr>
                <w:sz w:val="17"/>
              </w:rPr>
              <w:t>2,3</w:t>
            </w:r>
          </w:p>
        </w:tc>
      </w:tr>
      <w:tr>
        <w:trPr>
          <w:trHeight w:val="239" w:hRule="atLeast"/>
        </w:trPr>
        <w:tc>
          <w:tcPr>
            <w:tcW w:w="3827" w:type="dxa"/>
          </w:tcPr>
          <w:p>
            <w:pPr>
              <w:pStyle w:val="TableParagraph"/>
              <w:spacing w:before="24"/>
              <w:ind w:left="741"/>
              <w:jc w:val="left"/>
              <w:rPr>
                <w:sz w:val="17"/>
              </w:rPr>
            </w:pPr>
            <w:r>
              <w:rPr>
                <w:sz w:val="17"/>
              </w:rPr>
              <w:t>Contributi effettivi</w:t>
            </w:r>
          </w:p>
        </w:tc>
        <w:tc>
          <w:tcPr>
            <w:tcW w:w="1733" w:type="dxa"/>
          </w:tcPr>
          <w:p>
            <w:pPr>
              <w:pStyle w:val="TableParagraph"/>
              <w:spacing w:before="24"/>
              <w:ind w:right="282"/>
              <w:rPr>
                <w:sz w:val="17"/>
              </w:rPr>
            </w:pPr>
            <w:r>
              <w:rPr>
                <w:sz w:val="17"/>
              </w:rPr>
              <w:t>2,8</w:t>
            </w:r>
          </w:p>
        </w:tc>
        <w:tc>
          <w:tcPr>
            <w:tcW w:w="967" w:type="dxa"/>
          </w:tcPr>
          <w:p>
            <w:pPr>
              <w:pStyle w:val="TableParagraph"/>
              <w:spacing w:before="24"/>
              <w:ind w:right="280"/>
              <w:rPr>
                <w:sz w:val="17"/>
              </w:rPr>
            </w:pPr>
            <w:r>
              <w:rPr>
                <w:sz w:val="17"/>
              </w:rPr>
              <w:t>1,6</w:t>
            </w:r>
          </w:p>
        </w:tc>
        <w:tc>
          <w:tcPr>
            <w:tcW w:w="965" w:type="dxa"/>
          </w:tcPr>
          <w:p>
            <w:pPr>
              <w:pStyle w:val="TableParagraph"/>
              <w:spacing w:before="24"/>
              <w:ind w:right="279"/>
              <w:rPr>
                <w:sz w:val="17"/>
              </w:rPr>
            </w:pPr>
            <w:r>
              <w:rPr>
                <w:sz w:val="17"/>
              </w:rPr>
              <w:t>1,6</w:t>
            </w:r>
          </w:p>
        </w:tc>
        <w:tc>
          <w:tcPr>
            <w:tcW w:w="736" w:type="dxa"/>
          </w:tcPr>
          <w:p>
            <w:pPr>
              <w:pStyle w:val="TableParagraph"/>
              <w:spacing w:before="24"/>
              <w:ind w:right="51"/>
              <w:rPr>
                <w:sz w:val="17"/>
              </w:rPr>
            </w:pPr>
            <w:r>
              <w:rPr>
                <w:sz w:val="17"/>
              </w:rPr>
              <w:t>2,3</w:t>
            </w:r>
          </w:p>
        </w:tc>
      </w:tr>
      <w:tr>
        <w:trPr>
          <w:trHeight w:val="238" w:hRule="atLeast"/>
        </w:trPr>
        <w:tc>
          <w:tcPr>
            <w:tcW w:w="3827" w:type="dxa"/>
          </w:tcPr>
          <w:p>
            <w:pPr>
              <w:pStyle w:val="TableParagraph"/>
              <w:spacing w:before="22"/>
              <w:ind w:left="741"/>
              <w:jc w:val="left"/>
              <w:rPr>
                <w:sz w:val="17"/>
              </w:rPr>
            </w:pPr>
            <w:r>
              <w:rPr>
                <w:sz w:val="17"/>
              </w:rPr>
              <w:t>Contributi figurativi</w:t>
            </w:r>
          </w:p>
        </w:tc>
        <w:tc>
          <w:tcPr>
            <w:tcW w:w="1733" w:type="dxa"/>
          </w:tcPr>
          <w:p>
            <w:pPr>
              <w:pStyle w:val="TableParagraph"/>
              <w:spacing w:before="22"/>
              <w:ind w:right="282"/>
              <w:rPr>
                <w:sz w:val="17"/>
              </w:rPr>
            </w:pPr>
            <w:r>
              <w:rPr>
                <w:sz w:val="17"/>
              </w:rPr>
              <w:t>2,5</w:t>
            </w:r>
          </w:p>
        </w:tc>
        <w:tc>
          <w:tcPr>
            <w:tcW w:w="967" w:type="dxa"/>
          </w:tcPr>
          <w:p>
            <w:pPr>
              <w:pStyle w:val="TableParagraph"/>
              <w:spacing w:before="22"/>
              <w:ind w:right="280"/>
              <w:rPr>
                <w:sz w:val="17"/>
              </w:rPr>
            </w:pPr>
            <w:r>
              <w:rPr>
                <w:sz w:val="17"/>
              </w:rPr>
              <w:t>2,2</w:t>
            </w:r>
          </w:p>
        </w:tc>
        <w:tc>
          <w:tcPr>
            <w:tcW w:w="965" w:type="dxa"/>
          </w:tcPr>
          <w:p>
            <w:pPr>
              <w:pStyle w:val="TableParagraph"/>
              <w:spacing w:before="22"/>
              <w:ind w:right="279"/>
              <w:rPr>
                <w:sz w:val="17"/>
              </w:rPr>
            </w:pPr>
            <w:r>
              <w:rPr>
                <w:sz w:val="17"/>
              </w:rPr>
              <w:t>1,9</w:t>
            </w:r>
          </w:p>
        </w:tc>
        <w:tc>
          <w:tcPr>
            <w:tcW w:w="736" w:type="dxa"/>
          </w:tcPr>
          <w:p>
            <w:pPr>
              <w:pStyle w:val="TableParagraph"/>
              <w:spacing w:before="22"/>
              <w:ind w:right="51"/>
              <w:rPr>
                <w:sz w:val="17"/>
              </w:rPr>
            </w:pPr>
            <w:r>
              <w:rPr>
                <w:sz w:val="17"/>
              </w:rPr>
              <w:t>1,5</w:t>
            </w:r>
          </w:p>
        </w:tc>
      </w:tr>
      <w:tr>
        <w:trPr>
          <w:trHeight w:val="238" w:hRule="atLeast"/>
        </w:trPr>
        <w:tc>
          <w:tcPr>
            <w:tcW w:w="3827" w:type="dxa"/>
          </w:tcPr>
          <w:p>
            <w:pPr>
              <w:pStyle w:val="TableParagraph"/>
              <w:spacing w:before="23"/>
              <w:ind w:left="33"/>
              <w:jc w:val="left"/>
              <w:rPr>
                <w:sz w:val="17"/>
              </w:rPr>
            </w:pPr>
            <w:r>
              <w:rPr>
                <w:sz w:val="17"/>
              </w:rPr>
              <w:t>Altre entrate correnti</w:t>
            </w:r>
          </w:p>
        </w:tc>
        <w:tc>
          <w:tcPr>
            <w:tcW w:w="1733" w:type="dxa"/>
          </w:tcPr>
          <w:p>
            <w:pPr>
              <w:pStyle w:val="TableParagraph"/>
              <w:spacing w:before="23"/>
              <w:ind w:right="282"/>
              <w:rPr>
                <w:sz w:val="17"/>
              </w:rPr>
            </w:pPr>
            <w:r>
              <w:rPr>
                <w:sz w:val="17"/>
              </w:rPr>
              <w:t>5,4</w:t>
            </w:r>
          </w:p>
        </w:tc>
        <w:tc>
          <w:tcPr>
            <w:tcW w:w="967" w:type="dxa"/>
          </w:tcPr>
          <w:p>
            <w:pPr>
              <w:pStyle w:val="TableParagraph"/>
              <w:spacing w:before="23"/>
              <w:ind w:right="280"/>
              <w:rPr>
                <w:sz w:val="17"/>
              </w:rPr>
            </w:pPr>
            <w:r>
              <w:rPr>
                <w:sz w:val="17"/>
              </w:rPr>
              <w:t>0,9</w:t>
            </w:r>
          </w:p>
        </w:tc>
        <w:tc>
          <w:tcPr>
            <w:tcW w:w="965" w:type="dxa"/>
          </w:tcPr>
          <w:p>
            <w:pPr>
              <w:pStyle w:val="TableParagraph"/>
              <w:spacing w:before="23"/>
              <w:ind w:right="279"/>
              <w:rPr>
                <w:sz w:val="17"/>
              </w:rPr>
            </w:pPr>
            <w:r>
              <w:rPr>
                <w:sz w:val="17"/>
              </w:rPr>
              <w:t>-0,5</w:t>
            </w:r>
          </w:p>
        </w:tc>
        <w:tc>
          <w:tcPr>
            <w:tcW w:w="736" w:type="dxa"/>
          </w:tcPr>
          <w:p>
            <w:pPr>
              <w:pStyle w:val="TableParagraph"/>
              <w:spacing w:before="23"/>
              <w:ind w:right="51"/>
              <w:rPr>
                <w:sz w:val="17"/>
              </w:rPr>
            </w:pPr>
            <w:r>
              <w:rPr>
                <w:sz w:val="17"/>
              </w:rPr>
              <w:t>-0,4</w:t>
            </w:r>
          </w:p>
        </w:tc>
      </w:tr>
      <w:tr>
        <w:trPr>
          <w:trHeight w:val="357" w:hRule="atLeast"/>
        </w:trPr>
        <w:tc>
          <w:tcPr>
            <w:tcW w:w="3827" w:type="dxa"/>
          </w:tcPr>
          <w:p>
            <w:pPr>
              <w:pStyle w:val="TableParagraph"/>
              <w:spacing w:before="22"/>
              <w:ind w:left="33"/>
              <w:jc w:val="left"/>
              <w:rPr>
                <w:sz w:val="17"/>
              </w:rPr>
            </w:pPr>
            <w:r>
              <w:rPr>
                <w:sz w:val="17"/>
              </w:rPr>
              <w:t>Totale entrate correnti</w:t>
            </w:r>
          </w:p>
        </w:tc>
        <w:tc>
          <w:tcPr>
            <w:tcW w:w="1733" w:type="dxa"/>
          </w:tcPr>
          <w:p>
            <w:pPr>
              <w:pStyle w:val="TableParagraph"/>
              <w:spacing w:before="22"/>
              <w:ind w:right="282"/>
              <w:rPr>
                <w:sz w:val="17"/>
              </w:rPr>
            </w:pPr>
            <w:r>
              <w:rPr>
                <w:sz w:val="17"/>
              </w:rPr>
              <w:t>1,7</w:t>
            </w:r>
          </w:p>
        </w:tc>
        <w:tc>
          <w:tcPr>
            <w:tcW w:w="967" w:type="dxa"/>
          </w:tcPr>
          <w:p>
            <w:pPr>
              <w:pStyle w:val="TableParagraph"/>
              <w:spacing w:before="22"/>
              <w:ind w:right="280"/>
              <w:rPr>
                <w:sz w:val="17"/>
              </w:rPr>
            </w:pPr>
            <w:r>
              <w:rPr>
                <w:sz w:val="17"/>
              </w:rPr>
              <w:t>3,7</w:t>
            </w:r>
          </w:p>
        </w:tc>
        <w:tc>
          <w:tcPr>
            <w:tcW w:w="965" w:type="dxa"/>
          </w:tcPr>
          <w:p>
            <w:pPr>
              <w:pStyle w:val="TableParagraph"/>
              <w:spacing w:before="22"/>
              <w:ind w:right="279"/>
              <w:rPr>
                <w:sz w:val="17"/>
              </w:rPr>
            </w:pPr>
            <w:r>
              <w:rPr>
                <w:sz w:val="17"/>
              </w:rPr>
              <w:t>2,1</w:t>
            </w:r>
          </w:p>
        </w:tc>
        <w:tc>
          <w:tcPr>
            <w:tcW w:w="736" w:type="dxa"/>
          </w:tcPr>
          <w:p>
            <w:pPr>
              <w:pStyle w:val="TableParagraph"/>
              <w:spacing w:before="22"/>
              <w:ind w:right="51"/>
              <w:rPr>
                <w:sz w:val="17"/>
              </w:rPr>
            </w:pPr>
            <w:r>
              <w:rPr>
                <w:sz w:val="17"/>
              </w:rPr>
              <w:t>1,6</w:t>
            </w:r>
          </w:p>
        </w:tc>
      </w:tr>
      <w:tr>
        <w:trPr>
          <w:trHeight w:val="477" w:hRule="atLeast"/>
        </w:trPr>
        <w:tc>
          <w:tcPr>
            <w:tcW w:w="3827" w:type="dxa"/>
          </w:tcPr>
          <w:p>
            <w:pPr>
              <w:pStyle w:val="TableParagraph"/>
              <w:spacing w:before="142"/>
              <w:ind w:left="33"/>
              <w:jc w:val="left"/>
              <w:rPr>
                <w:sz w:val="17"/>
              </w:rPr>
            </w:pPr>
            <w:r>
              <w:rPr>
                <w:sz w:val="17"/>
              </w:rPr>
              <w:t>Entrate in c/capitale non tributarie</w:t>
            </w:r>
          </w:p>
        </w:tc>
        <w:tc>
          <w:tcPr>
            <w:tcW w:w="1733" w:type="dxa"/>
          </w:tcPr>
          <w:p>
            <w:pPr>
              <w:pStyle w:val="TableParagraph"/>
              <w:spacing w:before="142"/>
              <w:ind w:right="282"/>
              <w:rPr>
                <w:sz w:val="17"/>
              </w:rPr>
            </w:pPr>
            <w:r>
              <w:rPr>
                <w:sz w:val="17"/>
              </w:rPr>
              <w:t>14,3</w:t>
            </w:r>
          </w:p>
        </w:tc>
        <w:tc>
          <w:tcPr>
            <w:tcW w:w="967" w:type="dxa"/>
          </w:tcPr>
          <w:p>
            <w:pPr>
              <w:pStyle w:val="TableParagraph"/>
              <w:spacing w:before="142"/>
              <w:ind w:right="280"/>
              <w:rPr>
                <w:sz w:val="17"/>
              </w:rPr>
            </w:pPr>
            <w:r>
              <w:rPr>
                <w:sz w:val="17"/>
              </w:rPr>
              <w:t>-6,2</w:t>
            </w:r>
          </w:p>
        </w:tc>
        <w:tc>
          <w:tcPr>
            <w:tcW w:w="965" w:type="dxa"/>
          </w:tcPr>
          <w:p>
            <w:pPr>
              <w:pStyle w:val="TableParagraph"/>
              <w:spacing w:before="142"/>
              <w:ind w:right="279"/>
              <w:rPr>
                <w:sz w:val="17"/>
              </w:rPr>
            </w:pPr>
            <w:r>
              <w:rPr>
                <w:sz w:val="17"/>
              </w:rPr>
              <w:t>11,0</w:t>
            </w:r>
          </w:p>
        </w:tc>
        <w:tc>
          <w:tcPr>
            <w:tcW w:w="736" w:type="dxa"/>
          </w:tcPr>
          <w:p>
            <w:pPr>
              <w:pStyle w:val="TableParagraph"/>
              <w:spacing w:before="142"/>
              <w:ind w:right="51"/>
              <w:rPr>
                <w:sz w:val="17"/>
              </w:rPr>
            </w:pPr>
            <w:r>
              <w:rPr>
                <w:sz w:val="17"/>
              </w:rPr>
              <w:t>2,6</w:t>
            </w:r>
          </w:p>
        </w:tc>
      </w:tr>
      <w:tr>
        <w:trPr>
          <w:trHeight w:val="374" w:hRule="atLeast"/>
        </w:trPr>
        <w:tc>
          <w:tcPr>
            <w:tcW w:w="3827" w:type="dxa"/>
            <w:tcBorders>
              <w:bottom w:val="single" w:sz="12" w:space="0" w:color="086D44"/>
            </w:tcBorders>
          </w:tcPr>
          <w:p>
            <w:pPr>
              <w:pStyle w:val="TableParagraph"/>
              <w:spacing w:before="142"/>
              <w:ind w:left="33"/>
              <w:jc w:val="left"/>
              <w:rPr>
                <w:sz w:val="17"/>
              </w:rPr>
            </w:pPr>
            <w:r>
              <w:rPr>
                <w:sz w:val="17"/>
              </w:rPr>
              <w:t>Totale entrate finali</w:t>
            </w:r>
          </w:p>
        </w:tc>
        <w:tc>
          <w:tcPr>
            <w:tcW w:w="1733" w:type="dxa"/>
            <w:tcBorders>
              <w:bottom w:val="single" w:sz="12" w:space="0" w:color="086D44"/>
            </w:tcBorders>
          </w:tcPr>
          <w:p>
            <w:pPr>
              <w:pStyle w:val="TableParagraph"/>
              <w:spacing w:before="142"/>
              <w:ind w:right="282"/>
              <w:rPr>
                <w:sz w:val="17"/>
              </w:rPr>
            </w:pPr>
            <w:r>
              <w:rPr>
                <w:sz w:val="17"/>
              </w:rPr>
              <w:t>1,7</w:t>
            </w:r>
          </w:p>
        </w:tc>
        <w:tc>
          <w:tcPr>
            <w:tcW w:w="967" w:type="dxa"/>
            <w:tcBorders>
              <w:bottom w:val="single" w:sz="12" w:space="0" w:color="086D44"/>
            </w:tcBorders>
          </w:tcPr>
          <w:p>
            <w:pPr>
              <w:pStyle w:val="TableParagraph"/>
              <w:spacing w:before="142"/>
              <w:ind w:right="280"/>
              <w:rPr>
                <w:sz w:val="17"/>
              </w:rPr>
            </w:pPr>
            <w:r>
              <w:rPr>
                <w:sz w:val="17"/>
              </w:rPr>
              <w:t>3,6</w:t>
            </w:r>
          </w:p>
        </w:tc>
        <w:tc>
          <w:tcPr>
            <w:tcW w:w="965" w:type="dxa"/>
            <w:tcBorders>
              <w:bottom w:val="single" w:sz="12" w:space="0" w:color="086D44"/>
            </w:tcBorders>
          </w:tcPr>
          <w:p>
            <w:pPr>
              <w:pStyle w:val="TableParagraph"/>
              <w:spacing w:before="142"/>
              <w:ind w:right="279"/>
              <w:rPr>
                <w:sz w:val="17"/>
              </w:rPr>
            </w:pPr>
            <w:r>
              <w:rPr>
                <w:sz w:val="17"/>
              </w:rPr>
              <w:t>2,1</w:t>
            </w:r>
          </w:p>
        </w:tc>
        <w:tc>
          <w:tcPr>
            <w:tcW w:w="736" w:type="dxa"/>
            <w:tcBorders>
              <w:bottom w:val="single" w:sz="12" w:space="0" w:color="086D44"/>
            </w:tcBorders>
          </w:tcPr>
          <w:p>
            <w:pPr>
              <w:pStyle w:val="TableParagraph"/>
              <w:spacing w:before="142"/>
              <w:ind w:right="51"/>
              <w:rPr>
                <w:sz w:val="17"/>
              </w:rPr>
            </w:pPr>
            <w:r>
              <w:rPr>
                <w:sz w:val="17"/>
              </w:rPr>
              <w:t>1,6</w:t>
            </w:r>
          </w:p>
        </w:tc>
      </w:tr>
    </w:tbl>
    <w:p>
      <w:pPr>
        <w:spacing w:after="0"/>
        <w:rPr>
          <w:sz w:val="17"/>
        </w:rPr>
        <w:sectPr>
          <w:pgSz w:w="11910" w:h="16840"/>
          <w:pgMar w:header="838" w:footer="866" w:top="1100" w:bottom="1060" w:left="1140" w:right="0"/>
        </w:sectPr>
      </w:pPr>
    </w:p>
    <w:p>
      <w:pPr>
        <w:pStyle w:val="BodyText"/>
        <w:rPr>
          <w:rFonts w:ascii="Times New Roman"/>
          <w:sz w:val="20"/>
        </w:rPr>
      </w:pPr>
      <w:r>
        <w:rPr/>
        <w:pict>
          <v:shape style="position:absolute;margin-left:71.305954pt;margin-top:100.828117pt;width:15.65pt;height:39.550pt;mso-position-horizontal-relative:page;mso-position-vertical-relative:page;z-index:-266209280" type="#_x0000_t202" filled="false" stroked="false">
            <v:textbox inset="0,0,0,0" style="layout-flow:vertical;mso-layout-flow-alt:bottom-to-top">
              <w:txbxContent>
                <w:p>
                  <w:pPr>
                    <w:spacing w:before="20"/>
                    <w:ind w:left="20" w:right="0" w:firstLine="0"/>
                    <w:jc w:val="left"/>
                    <w:rPr>
                      <w:rFonts w:ascii="Franklin Gothic Heavy"/>
                      <w:b/>
                      <w:sz w:val="24"/>
                    </w:rPr>
                  </w:pPr>
                  <w:r>
                    <w:rPr>
                      <w:rFonts w:ascii="Franklin Gothic Heavy"/>
                      <w:b/>
                      <w:color w:val="006247"/>
                      <w:sz w:val="24"/>
                    </w:rPr>
                    <w:t>FOCUS</w:t>
                  </w:r>
                </w:p>
              </w:txbxContent>
            </v:textbox>
            <w10:wrap type="none"/>
          </v:shape>
        </w:pict>
      </w:r>
    </w:p>
    <w:p>
      <w:pPr>
        <w:pStyle w:val="BodyText"/>
        <w:rPr>
          <w:rFonts w:ascii="Times New Roman"/>
          <w:sz w:val="20"/>
        </w:rPr>
      </w:pPr>
    </w:p>
    <w:p>
      <w:pPr>
        <w:pStyle w:val="BodyText"/>
        <w:rPr>
          <w:rFonts w:ascii="Times New Roman"/>
          <w:sz w:val="20"/>
        </w:rPr>
      </w:pPr>
    </w:p>
    <w:p>
      <w:pPr>
        <w:pStyle w:val="BodyText"/>
        <w:spacing w:before="6"/>
        <w:rPr>
          <w:rFonts w:ascii="Times New Roman"/>
          <w:sz w:val="15"/>
        </w:rPr>
      </w:pPr>
    </w:p>
    <w:p>
      <w:pPr>
        <w:pStyle w:val="BodyText"/>
        <w:ind w:left="307"/>
        <w:rPr>
          <w:rFonts w:ascii="Times New Roman"/>
          <w:sz w:val="20"/>
        </w:rPr>
      </w:pPr>
      <w:r>
        <w:rPr>
          <w:rFonts w:ascii="Times New Roman"/>
          <w:sz w:val="20"/>
        </w:rPr>
        <w:pict>
          <v:shape style="width:410.5pt;height:336.05pt;mso-position-horizontal-relative:char;mso-position-vertical-relative:line" type="#_x0000_t202" filled="true" fillcolor="#efefef" stroked="false">
            <w10:anchorlock/>
            <v:textbox inset="0,0,0,0">
              <w:txbxContent>
                <w:p>
                  <w:pPr>
                    <w:spacing w:line="245" w:lineRule="exact" w:before="50"/>
                    <w:ind w:left="475" w:right="0" w:firstLine="0"/>
                    <w:jc w:val="both"/>
                    <w:rPr>
                      <w:rFonts w:ascii="Franklin Gothic Demi Cond"/>
                      <w:b/>
                      <w:sz w:val="22"/>
                    </w:rPr>
                  </w:pPr>
                  <w:r>
                    <w:rPr>
                      <w:rFonts w:ascii="Franklin Gothic Demi Cond"/>
                      <w:b/>
                      <w:sz w:val="22"/>
                    </w:rPr>
                    <w:t>Le</w:t>
                  </w:r>
                  <w:r>
                    <w:rPr>
                      <w:rFonts w:ascii="Franklin Gothic Demi Cond"/>
                      <w:b/>
                      <w:spacing w:val="-10"/>
                      <w:sz w:val="22"/>
                    </w:rPr>
                    <w:t> </w:t>
                  </w:r>
                  <w:r>
                    <w:rPr>
                      <w:rFonts w:ascii="Franklin Gothic Demi Cond"/>
                      <w:b/>
                      <w:sz w:val="22"/>
                    </w:rPr>
                    <w:t>tendenze</w:t>
                  </w:r>
                  <w:r>
                    <w:rPr>
                      <w:rFonts w:ascii="Franklin Gothic Demi Cond"/>
                      <w:b/>
                      <w:spacing w:val="-10"/>
                      <w:sz w:val="22"/>
                    </w:rPr>
                    <w:t> </w:t>
                  </w:r>
                  <w:r>
                    <w:rPr>
                      <w:rFonts w:ascii="Franklin Gothic Demi Cond"/>
                      <w:b/>
                      <w:sz w:val="22"/>
                    </w:rPr>
                    <w:t>di</w:t>
                  </w:r>
                  <w:r>
                    <w:rPr>
                      <w:rFonts w:ascii="Franklin Gothic Demi Cond"/>
                      <w:b/>
                      <w:spacing w:val="-8"/>
                      <w:sz w:val="22"/>
                    </w:rPr>
                    <w:t> </w:t>
                  </w:r>
                  <w:r>
                    <w:rPr>
                      <w:rFonts w:ascii="Franklin Gothic Demi Cond"/>
                      <w:b/>
                      <w:sz w:val="22"/>
                    </w:rPr>
                    <w:t>medio-lungo</w:t>
                  </w:r>
                  <w:r>
                    <w:rPr>
                      <w:rFonts w:ascii="Franklin Gothic Demi Cond"/>
                      <w:b/>
                      <w:spacing w:val="-10"/>
                      <w:sz w:val="22"/>
                    </w:rPr>
                    <w:t> </w:t>
                  </w:r>
                  <w:r>
                    <w:rPr>
                      <w:rFonts w:ascii="Franklin Gothic Demi Cond"/>
                      <w:b/>
                      <w:sz w:val="22"/>
                    </w:rPr>
                    <w:t>periodo</w:t>
                  </w:r>
                  <w:r>
                    <w:rPr>
                      <w:rFonts w:ascii="Franklin Gothic Demi Cond"/>
                      <w:b/>
                      <w:spacing w:val="-9"/>
                      <w:sz w:val="22"/>
                    </w:rPr>
                    <w:t> </w:t>
                  </w:r>
                  <w:r>
                    <w:rPr>
                      <w:rFonts w:ascii="Franklin Gothic Demi Cond"/>
                      <w:b/>
                      <w:sz w:val="22"/>
                    </w:rPr>
                    <w:t>del</w:t>
                  </w:r>
                  <w:r>
                    <w:rPr>
                      <w:rFonts w:ascii="Franklin Gothic Demi Cond"/>
                      <w:b/>
                      <w:spacing w:val="-10"/>
                      <w:sz w:val="22"/>
                    </w:rPr>
                    <w:t> </w:t>
                  </w:r>
                  <w:r>
                    <w:rPr>
                      <w:rFonts w:ascii="Franklin Gothic Demi Cond"/>
                      <w:b/>
                      <w:sz w:val="22"/>
                    </w:rPr>
                    <w:t>sistema</w:t>
                  </w:r>
                  <w:r>
                    <w:rPr>
                      <w:rFonts w:ascii="Franklin Gothic Demi Cond"/>
                      <w:b/>
                      <w:spacing w:val="-9"/>
                      <w:sz w:val="22"/>
                    </w:rPr>
                    <w:t> </w:t>
                  </w:r>
                  <w:r>
                    <w:rPr>
                      <w:rFonts w:ascii="Franklin Gothic Demi Cond"/>
                      <w:b/>
                      <w:sz w:val="22"/>
                    </w:rPr>
                    <w:t>pensionistico</w:t>
                  </w:r>
                  <w:r>
                    <w:rPr>
                      <w:rFonts w:ascii="Franklin Gothic Demi Cond"/>
                      <w:b/>
                      <w:spacing w:val="-10"/>
                      <w:sz w:val="22"/>
                    </w:rPr>
                    <w:t> </w:t>
                  </w:r>
                  <w:r>
                    <w:rPr>
                      <w:rFonts w:ascii="Franklin Gothic Demi Cond"/>
                      <w:b/>
                      <w:sz w:val="22"/>
                    </w:rPr>
                    <w:t>italiano</w:t>
                  </w:r>
                  <w:r>
                    <w:rPr>
                      <w:rFonts w:ascii="Franklin Gothic Demi Cond"/>
                      <w:b/>
                      <w:spacing w:val="-9"/>
                      <w:sz w:val="22"/>
                    </w:rPr>
                    <w:t> </w:t>
                  </w:r>
                  <w:r>
                    <w:rPr>
                      <w:rFonts w:ascii="Franklin Gothic Demi Cond"/>
                      <w:b/>
                      <w:sz w:val="22"/>
                    </w:rPr>
                    <w:t>e</w:t>
                  </w:r>
                  <w:r>
                    <w:rPr>
                      <w:rFonts w:ascii="Franklin Gothic Demi Cond"/>
                      <w:b/>
                      <w:spacing w:val="-10"/>
                      <w:sz w:val="22"/>
                    </w:rPr>
                    <w:t> </w:t>
                  </w:r>
                  <w:r>
                    <w:rPr>
                      <w:rFonts w:ascii="Franklin Gothic Demi Cond"/>
                      <w:b/>
                      <w:sz w:val="22"/>
                    </w:rPr>
                    <w:t>delle</w:t>
                  </w:r>
                  <w:r>
                    <w:rPr>
                      <w:rFonts w:ascii="Franklin Gothic Demi Cond"/>
                      <w:b/>
                      <w:spacing w:val="-10"/>
                      <w:sz w:val="22"/>
                    </w:rPr>
                    <w:t> </w:t>
                  </w:r>
                  <w:r>
                    <w:rPr>
                      <w:rFonts w:ascii="Franklin Gothic Demi Cond"/>
                      <w:b/>
                      <w:sz w:val="22"/>
                    </w:rPr>
                    <w:t>spese</w:t>
                  </w:r>
                  <w:r>
                    <w:rPr>
                      <w:rFonts w:ascii="Franklin Gothic Demi Cond"/>
                      <w:b/>
                      <w:spacing w:val="-9"/>
                      <w:sz w:val="22"/>
                    </w:rPr>
                    <w:t> </w:t>
                  </w:r>
                  <w:r>
                    <w:rPr>
                      <w:rFonts w:ascii="Franklin Gothic Demi Cond"/>
                      <w:b/>
                      <w:sz w:val="22"/>
                    </w:rPr>
                    <w:t>pubbliche</w:t>
                  </w:r>
                </w:p>
                <w:p>
                  <w:pPr>
                    <w:spacing w:line="245" w:lineRule="exact" w:before="0"/>
                    <w:ind w:left="475" w:right="0" w:firstLine="0"/>
                    <w:jc w:val="both"/>
                    <w:rPr>
                      <w:rFonts w:ascii="Franklin Gothic Demi Cond" w:hAnsi="Franklin Gothic Demi Cond"/>
                      <w:b/>
                      <w:sz w:val="22"/>
                    </w:rPr>
                  </w:pPr>
                  <w:r>
                    <w:rPr>
                      <w:rFonts w:ascii="Franklin Gothic Demi Cond" w:hAnsi="Franklin Gothic Demi Cond"/>
                      <w:b/>
                      <w:sz w:val="22"/>
                    </w:rPr>
                    <w:t>connesse all’invecchiamento</w:t>
                  </w:r>
                </w:p>
                <w:p>
                  <w:pPr>
                    <w:spacing w:line="254" w:lineRule="auto" w:before="69"/>
                    <w:ind w:left="475" w:right="-15" w:firstLine="0"/>
                    <w:jc w:val="both"/>
                    <w:rPr>
                      <w:rFonts w:ascii="Franklin Gothic Book" w:hAnsi="Franklin Gothic Book"/>
                      <w:sz w:val="20"/>
                    </w:rPr>
                  </w:pPr>
                  <w:r>
                    <w:rPr>
                      <w:rFonts w:ascii="Franklin Gothic Book" w:hAnsi="Franklin Gothic Book"/>
                      <w:sz w:val="20"/>
                    </w:rPr>
                    <w:t>Le tendenze di medio-lungo periodo del sistema pensionistico italiano vengono presentate, a normativa vigente, nell’ipotesi dello scenario nazionale base</w:t>
                  </w:r>
                  <w:r>
                    <w:rPr>
                      <w:rFonts w:ascii="Franklin Gothic Book" w:hAnsi="Franklin Gothic Book"/>
                      <w:position w:val="5"/>
                      <w:sz w:val="13"/>
                    </w:rPr>
                    <w:t>11</w:t>
                  </w:r>
                  <w:r>
                    <w:rPr>
                      <w:rFonts w:ascii="Franklin Gothic Book" w:hAnsi="Franklin Gothic Book"/>
                      <w:sz w:val="20"/>
                    </w:rPr>
                    <w:t>. Pertanto, la previsione di lungo</w:t>
                  </w:r>
                  <w:r>
                    <w:rPr>
                      <w:rFonts w:ascii="Franklin Gothic Book" w:hAnsi="Franklin Gothic Book"/>
                      <w:spacing w:val="-14"/>
                      <w:sz w:val="20"/>
                    </w:rPr>
                    <w:t> </w:t>
                  </w:r>
                  <w:r>
                    <w:rPr>
                      <w:rFonts w:ascii="Franklin Gothic Book" w:hAnsi="Franklin Gothic Book"/>
                      <w:sz w:val="20"/>
                    </w:rPr>
                    <w:t>periodo</w:t>
                  </w:r>
                  <w:r>
                    <w:rPr>
                      <w:rFonts w:ascii="Franklin Gothic Book" w:hAnsi="Franklin Gothic Book"/>
                      <w:spacing w:val="-14"/>
                      <w:sz w:val="20"/>
                    </w:rPr>
                    <w:t> </w:t>
                  </w:r>
                  <w:r>
                    <w:rPr>
                      <w:rFonts w:ascii="Franklin Gothic Book" w:hAnsi="Franklin Gothic Book"/>
                      <w:sz w:val="20"/>
                    </w:rPr>
                    <w:t>(fino</w:t>
                  </w:r>
                  <w:r>
                    <w:rPr>
                      <w:rFonts w:ascii="Franklin Gothic Book" w:hAnsi="Franklin Gothic Book"/>
                      <w:spacing w:val="-14"/>
                      <w:sz w:val="20"/>
                    </w:rPr>
                    <w:t> </w:t>
                  </w:r>
                  <w:r>
                    <w:rPr>
                      <w:rFonts w:ascii="Franklin Gothic Book" w:hAnsi="Franklin Gothic Book"/>
                      <w:sz w:val="20"/>
                    </w:rPr>
                    <w:t>al</w:t>
                  </w:r>
                  <w:r>
                    <w:rPr>
                      <w:rFonts w:ascii="Franklin Gothic Book" w:hAnsi="Franklin Gothic Book"/>
                      <w:spacing w:val="-13"/>
                      <w:sz w:val="20"/>
                    </w:rPr>
                    <w:t> </w:t>
                  </w:r>
                  <w:r>
                    <w:rPr>
                      <w:rFonts w:ascii="Franklin Gothic Book" w:hAnsi="Franklin Gothic Book"/>
                      <w:sz w:val="20"/>
                    </w:rPr>
                    <w:t>2070)</w:t>
                  </w:r>
                  <w:r>
                    <w:rPr>
                      <w:rFonts w:ascii="Franklin Gothic Book" w:hAnsi="Franklin Gothic Book"/>
                      <w:spacing w:val="-13"/>
                      <w:sz w:val="20"/>
                    </w:rPr>
                    <w:t> </w:t>
                  </w:r>
                  <w:r>
                    <w:rPr>
                      <w:rFonts w:ascii="Franklin Gothic Book" w:hAnsi="Franklin Gothic Book"/>
                      <w:sz w:val="20"/>
                    </w:rPr>
                    <w:t>della</w:t>
                  </w:r>
                  <w:r>
                    <w:rPr>
                      <w:rFonts w:ascii="Franklin Gothic Book" w:hAnsi="Franklin Gothic Book"/>
                      <w:spacing w:val="-14"/>
                      <w:sz w:val="20"/>
                    </w:rPr>
                    <w:t> </w:t>
                  </w:r>
                  <w:r>
                    <w:rPr>
                      <w:rFonts w:ascii="Franklin Gothic Book" w:hAnsi="Franklin Gothic Book"/>
                      <w:sz w:val="20"/>
                    </w:rPr>
                    <w:t>spesa</w:t>
                  </w:r>
                  <w:r>
                    <w:rPr>
                      <w:rFonts w:ascii="Franklin Gothic Book" w:hAnsi="Franklin Gothic Book"/>
                      <w:spacing w:val="-11"/>
                      <w:sz w:val="20"/>
                    </w:rPr>
                    <w:t> </w:t>
                  </w:r>
                  <w:r>
                    <w:rPr>
                      <w:rFonts w:ascii="Franklin Gothic Book" w:hAnsi="Franklin Gothic Book"/>
                      <w:sz w:val="20"/>
                    </w:rPr>
                    <w:t>pensionistica</w:t>
                  </w:r>
                  <w:r>
                    <w:rPr>
                      <w:rFonts w:ascii="Franklin Gothic Book" w:hAnsi="Franklin Gothic Book"/>
                      <w:spacing w:val="-14"/>
                      <w:sz w:val="20"/>
                    </w:rPr>
                    <w:t> </w:t>
                  </w:r>
                  <w:r>
                    <w:rPr>
                      <w:rFonts w:ascii="Franklin Gothic Book" w:hAnsi="Franklin Gothic Book"/>
                      <w:sz w:val="20"/>
                    </w:rPr>
                    <w:t>in</w:t>
                  </w:r>
                  <w:r>
                    <w:rPr>
                      <w:rFonts w:ascii="Franklin Gothic Book" w:hAnsi="Franklin Gothic Book"/>
                      <w:spacing w:val="-13"/>
                      <w:sz w:val="20"/>
                    </w:rPr>
                    <w:t> </w:t>
                  </w:r>
                  <w:r>
                    <w:rPr>
                      <w:rFonts w:ascii="Franklin Gothic Book" w:hAnsi="Franklin Gothic Book"/>
                      <w:sz w:val="20"/>
                    </w:rPr>
                    <w:t>rapporto</w:t>
                  </w:r>
                  <w:r>
                    <w:rPr>
                      <w:rFonts w:ascii="Franklin Gothic Book" w:hAnsi="Franklin Gothic Book"/>
                      <w:spacing w:val="-14"/>
                      <w:sz w:val="20"/>
                    </w:rPr>
                    <w:t> </w:t>
                  </w:r>
                  <w:r>
                    <w:rPr>
                      <w:rFonts w:ascii="Franklin Gothic Book" w:hAnsi="Franklin Gothic Book"/>
                      <w:sz w:val="20"/>
                    </w:rPr>
                    <w:t>al</w:t>
                  </w:r>
                  <w:r>
                    <w:rPr>
                      <w:rFonts w:ascii="Franklin Gothic Book" w:hAnsi="Franklin Gothic Book"/>
                      <w:spacing w:val="-12"/>
                      <w:sz w:val="20"/>
                    </w:rPr>
                    <w:t> </w:t>
                  </w:r>
                  <w:r>
                    <w:rPr>
                      <w:rFonts w:ascii="Franklin Gothic Book" w:hAnsi="Franklin Gothic Book"/>
                      <w:sz w:val="20"/>
                    </w:rPr>
                    <w:t>PIL</w:t>
                  </w:r>
                  <w:r>
                    <w:rPr>
                      <w:rFonts w:ascii="Franklin Gothic Book" w:hAnsi="Franklin Gothic Book"/>
                      <w:spacing w:val="24"/>
                      <w:sz w:val="20"/>
                    </w:rPr>
                    <w:t> </w:t>
                  </w:r>
                  <w:r>
                    <w:rPr>
                      <w:rFonts w:ascii="Franklin Gothic Book" w:hAnsi="Franklin Gothic Book"/>
                      <w:sz w:val="20"/>
                    </w:rPr>
                    <w:t>recepisce</w:t>
                  </w:r>
                  <w:r>
                    <w:rPr>
                      <w:rFonts w:ascii="Franklin Gothic Book" w:hAnsi="Franklin Gothic Book"/>
                      <w:spacing w:val="-14"/>
                      <w:sz w:val="20"/>
                    </w:rPr>
                    <w:t> </w:t>
                  </w:r>
                  <w:r>
                    <w:rPr>
                      <w:rFonts w:ascii="Franklin Gothic Book" w:hAnsi="Franklin Gothic Book"/>
                      <w:sz w:val="20"/>
                    </w:rPr>
                    <w:t>i</w:t>
                  </w:r>
                  <w:r>
                    <w:rPr>
                      <w:rFonts w:ascii="Franklin Gothic Book" w:hAnsi="Franklin Gothic Book"/>
                      <w:spacing w:val="-12"/>
                      <w:sz w:val="20"/>
                    </w:rPr>
                    <w:t> </w:t>
                  </w:r>
                  <w:r>
                    <w:rPr>
                      <w:rFonts w:ascii="Franklin Gothic Book" w:hAnsi="Franklin Gothic Book"/>
                      <w:sz w:val="20"/>
                    </w:rPr>
                    <w:t>parametri demografici sottostanti lo scenario mediano elaborato dall’Istat</w:t>
                  </w:r>
                  <w:r>
                    <w:rPr>
                      <w:rFonts w:ascii="Franklin Gothic Book" w:hAnsi="Franklin Gothic Book"/>
                      <w:position w:val="5"/>
                      <w:sz w:val="13"/>
                    </w:rPr>
                    <w:t>12</w:t>
                  </w:r>
                  <w:r>
                    <w:rPr>
                      <w:rFonts w:ascii="Franklin Gothic Book" w:hAnsi="Franklin Gothic Book"/>
                      <w:sz w:val="20"/>
                    </w:rPr>
                    <w:t>, con base 2017, mentre, per quanto riguarda il quadro macroeconomico, assume un tasso di crescita del PIL reale che si attesta attorno all’1,2 per cento medio annuo nel corso dell’orizzonte</w:t>
                  </w:r>
                  <w:r>
                    <w:rPr>
                      <w:rFonts w:ascii="Franklin Gothic Book" w:hAnsi="Franklin Gothic Book"/>
                      <w:spacing w:val="-22"/>
                      <w:sz w:val="20"/>
                    </w:rPr>
                    <w:t> </w:t>
                  </w:r>
                  <w:r>
                    <w:rPr>
                      <w:rFonts w:ascii="Franklin Gothic Book" w:hAnsi="Franklin Gothic Book"/>
                      <w:sz w:val="20"/>
                    </w:rPr>
                    <w:t>previsivo</w:t>
                  </w:r>
                  <w:r>
                    <w:rPr>
                      <w:rFonts w:ascii="Franklin Gothic Book" w:hAnsi="Franklin Gothic Book"/>
                      <w:position w:val="5"/>
                      <w:sz w:val="13"/>
                    </w:rPr>
                    <w:t>13</w:t>
                  </w:r>
                  <w:r>
                    <w:rPr>
                      <w:rFonts w:ascii="Franklin Gothic Book" w:hAnsi="Franklin Gothic Book"/>
                      <w:sz w:val="20"/>
                    </w:rPr>
                    <w:t>.</w:t>
                  </w:r>
                </w:p>
                <w:p>
                  <w:pPr>
                    <w:spacing w:line="254" w:lineRule="auto" w:before="58"/>
                    <w:ind w:left="475" w:right="-15" w:firstLine="0"/>
                    <w:jc w:val="both"/>
                    <w:rPr>
                      <w:rFonts w:ascii="Franklin Gothic Book" w:hAnsi="Franklin Gothic Book"/>
                      <w:sz w:val="20"/>
                    </w:rPr>
                  </w:pPr>
                  <w:r>
                    <w:rPr>
                      <w:rFonts w:ascii="Franklin Gothic Book" w:hAnsi="Franklin Gothic Book"/>
                      <w:sz w:val="20"/>
                    </w:rPr>
                    <w:t>La previsione della spesa pensionistica</w:t>
                  </w:r>
                  <w:r>
                    <w:rPr>
                      <w:rFonts w:ascii="Franklin Gothic Book" w:hAnsi="Franklin Gothic Book"/>
                      <w:position w:val="5"/>
                      <w:sz w:val="13"/>
                    </w:rPr>
                    <w:t>14 </w:t>
                  </w:r>
                  <w:r>
                    <w:rPr>
                      <w:rFonts w:ascii="Franklin Gothic Book" w:hAnsi="Franklin Gothic Book"/>
                      <w:sz w:val="20"/>
                    </w:rPr>
                    <w:t>in rapporto al PIL, riportata in figura 1, sconta gli effetti delle misure contenute negli interventi di riforma adottati negli ultimi venti anni. Si fa riferimento, in particolare, all’applicazione del regime contributivo (Legge n. 335/1995) e alle nuove regole introdotte con la Legge n. 214/2011 che, elevando i requisiti di accesso per il pensionamento di vecchiaia ed anticipato, ha migliorato in modo significativo la sostenibilità del sistema pensionistico nel medio-lungo periodo, garantendo una maggiore equità tra le generazioni. Il processo di riforma ha previsto altresì l’estensione, a partire dal 2012, del regime contributivo a tutti i lavoratori. Infine, a partire dal 2013, tutti i requisiti di età (inclusi quelli per l’accesso all’assegno sociale) e quello contributivo per l’accesso al pensionamento anticipato indipendentemente dall’età anagrafica sono periodicamente indicizzati alle variazioni della speranza di vita, misurata dall’ISTAT. Con medesima periodicità ed analogo procedimento è previsto, inoltre, l’adeguamento dei coefficienti di trasformazione</w:t>
                  </w:r>
                  <w:r>
                    <w:rPr>
                      <w:rFonts w:ascii="Franklin Gothic Book" w:hAnsi="Franklin Gothic Book"/>
                      <w:spacing w:val="-14"/>
                      <w:sz w:val="20"/>
                    </w:rPr>
                    <w:t> </w:t>
                  </w:r>
                  <w:r>
                    <w:rPr>
                      <w:rFonts w:ascii="Franklin Gothic Book" w:hAnsi="Franklin Gothic Book"/>
                      <w:sz w:val="20"/>
                    </w:rPr>
                    <w:t>in</w:t>
                  </w:r>
                  <w:r>
                    <w:rPr>
                      <w:rFonts w:ascii="Franklin Gothic Book" w:hAnsi="Franklin Gothic Book"/>
                      <w:spacing w:val="-13"/>
                      <w:sz w:val="20"/>
                    </w:rPr>
                    <w:t> </w:t>
                  </w:r>
                  <w:r>
                    <w:rPr>
                      <w:rFonts w:ascii="Franklin Gothic Book" w:hAnsi="Franklin Gothic Book"/>
                      <w:sz w:val="20"/>
                    </w:rPr>
                    <w:t>funzione</w:t>
                  </w:r>
                  <w:r>
                    <w:rPr>
                      <w:rFonts w:ascii="Franklin Gothic Book" w:hAnsi="Franklin Gothic Book"/>
                      <w:spacing w:val="-13"/>
                      <w:sz w:val="20"/>
                    </w:rPr>
                    <w:t> </w:t>
                  </w:r>
                  <w:r>
                    <w:rPr>
                      <w:rFonts w:ascii="Franklin Gothic Book" w:hAnsi="Franklin Gothic Book"/>
                      <w:sz w:val="20"/>
                    </w:rPr>
                    <w:t>delle</w:t>
                  </w:r>
                  <w:r>
                    <w:rPr>
                      <w:rFonts w:ascii="Franklin Gothic Book" w:hAnsi="Franklin Gothic Book"/>
                      <w:spacing w:val="-13"/>
                      <w:sz w:val="20"/>
                    </w:rPr>
                    <w:t> </w:t>
                  </w:r>
                  <w:r>
                    <w:rPr>
                      <w:rFonts w:ascii="Franklin Gothic Book" w:hAnsi="Franklin Gothic Book"/>
                      <w:sz w:val="20"/>
                    </w:rPr>
                    <w:t>probabilità</w:t>
                  </w:r>
                  <w:r>
                    <w:rPr>
                      <w:rFonts w:ascii="Franklin Gothic Book" w:hAnsi="Franklin Gothic Book"/>
                      <w:spacing w:val="-12"/>
                      <w:sz w:val="20"/>
                    </w:rPr>
                    <w:t> </w:t>
                  </w:r>
                  <w:r>
                    <w:rPr>
                      <w:rFonts w:ascii="Franklin Gothic Book" w:hAnsi="Franklin Gothic Book"/>
                      <w:sz w:val="20"/>
                    </w:rPr>
                    <w:t>di</w:t>
                  </w:r>
                  <w:r>
                    <w:rPr>
                      <w:rFonts w:ascii="Franklin Gothic Book" w:hAnsi="Franklin Gothic Book"/>
                      <w:spacing w:val="-13"/>
                      <w:sz w:val="20"/>
                    </w:rPr>
                    <w:t> </w:t>
                  </w:r>
                  <w:r>
                    <w:rPr>
                      <w:rFonts w:ascii="Franklin Gothic Book" w:hAnsi="Franklin Gothic Book"/>
                      <w:sz w:val="20"/>
                    </w:rPr>
                    <w:t>sopravvivenza.</w:t>
                  </w:r>
                  <w:r>
                    <w:rPr>
                      <w:rFonts w:ascii="Franklin Gothic Book" w:hAnsi="Franklin Gothic Book"/>
                      <w:spacing w:val="-12"/>
                      <w:sz w:val="20"/>
                    </w:rPr>
                    <w:t> </w:t>
                  </w:r>
                  <w:r>
                    <w:rPr>
                      <w:rFonts w:ascii="Franklin Gothic Book" w:hAnsi="Franklin Gothic Book"/>
                      <w:sz w:val="20"/>
                    </w:rPr>
                    <w:t>Entrambi</w:t>
                  </w:r>
                  <w:r>
                    <w:rPr>
                      <w:rFonts w:ascii="Franklin Gothic Book" w:hAnsi="Franklin Gothic Book"/>
                      <w:spacing w:val="-13"/>
                      <w:sz w:val="20"/>
                    </w:rPr>
                    <w:t> </w:t>
                  </w:r>
                  <w:r>
                    <w:rPr>
                      <w:rFonts w:ascii="Franklin Gothic Book" w:hAnsi="Franklin Gothic Book"/>
                      <w:sz w:val="20"/>
                    </w:rPr>
                    <w:t>gli</w:t>
                  </w:r>
                  <w:r>
                    <w:rPr>
                      <w:rFonts w:ascii="Franklin Gothic Book" w:hAnsi="Franklin Gothic Book"/>
                      <w:spacing w:val="-12"/>
                      <w:sz w:val="20"/>
                    </w:rPr>
                    <w:t> </w:t>
                  </w:r>
                  <w:r>
                    <w:rPr>
                      <w:rFonts w:ascii="Franklin Gothic Book" w:hAnsi="Franklin Gothic Book"/>
                      <w:sz w:val="20"/>
                    </w:rPr>
                    <w:t>adeguamenti</w:t>
                  </w:r>
                  <w:r>
                    <w:rPr>
                      <w:rFonts w:ascii="Franklin Gothic Book" w:hAnsi="Franklin Gothic Book"/>
                      <w:spacing w:val="-13"/>
                      <w:sz w:val="20"/>
                    </w:rPr>
                    <w:t> </w:t>
                  </w:r>
                  <w:r>
                    <w:rPr>
                      <w:rFonts w:ascii="Franklin Gothic Book" w:hAnsi="Franklin Gothic Book"/>
                      <w:sz w:val="20"/>
                    </w:rPr>
                    <w:t>sono effettuati ogni tre anni dal 2013 al 2019, ed ogni due anni successivamente, secondo un procedimento che rientra interamente nella sfera di azione amministrativa e che garantisce la certezza delle date prefissate per le future</w:t>
                  </w:r>
                  <w:r>
                    <w:rPr>
                      <w:rFonts w:ascii="Franklin Gothic Book" w:hAnsi="Franklin Gothic Book"/>
                      <w:spacing w:val="-4"/>
                      <w:sz w:val="20"/>
                    </w:rPr>
                    <w:t> </w:t>
                  </w:r>
                  <w:r>
                    <w:rPr>
                      <w:rFonts w:ascii="Franklin Gothic Book" w:hAnsi="Franklin Gothic Book"/>
                      <w:sz w:val="20"/>
                    </w:rPr>
                    <w:t>revisioni</w:t>
                  </w:r>
                  <w:r>
                    <w:rPr>
                      <w:rFonts w:ascii="Franklin Gothic Book" w:hAnsi="Franklin Gothic Book"/>
                      <w:position w:val="5"/>
                      <w:sz w:val="13"/>
                    </w:rPr>
                    <w:t>15</w:t>
                  </w:r>
                  <w:r>
                    <w:rPr>
                      <w:rFonts w:ascii="Franklin Gothic Book" w:hAnsi="Franklin Gothic Book"/>
                      <w:sz w:val="20"/>
                    </w:rPr>
                    <w:t>.</w:t>
                  </w:r>
                </w:p>
                <w:p>
                  <w:pPr>
                    <w:spacing w:line="254" w:lineRule="auto" w:before="55"/>
                    <w:ind w:left="475" w:right="1" w:firstLine="0"/>
                    <w:jc w:val="both"/>
                    <w:rPr>
                      <w:rFonts w:ascii="Franklin Gothic Book" w:hAnsi="Franklin Gothic Book"/>
                      <w:sz w:val="20"/>
                    </w:rPr>
                  </w:pPr>
                  <w:r>
                    <w:rPr>
                      <w:rFonts w:ascii="Franklin Gothic Book" w:hAnsi="Franklin Gothic Book"/>
                      <w:sz w:val="20"/>
                    </w:rPr>
                    <w:t>La previsione tiene conto degli interventi normativi contenuti nella Legge n. 145/2018 (Legge di Bilancio 2019), tra i quali l’introduzione del nuovo regime di indicizzazione dei trattamenti pensionistici in vigore nel periodo 2019-2021 e l’applicazione nel quinquennio</w:t>
                  </w:r>
                </w:p>
              </w:txbxContent>
            </v:textbox>
            <v:fill type="solid"/>
          </v:shape>
        </w:pict>
      </w:r>
      <w:r>
        <w:rPr>
          <w:rFonts w:ascii="Times New Roman"/>
          <w:sz w:val="20"/>
        </w:rPr>
      </w:r>
    </w:p>
    <w:p>
      <w:pPr>
        <w:pStyle w:val="BodyText"/>
        <w:rPr>
          <w:rFonts w:ascii="Times New Roman"/>
          <w:sz w:val="20"/>
        </w:rPr>
      </w:pPr>
    </w:p>
    <w:p>
      <w:pPr>
        <w:pStyle w:val="BodyText"/>
        <w:spacing w:before="8"/>
        <w:rPr>
          <w:rFonts w:ascii="Times New Roman"/>
          <w:sz w:val="13"/>
        </w:rPr>
      </w:pPr>
      <w:r>
        <w:rPr/>
        <w:pict>
          <v:group style="position:absolute;margin-left:93.599998pt;margin-top:9.890977pt;width:21.4pt;height:2.1pt;mso-position-horizontal-relative:page;mso-position-vertical-relative:paragraph;z-index:-251520000;mso-wrap-distance-left:0;mso-wrap-distance-right:0" coordorigin="1872,198" coordsize="428,42">
            <v:line style="position:absolute" from="1872,218" to="2299,218" stroked="true" strokeweight="2.050pt" strokecolor="#aaaaaa">
              <v:stroke dashstyle="solid"/>
            </v:line>
            <v:rect style="position:absolute;left:1872;top:199;width:5;height:5" filled="true" fillcolor="#9f9f9f" stroked="false">
              <v:fill type="solid"/>
            </v:rect>
            <v:rect style="position:absolute;left:1872;top:199;width:5;height:5" filled="true" fillcolor="#9f9f9f" stroked="false">
              <v:fill type="solid"/>
            </v:rect>
            <v:line style="position:absolute" from="1877,201" to="2295,201" stroked="true" strokeweight=".23999pt" strokecolor="#9f9f9f">
              <v:stroke dashstyle="solid"/>
            </v:line>
            <v:rect style="position:absolute;left:2294;top:199;width:5;height:5" filled="true" fillcolor="#e2e2e2" stroked="false">
              <v:fill type="solid"/>
            </v:rect>
            <v:rect style="position:absolute;left:2294;top:199;width:5;height:5" filled="true" fillcolor="#9f9f9f" stroked="false">
              <v:fill type="solid"/>
            </v:rect>
            <v:rect style="position:absolute;left:1872;top:203;width:5;height:32" filled="true" fillcolor="#9f9f9f" stroked="false">
              <v:fill type="solid"/>
            </v:rect>
            <v:rect style="position:absolute;left:2294;top:203;width:5;height:32" filled="true" fillcolor="#e2e2e2" stroked="false">
              <v:fill type="solid"/>
            </v:rect>
            <v:rect style="position:absolute;left:1872;top:235;width:5;height:5" filled="true" fillcolor="#9f9f9f" stroked="false">
              <v:fill type="solid"/>
            </v:rect>
            <v:rect style="position:absolute;left:1872;top:235;width:5;height:5" filled="true" fillcolor="#e2e2e2" stroked="false">
              <v:fill type="solid"/>
            </v:rect>
            <v:line style="position:absolute" from="1877,237" to="2295,237" stroked="true" strokeweight=".24002pt" strokecolor="#e2e2e2">
              <v:stroke dashstyle="solid"/>
            </v:line>
            <v:rect style="position:absolute;left:2294;top:235;width:5;height:5" filled="true" fillcolor="#e2e2e2" stroked="false">
              <v:fill type="solid"/>
            </v:rect>
            <v:rect style="position:absolute;left:2294;top:235;width:5;height:5" filled="true" fillcolor="#e2e2e2" stroked="false">
              <v:fill type="solid"/>
            </v:rect>
            <w10:wrap type="topAndBottom"/>
          </v:group>
        </w:pict>
      </w:r>
    </w:p>
    <w:p>
      <w:pPr>
        <w:spacing w:before="20"/>
        <w:ind w:left="278" w:right="2267" w:firstLine="453"/>
        <w:jc w:val="both"/>
        <w:rPr>
          <w:sz w:val="16"/>
        </w:rPr>
      </w:pPr>
      <w:r>
        <w:rPr>
          <w:position w:val="6"/>
          <w:sz w:val="10"/>
        </w:rPr>
        <w:t>11 </w:t>
      </w:r>
      <w:r>
        <w:rPr>
          <w:sz w:val="16"/>
        </w:rPr>
        <w:t>L’andamento di medio-lungo periodo della spesa pensionistica in rapporto al PIL viene presentata in attuazione di quanto previsto dall’articolo 1, comma 5 della legge n. 335 del 1995. I dati di Contabilità Nazionale relativi</w:t>
      </w:r>
      <w:r>
        <w:rPr>
          <w:spacing w:val="-8"/>
          <w:sz w:val="16"/>
        </w:rPr>
        <w:t> </w:t>
      </w:r>
      <w:r>
        <w:rPr>
          <w:sz w:val="16"/>
        </w:rPr>
        <w:t>alla</w:t>
      </w:r>
      <w:r>
        <w:rPr>
          <w:spacing w:val="-7"/>
          <w:sz w:val="16"/>
        </w:rPr>
        <w:t> </w:t>
      </w:r>
      <w:r>
        <w:rPr>
          <w:sz w:val="16"/>
        </w:rPr>
        <w:t>spesa</w:t>
      </w:r>
      <w:r>
        <w:rPr>
          <w:spacing w:val="-8"/>
          <w:sz w:val="16"/>
        </w:rPr>
        <w:t> </w:t>
      </w:r>
      <w:r>
        <w:rPr>
          <w:sz w:val="16"/>
        </w:rPr>
        <w:t>pensionistica</w:t>
      </w:r>
      <w:r>
        <w:rPr>
          <w:spacing w:val="-7"/>
          <w:sz w:val="16"/>
        </w:rPr>
        <w:t> </w:t>
      </w:r>
      <w:r>
        <w:rPr>
          <w:sz w:val="16"/>
        </w:rPr>
        <w:t>e</w:t>
      </w:r>
      <w:r>
        <w:rPr>
          <w:spacing w:val="-8"/>
          <w:sz w:val="16"/>
        </w:rPr>
        <w:t> </w:t>
      </w:r>
      <w:r>
        <w:rPr>
          <w:sz w:val="16"/>
        </w:rPr>
        <w:t>al</w:t>
      </w:r>
      <w:r>
        <w:rPr>
          <w:spacing w:val="-7"/>
          <w:sz w:val="16"/>
        </w:rPr>
        <w:t> </w:t>
      </w:r>
      <w:r>
        <w:rPr>
          <w:sz w:val="16"/>
        </w:rPr>
        <w:t>PIL</w:t>
      </w:r>
      <w:r>
        <w:rPr>
          <w:spacing w:val="-6"/>
          <w:sz w:val="16"/>
        </w:rPr>
        <w:t> </w:t>
      </w:r>
      <w:r>
        <w:rPr>
          <w:sz w:val="16"/>
        </w:rPr>
        <w:t>sono</w:t>
      </w:r>
      <w:r>
        <w:rPr>
          <w:spacing w:val="-6"/>
          <w:sz w:val="16"/>
        </w:rPr>
        <w:t> </w:t>
      </w:r>
      <w:r>
        <w:rPr>
          <w:sz w:val="16"/>
        </w:rPr>
        <w:t>elaborati</w:t>
      </w:r>
      <w:r>
        <w:rPr>
          <w:spacing w:val="-8"/>
          <w:sz w:val="16"/>
        </w:rPr>
        <w:t> </w:t>
      </w:r>
      <w:r>
        <w:rPr>
          <w:sz w:val="16"/>
        </w:rPr>
        <w:t>in</w:t>
      </w:r>
      <w:r>
        <w:rPr>
          <w:spacing w:val="-6"/>
          <w:sz w:val="16"/>
        </w:rPr>
        <w:t> </w:t>
      </w:r>
      <w:r>
        <w:rPr>
          <w:sz w:val="16"/>
        </w:rPr>
        <w:t>coerenza</w:t>
      </w:r>
      <w:r>
        <w:rPr>
          <w:spacing w:val="-7"/>
          <w:sz w:val="16"/>
        </w:rPr>
        <w:t> </w:t>
      </w:r>
      <w:r>
        <w:rPr>
          <w:sz w:val="16"/>
        </w:rPr>
        <w:t>con</w:t>
      </w:r>
      <w:r>
        <w:rPr>
          <w:spacing w:val="-6"/>
          <w:sz w:val="16"/>
        </w:rPr>
        <w:t> </w:t>
      </w:r>
      <w:r>
        <w:rPr>
          <w:sz w:val="16"/>
        </w:rPr>
        <w:t>il</w:t>
      </w:r>
      <w:r>
        <w:rPr>
          <w:spacing w:val="-6"/>
          <w:sz w:val="16"/>
        </w:rPr>
        <w:t> </w:t>
      </w:r>
      <w:r>
        <w:rPr>
          <w:sz w:val="16"/>
        </w:rPr>
        <w:t>nuovo</w:t>
      </w:r>
      <w:r>
        <w:rPr>
          <w:spacing w:val="-7"/>
          <w:sz w:val="16"/>
        </w:rPr>
        <w:t> </w:t>
      </w:r>
      <w:r>
        <w:rPr>
          <w:sz w:val="16"/>
        </w:rPr>
        <w:t>Sistema</w:t>
      </w:r>
      <w:r>
        <w:rPr>
          <w:spacing w:val="-7"/>
          <w:sz w:val="16"/>
        </w:rPr>
        <w:t> </w:t>
      </w:r>
      <w:r>
        <w:rPr>
          <w:sz w:val="16"/>
        </w:rPr>
        <w:t>europeo</w:t>
      </w:r>
      <w:r>
        <w:rPr>
          <w:spacing w:val="-7"/>
          <w:sz w:val="16"/>
        </w:rPr>
        <w:t> </w:t>
      </w:r>
      <w:r>
        <w:rPr>
          <w:sz w:val="16"/>
        </w:rPr>
        <w:t>dei</w:t>
      </w:r>
      <w:r>
        <w:rPr>
          <w:spacing w:val="-7"/>
          <w:sz w:val="16"/>
        </w:rPr>
        <w:t> </w:t>
      </w:r>
      <w:r>
        <w:rPr>
          <w:sz w:val="16"/>
        </w:rPr>
        <w:t>conti</w:t>
      </w:r>
      <w:r>
        <w:rPr>
          <w:spacing w:val="-7"/>
          <w:sz w:val="16"/>
        </w:rPr>
        <w:t> </w:t>
      </w:r>
      <w:r>
        <w:rPr>
          <w:sz w:val="16"/>
        </w:rPr>
        <w:t>nazionali e regionali (Sec</w:t>
      </w:r>
      <w:r>
        <w:rPr>
          <w:spacing w:val="-2"/>
          <w:sz w:val="16"/>
        </w:rPr>
        <w:t> </w:t>
      </w:r>
      <w:r>
        <w:rPr>
          <w:sz w:val="16"/>
        </w:rPr>
        <w:t>2010).</w:t>
      </w:r>
    </w:p>
    <w:p>
      <w:pPr>
        <w:spacing w:line="240" w:lineRule="auto" w:before="0"/>
        <w:ind w:left="278" w:right="2262" w:firstLine="453"/>
        <w:jc w:val="both"/>
        <w:rPr>
          <w:sz w:val="16"/>
        </w:rPr>
      </w:pPr>
      <w:r>
        <w:rPr/>
        <w:pict>
          <v:rect style="position:absolute;margin-left:70.944pt;margin-top:-400.70517pt;width:1.44pt;height:336.02pt;mso-position-horizontal-relative:page;mso-position-vertical-relative:paragraph;z-index:251797504" filled="true" fillcolor="#086d44" stroked="false">
            <v:fill type="solid"/>
            <w10:wrap type="none"/>
          </v:rect>
        </w:pict>
      </w:r>
      <w:r>
        <w:rPr>
          <w:position w:val="6"/>
          <w:sz w:val="10"/>
        </w:rPr>
        <w:t>12 </w:t>
      </w:r>
      <w:r>
        <w:rPr>
          <w:sz w:val="16"/>
        </w:rPr>
        <w:t>Poiché le previsioni della popolazione prodotte da Istat coprono un orizzonte temporale fino al 2065, il valore dei parametri demografici relativi al quinquennio finale del periodo di previsione è stato estrapolato sulla base</w:t>
      </w:r>
      <w:r>
        <w:rPr>
          <w:spacing w:val="-12"/>
          <w:sz w:val="16"/>
        </w:rPr>
        <w:t> </w:t>
      </w:r>
      <w:r>
        <w:rPr>
          <w:sz w:val="16"/>
        </w:rPr>
        <w:t>degli</w:t>
      </w:r>
      <w:r>
        <w:rPr>
          <w:spacing w:val="-14"/>
          <w:sz w:val="16"/>
        </w:rPr>
        <w:t> </w:t>
      </w:r>
      <w:r>
        <w:rPr>
          <w:sz w:val="16"/>
        </w:rPr>
        <w:t>andamenti</w:t>
      </w:r>
      <w:r>
        <w:rPr>
          <w:spacing w:val="-14"/>
          <w:sz w:val="16"/>
        </w:rPr>
        <w:t> </w:t>
      </w:r>
      <w:r>
        <w:rPr>
          <w:sz w:val="16"/>
        </w:rPr>
        <w:t>del</w:t>
      </w:r>
      <w:r>
        <w:rPr>
          <w:spacing w:val="-13"/>
          <w:sz w:val="16"/>
        </w:rPr>
        <w:t> </w:t>
      </w:r>
      <w:r>
        <w:rPr>
          <w:sz w:val="16"/>
        </w:rPr>
        <w:t>decennio</w:t>
      </w:r>
      <w:r>
        <w:rPr>
          <w:spacing w:val="-13"/>
          <w:sz w:val="16"/>
        </w:rPr>
        <w:t> </w:t>
      </w:r>
      <w:r>
        <w:rPr>
          <w:sz w:val="16"/>
        </w:rPr>
        <w:t>precedente.</w:t>
      </w:r>
      <w:r>
        <w:rPr>
          <w:spacing w:val="-14"/>
          <w:sz w:val="16"/>
        </w:rPr>
        <w:t> </w:t>
      </w:r>
      <w:r>
        <w:rPr>
          <w:sz w:val="16"/>
        </w:rPr>
        <w:t>Complessivamente,</w:t>
      </w:r>
      <w:r>
        <w:rPr>
          <w:spacing w:val="-15"/>
          <w:sz w:val="16"/>
        </w:rPr>
        <w:t> </w:t>
      </w:r>
      <w:r>
        <w:rPr>
          <w:sz w:val="16"/>
        </w:rPr>
        <w:t>i</w:t>
      </w:r>
      <w:r>
        <w:rPr>
          <w:spacing w:val="-14"/>
          <w:sz w:val="16"/>
        </w:rPr>
        <w:t> </w:t>
      </w:r>
      <w:r>
        <w:rPr>
          <w:sz w:val="16"/>
        </w:rPr>
        <w:t>parametri</w:t>
      </w:r>
      <w:r>
        <w:rPr>
          <w:spacing w:val="-14"/>
          <w:sz w:val="16"/>
        </w:rPr>
        <w:t> </w:t>
      </w:r>
      <w:r>
        <w:rPr>
          <w:sz w:val="16"/>
        </w:rPr>
        <w:t>demografici</w:t>
      </w:r>
      <w:r>
        <w:rPr>
          <w:spacing w:val="-13"/>
          <w:sz w:val="16"/>
        </w:rPr>
        <w:t> </w:t>
      </w:r>
      <w:r>
        <w:rPr>
          <w:sz w:val="16"/>
        </w:rPr>
        <w:t>con</w:t>
      </w:r>
      <w:r>
        <w:rPr>
          <w:spacing w:val="-13"/>
          <w:sz w:val="16"/>
        </w:rPr>
        <w:t> </w:t>
      </w:r>
      <w:r>
        <w:rPr>
          <w:sz w:val="16"/>
        </w:rPr>
        <w:t>la</w:t>
      </w:r>
      <w:r>
        <w:rPr>
          <w:spacing w:val="-16"/>
          <w:sz w:val="16"/>
        </w:rPr>
        <w:t> </w:t>
      </w:r>
      <w:r>
        <w:rPr>
          <w:sz w:val="16"/>
        </w:rPr>
        <w:t>nuova</w:t>
      </w:r>
      <w:r>
        <w:rPr>
          <w:spacing w:val="-13"/>
          <w:sz w:val="16"/>
        </w:rPr>
        <w:t> </w:t>
      </w:r>
      <w:r>
        <w:rPr>
          <w:sz w:val="16"/>
        </w:rPr>
        <w:t>previsione della</w:t>
      </w:r>
      <w:r>
        <w:rPr>
          <w:spacing w:val="-7"/>
          <w:sz w:val="16"/>
        </w:rPr>
        <w:t> </w:t>
      </w:r>
      <w:r>
        <w:rPr>
          <w:sz w:val="16"/>
        </w:rPr>
        <w:t>popolazione</w:t>
      </w:r>
      <w:r>
        <w:rPr>
          <w:spacing w:val="-5"/>
          <w:sz w:val="16"/>
        </w:rPr>
        <w:t> </w:t>
      </w:r>
      <w:r>
        <w:rPr>
          <w:sz w:val="16"/>
        </w:rPr>
        <w:t>Istat</w:t>
      </w:r>
      <w:r>
        <w:rPr>
          <w:spacing w:val="-5"/>
          <w:sz w:val="16"/>
        </w:rPr>
        <w:t> </w:t>
      </w:r>
      <w:r>
        <w:rPr>
          <w:sz w:val="16"/>
        </w:rPr>
        <w:t>risultano</w:t>
      </w:r>
      <w:r>
        <w:rPr>
          <w:spacing w:val="-8"/>
          <w:sz w:val="16"/>
        </w:rPr>
        <w:t> </w:t>
      </w:r>
      <w:r>
        <w:rPr>
          <w:sz w:val="16"/>
        </w:rPr>
        <w:t>così</w:t>
      </w:r>
      <w:r>
        <w:rPr>
          <w:spacing w:val="-6"/>
          <w:sz w:val="16"/>
        </w:rPr>
        <w:t> </w:t>
      </w:r>
      <w:r>
        <w:rPr>
          <w:sz w:val="16"/>
        </w:rPr>
        <w:t>specificati:</w:t>
      </w:r>
      <w:r>
        <w:rPr>
          <w:spacing w:val="-8"/>
          <w:sz w:val="16"/>
        </w:rPr>
        <w:t> </w:t>
      </w:r>
      <w:r>
        <w:rPr>
          <w:sz w:val="16"/>
        </w:rPr>
        <w:t>i)</w:t>
      </w:r>
      <w:r>
        <w:rPr>
          <w:spacing w:val="-8"/>
          <w:sz w:val="16"/>
        </w:rPr>
        <w:t> </w:t>
      </w:r>
      <w:r>
        <w:rPr>
          <w:sz w:val="16"/>
        </w:rPr>
        <w:t>il</w:t>
      </w:r>
      <w:r>
        <w:rPr>
          <w:spacing w:val="-8"/>
          <w:sz w:val="16"/>
        </w:rPr>
        <w:t> </w:t>
      </w:r>
      <w:r>
        <w:rPr>
          <w:sz w:val="16"/>
        </w:rPr>
        <w:t>tasso</w:t>
      </w:r>
      <w:r>
        <w:rPr>
          <w:spacing w:val="-5"/>
          <w:sz w:val="16"/>
        </w:rPr>
        <w:t> </w:t>
      </w:r>
      <w:r>
        <w:rPr>
          <w:sz w:val="16"/>
        </w:rPr>
        <w:t>di</w:t>
      </w:r>
      <w:r>
        <w:rPr>
          <w:spacing w:val="-9"/>
          <w:sz w:val="16"/>
        </w:rPr>
        <w:t> </w:t>
      </w:r>
      <w:r>
        <w:rPr>
          <w:sz w:val="16"/>
        </w:rPr>
        <w:t>fecondità</w:t>
      </w:r>
      <w:r>
        <w:rPr>
          <w:spacing w:val="-7"/>
          <w:sz w:val="16"/>
        </w:rPr>
        <w:t> </w:t>
      </w:r>
      <w:r>
        <w:rPr>
          <w:sz w:val="16"/>
        </w:rPr>
        <w:t>è</w:t>
      </w:r>
      <w:r>
        <w:rPr>
          <w:spacing w:val="-7"/>
          <w:sz w:val="16"/>
        </w:rPr>
        <w:t> </w:t>
      </w:r>
      <w:r>
        <w:rPr>
          <w:sz w:val="16"/>
        </w:rPr>
        <w:t>leggermente</w:t>
      </w:r>
      <w:r>
        <w:rPr>
          <w:spacing w:val="-5"/>
          <w:sz w:val="16"/>
        </w:rPr>
        <w:t> </w:t>
      </w:r>
      <w:r>
        <w:rPr>
          <w:sz w:val="16"/>
        </w:rPr>
        <w:t>crescente</w:t>
      </w:r>
      <w:r>
        <w:rPr>
          <w:spacing w:val="-5"/>
          <w:sz w:val="16"/>
        </w:rPr>
        <w:t> </w:t>
      </w:r>
      <w:r>
        <w:rPr>
          <w:sz w:val="16"/>
        </w:rPr>
        <w:t>dall’1,34</w:t>
      </w:r>
      <w:r>
        <w:rPr>
          <w:spacing w:val="-7"/>
          <w:sz w:val="16"/>
        </w:rPr>
        <w:t> </w:t>
      </w:r>
      <w:r>
        <w:rPr>
          <w:sz w:val="16"/>
        </w:rPr>
        <w:t>del</w:t>
      </w:r>
      <w:r>
        <w:rPr>
          <w:spacing w:val="-6"/>
          <w:sz w:val="16"/>
        </w:rPr>
        <w:t> </w:t>
      </w:r>
      <w:r>
        <w:rPr>
          <w:sz w:val="16"/>
        </w:rPr>
        <w:t>2017 all’1,59</w:t>
      </w:r>
      <w:r>
        <w:rPr>
          <w:spacing w:val="-7"/>
          <w:sz w:val="16"/>
        </w:rPr>
        <w:t> </w:t>
      </w:r>
      <w:r>
        <w:rPr>
          <w:sz w:val="16"/>
        </w:rPr>
        <w:t>del</w:t>
      </w:r>
      <w:r>
        <w:rPr>
          <w:spacing w:val="-5"/>
          <w:sz w:val="16"/>
        </w:rPr>
        <w:t> </w:t>
      </w:r>
      <w:r>
        <w:rPr>
          <w:sz w:val="16"/>
        </w:rPr>
        <w:t>2065,</w:t>
      </w:r>
      <w:r>
        <w:rPr>
          <w:spacing w:val="-7"/>
          <w:sz w:val="16"/>
        </w:rPr>
        <w:t> </w:t>
      </w:r>
      <w:r>
        <w:rPr>
          <w:sz w:val="16"/>
        </w:rPr>
        <w:t>con</w:t>
      </w:r>
      <w:r>
        <w:rPr>
          <w:spacing w:val="-7"/>
          <w:sz w:val="16"/>
        </w:rPr>
        <w:t> </w:t>
      </w:r>
      <w:r>
        <w:rPr>
          <w:sz w:val="16"/>
        </w:rPr>
        <w:t>una</w:t>
      </w:r>
      <w:r>
        <w:rPr>
          <w:spacing w:val="-6"/>
          <w:sz w:val="16"/>
        </w:rPr>
        <w:t> </w:t>
      </w:r>
      <w:r>
        <w:rPr>
          <w:sz w:val="16"/>
        </w:rPr>
        <w:t>progressione</w:t>
      </w:r>
      <w:r>
        <w:rPr>
          <w:spacing w:val="-6"/>
          <w:sz w:val="16"/>
        </w:rPr>
        <w:t> </w:t>
      </w:r>
      <w:r>
        <w:rPr>
          <w:sz w:val="16"/>
        </w:rPr>
        <w:t>pressoché</w:t>
      </w:r>
      <w:r>
        <w:rPr>
          <w:spacing w:val="-4"/>
          <w:sz w:val="16"/>
        </w:rPr>
        <w:t> </w:t>
      </w:r>
      <w:r>
        <w:rPr>
          <w:sz w:val="16"/>
        </w:rPr>
        <w:t>lineare,</w:t>
      </w:r>
      <w:r>
        <w:rPr>
          <w:spacing w:val="-4"/>
          <w:sz w:val="16"/>
        </w:rPr>
        <w:t> </w:t>
      </w:r>
      <w:r>
        <w:rPr>
          <w:sz w:val="16"/>
        </w:rPr>
        <w:t>ii)</w:t>
      </w:r>
      <w:r>
        <w:rPr>
          <w:spacing w:val="-4"/>
          <w:sz w:val="16"/>
        </w:rPr>
        <w:t> </w:t>
      </w:r>
      <w:r>
        <w:rPr>
          <w:sz w:val="16"/>
        </w:rPr>
        <w:t>la</w:t>
      </w:r>
      <w:r>
        <w:rPr>
          <w:spacing w:val="-6"/>
          <w:sz w:val="16"/>
        </w:rPr>
        <w:t> </w:t>
      </w:r>
      <w:r>
        <w:rPr>
          <w:sz w:val="16"/>
        </w:rPr>
        <w:t>speranza</w:t>
      </w:r>
      <w:r>
        <w:rPr>
          <w:spacing w:val="-5"/>
          <w:sz w:val="16"/>
        </w:rPr>
        <w:t> </w:t>
      </w:r>
      <w:r>
        <w:rPr>
          <w:sz w:val="16"/>
        </w:rPr>
        <w:t>di</w:t>
      </w:r>
      <w:r>
        <w:rPr>
          <w:spacing w:val="-5"/>
          <w:sz w:val="16"/>
        </w:rPr>
        <w:t> </w:t>
      </w:r>
      <w:r>
        <w:rPr>
          <w:sz w:val="16"/>
        </w:rPr>
        <w:t>vita</w:t>
      </w:r>
      <w:r>
        <w:rPr>
          <w:spacing w:val="-6"/>
          <w:sz w:val="16"/>
        </w:rPr>
        <w:t> </w:t>
      </w:r>
      <w:r>
        <w:rPr>
          <w:sz w:val="16"/>
        </w:rPr>
        <w:t>al</w:t>
      </w:r>
      <w:r>
        <w:rPr>
          <w:spacing w:val="-5"/>
          <w:sz w:val="16"/>
        </w:rPr>
        <w:t> </w:t>
      </w:r>
      <w:r>
        <w:rPr>
          <w:sz w:val="16"/>
        </w:rPr>
        <w:t>2065</w:t>
      </w:r>
      <w:r>
        <w:rPr>
          <w:spacing w:val="-8"/>
          <w:sz w:val="16"/>
        </w:rPr>
        <w:t> </w:t>
      </w:r>
      <w:r>
        <w:rPr>
          <w:sz w:val="16"/>
        </w:rPr>
        <w:t>raggiunge</w:t>
      </w:r>
      <w:r>
        <w:rPr>
          <w:spacing w:val="-5"/>
          <w:sz w:val="16"/>
        </w:rPr>
        <w:t> </w:t>
      </w:r>
      <w:r>
        <w:rPr>
          <w:sz w:val="16"/>
        </w:rPr>
        <w:t>86,1</w:t>
      </w:r>
      <w:r>
        <w:rPr>
          <w:spacing w:val="-5"/>
          <w:sz w:val="16"/>
        </w:rPr>
        <w:t> </w:t>
      </w:r>
      <w:r>
        <w:rPr>
          <w:sz w:val="16"/>
        </w:rPr>
        <w:t>anni</w:t>
      </w:r>
      <w:r>
        <w:rPr>
          <w:spacing w:val="-5"/>
          <w:sz w:val="16"/>
        </w:rPr>
        <w:t> </w:t>
      </w:r>
      <w:r>
        <w:rPr>
          <w:sz w:val="16"/>
        </w:rPr>
        <w:t>per</w:t>
      </w:r>
      <w:r>
        <w:rPr>
          <w:spacing w:val="-5"/>
          <w:sz w:val="16"/>
        </w:rPr>
        <w:t> </w:t>
      </w:r>
      <w:r>
        <w:rPr>
          <w:sz w:val="16"/>
        </w:rPr>
        <w:t>gli uomini</w:t>
      </w:r>
      <w:r>
        <w:rPr>
          <w:spacing w:val="-10"/>
          <w:sz w:val="16"/>
        </w:rPr>
        <w:t> </w:t>
      </w:r>
      <w:r>
        <w:rPr>
          <w:sz w:val="16"/>
        </w:rPr>
        <w:t>e</w:t>
      </w:r>
      <w:r>
        <w:rPr>
          <w:spacing w:val="-8"/>
          <w:sz w:val="16"/>
        </w:rPr>
        <w:t> </w:t>
      </w:r>
      <w:r>
        <w:rPr>
          <w:sz w:val="16"/>
        </w:rPr>
        <w:t>90,2</w:t>
      </w:r>
      <w:r>
        <w:rPr>
          <w:spacing w:val="-9"/>
          <w:sz w:val="16"/>
        </w:rPr>
        <w:t> </w:t>
      </w:r>
      <w:r>
        <w:rPr>
          <w:sz w:val="16"/>
        </w:rPr>
        <w:t>anni</w:t>
      </w:r>
      <w:r>
        <w:rPr>
          <w:spacing w:val="-9"/>
          <w:sz w:val="16"/>
        </w:rPr>
        <w:t> </w:t>
      </w:r>
      <w:r>
        <w:rPr>
          <w:sz w:val="16"/>
        </w:rPr>
        <w:t>per</w:t>
      </w:r>
      <w:r>
        <w:rPr>
          <w:spacing w:val="-9"/>
          <w:sz w:val="16"/>
        </w:rPr>
        <w:t> </w:t>
      </w:r>
      <w:r>
        <w:rPr>
          <w:sz w:val="16"/>
        </w:rPr>
        <w:t>le</w:t>
      </w:r>
      <w:r>
        <w:rPr>
          <w:spacing w:val="-8"/>
          <w:sz w:val="16"/>
        </w:rPr>
        <w:t> </w:t>
      </w:r>
      <w:r>
        <w:rPr>
          <w:sz w:val="16"/>
        </w:rPr>
        <w:t>donne</w:t>
      </w:r>
      <w:r>
        <w:rPr>
          <w:spacing w:val="-8"/>
          <w:sz w:val="16"/>
        </w:rPr>
        <w:t> </w:t>
      </w:r>
      <w:r>
        <w:rPr>
          <w:sz w:val="16"/>
        </w:rPr>
        <w:t>con</w:t>
      </w:r>
      <w:r>
        <w:rPr>
          <w:spacing w:val="-8"/>
          <w:sz w:val="16"/>
        </w:rPr>
        <w:t> </w:t>
      </w:r>
      <w:r>
        <w:rPr>
          <w:sz w:val="16"/>
        </w:rPr>
        <w:t>un</w:t>
      </w:r>
      <w:r>
        <w:rPr>
          <w:spacing w:val="-9"/>
          <w:sz w:val="16"/>
        </w:rPr>
        <w:t> </w:t>
      </w:r>
      <w:r>
        <w:rPr>
          <w:sz w:val="16"/>
        </w:rPr>
        <w:t>incremento,</w:t>
      </w:r>
      <w:r>
        <w:rPr>
          <w:spacing w:val="-8"/>
          <w:sz w:val="16"/>
        </w:rPr>
        <w:t> </w:t>
      </w:r>
      <w:r>
        <w:rPr>
          <w:sz w:val="16"/>
        </w:rPr>
        <w:t>rispettivamente,</w:t>
      </w:r>
      <w:r>
        <w:rPr>
          <w:spacing w:val="-8"/>
          <w:sz w:val="16"/>
        </w:rPr>
        <w:t> </w:t>
      </w:r>
      <w:r>
        <w:rPr>
          <w:sz w:val="16"/>
        </w:rPr>
        <w:t>di</w:t>
      </w:r>
      <w:r>
        <w:rPr>
          <w:spacing w:val="-9"/>
          <w:sz w:val="16"/>
        </w:rPr>
        <w:t> </w:t>
      </w:r>
      <w:r>
        <w:rPr>
          <w:sz w:val="16"/>
        </w:rPr>
        <w:t>5,5</w:t>
      </w:r>
      <w:r>
        <w:rPr>
          <w:spacing w:val="-9"/>
          <w:sz w:val="16"/>
        </w:rPr>
        <w:t> </w:t>
      </w:r>
      <w:r>
        <w:rPr>
          <w:sz w:val="16"/>
        </w:rPr>
        <w:t>e</w:t>
      </w:r>
      <w:r>
        <w:rPr>
          <w:spacing w:val="-8"/>
          <w:sz w:val="16"/>
        </w:rPr>
        <w:t> </w:t>
      </w:r>
      <w:r>
        <w:rPr>
          <w:sz w:val="16"/>
        </w:rPr>
        <w:t>5,2</w:t>
      </w:r>
      <w:r>
        <w:rPr>
          <w:spacing w:val="-9"/>
          <w:sz w:val="16"/>
        </w:rPr>
        <w:t> </w:t>
      </w:r>
      <w:r>
        <w:rPr>
          <w:sz w:val="16"/>
        </w:rPr>
        <w:t>anni</w:t>
      </w:r>
      <w:r>
        <w:rPr>
          <w:spacing w:val="-9"/>
          <w:sz w:val="16"/>
        </w:rPr>
        <w:t> </w:t>
      </w:r>
      <w:r>
        <w:rPr>
          <w:sz w:val="16"/>
        </w:rPr>
        <w:t>rispetto</w:t>
      </w:r>
      <w:r>
        <w:rPr>
          <w:spacing w:val="-10"/>
          <w:sz w:val="16"/>
        </w:rPr>
        <w:t> </w:t>
      </w:r>
      <w:r>
        <w:rPr>
          <w:sz w:val="16"/>
        </w:rPr>
        <w:t>al</w:t>
      </w:r>
      <w:r>
        <w:rPr>
          <w:spacing w:val="-9"/>
          <w:sz w:val="16"/>
        </w:rPr>
        <w:t> </w:t>
      </w:r>
      <w:r>
        <w:rPr>
          <w:sz w:val="16"/>
        </w:rPr>
        <w:t>2017</w:t>
      </w:r>
      <w:r>
        <w:rPr>
          <w:spacing w:val="-9"/>
          <w:sz w:val="16"/>
        </w:rPr>
        <w:t> </w:t>
      </w:r>
      <w:r>
        <w:rPr>
          <w:sz w:val="16"/>
        </w:rPr>
        <w:t>e</w:t>
      </w:r>
      <w:r>
        <w:rPr>
          <w:spacing w:val="-8"/>
          <w:sz w:val="16"/>
        </w:rPr>
        <w:t> </w:t>
      </w:r>
      <w:r>
        <w:rPr>
          <w:sz w:val="16"/>
        </w:rPr>
        <w:t>iii)</w:t>
      </w:r>
      <w:r>
        <w:rPr>
          <w:spacing w:val="-8"/>
          <w:sz w:val="16"/>
        </w:rPr>
        <w:t> </w:t>
      </w:r>
      <w:r>
        <w:rPr>
          <w:sz w:val="16"/>
        </w:rPr>
        <w:t>il</w:t>
      </w:r>
      <w:r>
        <w:rPr>
          <w:spacing w:val="-9"/>
          <w:sz w:val="16"/>
        </w:rPr>
        <w:t> </w:t>
      </w:r>
      <w:r>
        <w:rPr>
          <w:sz w:val="16"/>
        </w:rPr>
        <w:t>flusso migratorio netto si attesta su un livello medio annuo di 165 mila unità fino al 2065 con un profilo leggermente decrescente. Si veda Istat (2018), </w:t>
      </w:r>
      <w:hyperlink r:id="rId56">
        <w:r>
          <w:rPr>
            <w:sz w:val="16"/>
          </w:rPr>
          <w:t>http://demo.istat.it </w:t>
        </w:r>
      </w:hyperlink>
      <w:r>
        <w:rPr>
          <w:sz w:val="16"/>
        </w:rPr>
        <w:t>e Ministero dell’economia e delle finanze – RGS (2019), </w:t>
      </w:r>
      <w:r>
        <w:rPr>
          <w:spacing w:val="-3"/>
          <w:sz w:val="16"/>
        </w:rPr>
        <w:t>Le </w:t>
      </w:r>
      <w:r>
        <w:rPr>
          <w:sz w:val="16"/>
        </w:rPr>
        <w:t>tendenze di medio lungo periodo del sistema pensionistico e socio-sanitario, Rapporto n.</w:t>
      </w:r>
      <w:r>
        <w:rPr>
          <w:spacing w:val="-16"/>
          <w:sz w:val="16"/>
        </w:rPr>
        <w:t> </w:t>
      </w:r>
      <w:r>
        <w:rPr>
          <w:sz w:val="16"/>
        </w:rPr>
        <w:t>20.</w:t>
      </w:r>
    </w:p>
    <w:p>
      <w:pPr>
        <w:spacing w:line="240" w:lineRule="auto" w:before="0"/>
        <w:ind w:left="278" w:right="2266" w:firstLine="453"/>
        <w:jc w:val="both"/>
        <w:rPr>
          <w:sz w:val="16"/>
        </w:rPr>
      </w:pPr>
      <w:r>
        <w:rPr>
          <w:position w:val="6"/>
          <w:sz w:val="10"/>
        </w:rPr>
        <w:t>13</w:t>
      </w:r>
      <w:r>
        <w:rPr>
          <w:spacing w:val="-2"/>
          <w:position w:val="6"/>
          <w:sz w:val="10"/>
        </w:rPr>
        <w:t> </w:t>
      </w:r>
      <w:r>
        <w:rPr>
          <w:sz w:val="16"/>
        </w:rPr>
        <w:t>Per</w:t>
      </w:r>
      <w:r>
        <w:rPr>
          <w:spacing w:val="-4"/>
          <w:sz w:val="16"/>
        </w:rPr>
        <w:t> </w:t>
      </w:r>
      <w:r>
        <w:rPr>
          <w:sz w:val="16"/>
        </w:rPr>
        <w:t>il</w:t>
      </w:r>
      <w:r>
        <w:rPr>
          <w:spacing w:val="-5"/>
          <w:sz w:val="16"/>
        </w:rPr>
        <w:t> </w:t>
      </w:r>
      <w:r>
        <w:rPr>
          <w:sz w:val="16"/>
        </w:rPr>
        <w:t>periodo</w:t>
      </w:r>
      <w:r>
        <w:rPr>
          <w:spacing w:val="-5"/>
          <w:sz w:val="16"/>
        </w:rPr>
        <w:t> </w:t>
      </w:r>
      <w:r>
        <w:rPr>
          <w:sz w:val="16"/>
        </w:rPr>
        <w:t>2019-2022,</w:t>
      </w:r>
      <w:r>
        <w:rPr>
          <w:spacing w:val="-4"/>
          <w:sz w:val="16"/>
        </w:rPr>
        <w:t> </w:t>
      </w:r>
      <w:r>
        <w:rPr>
          <w:sz w:val="16"/>
        </w:rPr>
        <w:t>le</w:t>
      </w:r>
      <w:r>
        <w:rPr>
          <w:spacing w:val="-3"/>
          <w:sz w:val="16"/>
        </w:rPr>
        <w:t> </w:t>
      </w:r>
      <w:r>
        <w:rPr>
          <w:sz w:val="16"/>
        </w:rPr>
        <w:t>ipotesi</w:t>
      </w:r>
      <w:r>
        <w:rPr>
          <w:spacing w:val="-5"/>
          <w:sz w:val="16"/>
        </w:rPr>
        <w:t> </w:t>
      </w:r>
      <w:r>
        <w:rPr>
          <w:sz w:val="16"/>
        </w:rPr>
        <w:t>di</w:t>
      </w:r>
      <w:r>
        <w:rPr>
          <w:spacing w:val="-5"/>
          <w:sz w:val="16"/>
        </w:rPr>
        <w:t> </w:t>
      </w:r>
      <w:r>
        <w:rPr>
          <w:sz w:val="16"/>
        </w:rPr>
        <w:t>crescita</w:t>
      </w:r>
      <w:r>
        <w:rPr>
          <w:spacing w:val="-6"/>
          <w:sz w:val="16"/>
        </w:rPr>
        <w:t> </w:t>
      </w:r>
      <w:r>
        <w:rPr>
          <w:sz w:val="16"/>
        </w:rPr>
        <w:t>sono</w:t>
      </w:r>
      <w:r>
        <w:rPr>
          <w:spacing w:val="-4"/>
          <w:sz w:val="16"/>
        </w:rPr>
        <w:t> </w:t>
      </w:r>
      <w:r>
        <w:rPr>
          <w:sz w:val="16"/>
        </w:rPr>
        <w:t>coerenti</w:t>
      </w:r>
      <w:r>
        <w:rPr>
          <w:spacing w:val="-5"/>
          <w:sz w:val="16"/>
        </w:rPr>
        <w:t> </w:t>
      </w:r>
      <w:r>
        <w:rPr>
          <w:sz w:val="16"/>
        </w:rPr>
        <w:t>con</w:t>
      </w:r>
      <w:r>
        <w:rPr>
          <w:spacing w:val="-5"/>
          <w:sz w:val="16"/>
        </w:rPr>
        <w:t> </w:t>
      </w:r>
      <w:r>
        <w:rPr>
          <w:sz w:val="16"/>
        </w:rPr>
        <w:t>quelle</w:t>
      </w:r>
      <w:r>
        <w:rPr>
          <w:spacing w:val="-4"/>
          <w:sz w:val="16"/>
        </w:rPr>
        <w:t> </w:t>
      </w:r>
      <w:r>
        <w:rPr>
          <w:sz w:val="16"/>
        </w:rPr>
        <w:t>delineate</w:t>
      </w:r>
      <w:r>
        <w:rPr>
          <w:spacing w:val="-3"/>
          <w:sz w:val="16"/>
        </w:rPr>
        <w:t> </w:t>
      </w:r>
      <w:r>
        <w:rPr>
          <w:sz w:val="16"/>
        </w:rPr>
        <w:t>nel</w:t>
      </w:r>
      <w:r>
        <w:rPr>
          <w:spacing w:val="-5"/>
          <w:sz w:val="16"/>
        </w:rPr>
        <w:t> </w:t>
      </w:r>
      <w:r>
        <w:rPr>
          <w:sz w:val="16"/>
        </w:rPr>
        <w:t>presente</w:t>
      </w:r>
      <w:r>
        <w:rPr>
          <w:spacing w:val="-4"/>
          <w:sz w:val="16"/>
        </w:rPr>
        <w:t> </w:t>
      </w:r>
      <w:r>
        <w:rPr>
          <w:sz w:val="16"/>
        </w:rPr>
        <w:t>documento nell’ambito del quadro macroeconomico tendenziale. Il tasso di occupazione, invece, aumenta di circa 10 punti percentuali, nella fascia di età 15-64 anni, rispetto al valore del 2015. Il tasso di disoccupazione decresce progressivamente fino a convergere sul valore di 5.5 per cento nel</w:t>
      </w:r>
      <w:r>
        <w:rPr>
          <w:spacing w:val="-8"/>
          <w:sz w:val="16"/>
        </w:rPr>
        <w:t> </w:t>
      </w:r>
      <w:r>
        <w:rPr>
          <w:sz w:val="16"/>
        </w:rPr>
        <w:t>2050.</w:t>
      </w:r>
    </w:p>
    <w:p>
      <w:pPr>
        <w:spacing w:line="240" w:lineRule="auto" w:before="0"/>
        <w:ind w:left="278" w:right="2270" w:firstLine="453"/>
        <w:jc w:val="both"/>
        <w:rPr>
          <w:sz w:val="16"/>
        </w:rPr>
      </w:pPr>
      <w:r>
        <w:rPr>
          <w:position w:val="6"/>
          <w:sz w:val="10"/>
        </w:rPr>
        <w:t>14 </w:t>
      </w:r>
      <w:r>
        <w:rPr>
          <w:sz w:val="16"/>
        </w:rPr>
        <w:t>Le previsioni a legislazione vigente e le valutazioni di seguito rappresentate sono state elaborate nel presupposto che l’istituto dell’anticipo finanziario a garanzia pensionistica (c.d. APE di mercato) sia qualificato e classificato in Contabilità nazionale quale prestito e non come trasferimento monetario diretto a famiglie.</w:t>
      </w:r>
    </w:p>
    <w:p>
      <w:pPr>
        <w:spacing w:line="240" w:lineRule="auto" w:before="0"/>
        <w:ind w:left="278" w:right="2263" w:firstLine="453"/>
        <w:jc w:val="both"/>
        <w:rPr>
          <w:sz w:val="16"/>
        </w:rPr>
      </w:pPr>
      <w:r>
        <w:rPr>
          <w:position w:val="6"/>
          <w:sz w:val="10"/>
        </w:rPr>
        <w:t>15 </w:t>
      </w:r>
      <w:r>
        <w:rPr>
          <w:sz w:val="16"/>
        </w:rPr>
        <w:t>L’adeguamento dei requisiti avente decorrenza 2016 (4 mesi ulteriori), in ottemperanza al dettato normativo (articolo 12, comma 12-bis, del decreto legge 31 maggio 2010, n. 78, convertito con modificazioni con legge 30 luglio 2010 n. 122) è stato adottato almeno dodici mesi prima della decorrenza dell’adeguamento medesimo con decreto direttoriale del 16 dicembre 2014, pubblicato in GU il 30 dicembre 2014 e quello dei coefficienti di trasformazione con decreto direttoriale del 22 giugno 2015, pubblicato in GU il 6 luglio 2015. L’adeguamento dei requisiti avente decorrenza 2019 (5 mesi ulteriori), in ottemperanza al dettato normativo è stato adottato almeno dodici mesi prima della decorrenza dell’adeguamento medesimo con decreto direttoriale del 5 dicembre 2017, pubblicato in GU il 12 dicembre 2017 e quello dei coefficienti di trasformazione con decreto direttoriale del 15 maggio 2018, pubblicato in GU n. 131 dell’8 giugno 2018.</w:t>
      </w:r>
    </w:p>
    <w:p>
      <w:pPr>
        <w:spacing w:after="0" w:line="240" w:lineRule="auto"/>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rPr>
          <w:sz w:val="27"/>
        </w:rPr>
      </w:pPr>
    </w:p>
    <w:p>
      <w:pPr>
        <w:spacing w:line="254" w:lineRule="auto" w:before="100"/>
        <w:ind w:left="1630" w:right="1399" w:firstLine="0"/>
        <w:jc w:val="both"/>
        <w:rPr>
          <w:rFonts w:ascii="Franklin Gothic Book" w:hAnsi="Franklin Gothic Book"/>
          <w:sz w:val="20"/>
        </w:rPr>
      </w:pPr>
      <w:r>
        <w:rPr/>
        <w:pict>
          <v:group style="position:absolute;margin-left:113.419998pt;margin-top:4.565037pt;width:411.95pt;height:454.65pt;mso-position-horizontal-relative:page;mso-position-vertical-relative:paragraph;z-index:-266206208" coordorigin="2268,91" coordsize="8239,9093">
            <v:rect style="position:absolute;left:2297;top:91;width:20;height:9093" filled="true" fillcolor="#efefef" stroked="false">
              <v:fill type="solid"/>
            </v:rect>
            <v:shape style="position:absolute;left:2316;top:91;width:8191;height:6572" coordorigin="2316,91" coordsize="8191,6572" path="m10507,91l2316,91,2316,331,2316,571,2316,6663,2770,6663,10507,6663,10507,6634,10507,2844,10507,331,10507,91e" filled="true" fillcolor="#efefef" stroked="false">
              <v:path arrowok="t"/>
              <v:fill type="solid"/>
            </v:shape>
            <v:line style="position:absolute" from="2770,2859" to="10507,2859" stroked="true" strokeweight="1.2pt" strokecolor="#efefef">
              <v:stroke dashstyle="solid"/>
            </v:line>
            <v:line style="position:absolute" from="2756,6649" to="10507,6649" stroked="true" strokeweight="1.44pt" strokecolor="#086d44">
              <v:stroke dashstyle="solid"/>
            </v:line>
            <v:shape style="position:absolute;left:2316;top:6663;width:8191;height:2521" coordorigin="2316,6663" coordsize="8191,2521" path="m10507,6663l2316,6663,2316,6963,2316,7263,2316,9184,10507,9184,10507,6963,10507,6663e" filled="true" fillcolor="#efefef" stroked="false">
              <v:path arrowok="t"/>
              <v:fill type="solid"/>
            </v:shape>
            <v:rect style="position:absolute;left:2268;top:91;width:29;height:9093" filled="true" fillcolor="#086d44" stroked="false">
              <v:fill type="solid"/>
            </v:rect>
            <v:shape style="position:absolute;left:3245;top:3014;width:6928;height:3319" coordorigin="3246,3015" coordsize="6928,3319" path="m3297,6282l10173,6282,10173,3015,3297,3015,3297,6282xm3297,6282l3297,3015m3246,6282l3297,6282m3246,5628l3297,5628m3246,4975l3297,4975m3246,4322l3297,4322m3246,3667l3297,3667m3246,3015l3297,3015m3297,6282l10173,6282m3297,6282l3297,6333m3869,6282l3869,6333m4442,6282l4442,6333m5016,6282l5016,6333m5590,6282l5590,6333m6161,6282l6161,6333m6734,6282l6734,6333m7308,6282l7308,6333m7882,6282l7882,6333m8455,6282l8455,6333m9026,6282l9026,6333m9600,6282l9600,6333m10173,6282l10173,6333e" filled="false" stroked="true" strokeweight=".25pt" strokecolor="#000000">
              <v:path arrowok="t"/>
              <v:stroke dashstyle="solid"/>
            </v:shape>
            <v:shape style="position:absolute;left:3296;top:3573;width:6877;height:2017" coordorigin="3297,3574" coordsize="6877,2017" path="m3297,4493l3410,4466,3526,4101,3641,3804,3756,3818,3869,3905,3984,4073,4099,4207,4214,4176,4327,4008,4442,3921,4558,3775,4673,3739,4786,3828,4901,3883,5016,3941,5131,3965,5244,4025,5359,4010,5474,4032,5590,3981,5702,3936,5818,3854,5933,3821,6048,3751,6161,3746,6276,3717,6391,3727,6506,3691,6619,3691,6734,3641,6850,3633,6965,3597,7078,3602,7193,3574,7308,3614,7423,3653,7538,3751,7651,3854,7766,3986,7882,4101,7997,4245,8110,4365,8225,4505,8340,4613,8455,4713,8568,4793,8683,4908,8798,4985,8914,5061,9026,5109,9142,5201,9257,5263,9372,5313,9485,5340,9600,5402,9715,5441,9830,5489,9943,5522,10058,5565,10173,5590e" filled="false" stroked="true" strokeweight="2pt" strokecolor="#9f0d00">
              <v:path arrowok="t"/>
              <v:stroke dashstyle="solid"/>
            </v:shape>
            <w10:wrap type="none"/>
          </v:group>
        </w:pict>
      </w:r>
      <w:r>
        <w:rPr>
          <w:rFonts w:ascii="Franklin Gothic Book" w:hAnsi="Franklin Gothic Book"/>
          <w:sz w:val="20"/>
        </w:rPr>
        <w:t>2019-2024</w:t>
      </w:r>
      <w:r>
        <w:rPr>
          <w:rFonts w:ascii="Franklin Gothic Book" w:hAnsi="Franklin Gothic Book"/>
          <w:spacing w:val="-11"/>
          <w:sz w:val="20"/>
        </w:rPr>
        <w:t> </w:t>
      </w:r>
      <w:r>
        <w:rPr>
          <w:rFonts w:ascii="Franklin Gothic Book" w:hAnsi="Franklin Gothic Book"/>
          <w:sz w:val="20"/>
        </w:rPr>
        <w:t>dell’aliquota</w:t>
      </w:r>
      <w:r>
        <w:rPr>
          <w:rFonts w:ascii="Franklin Gothic Book" w:hAnsi="Franklin Gothic Book"/>
          <w:spacing w:val="-10"/>
          <w:sz w:val="20"/>
        </w:rPr>
        <w:t> </w:t>
      </w:r>
      <w:r>
        <w:rPr>
          <w:rFonts w:ascii="Franklin Gothic Book" w:hAnsi="Franklin Gothic Book"/>
          <w:sz w:val="20"/>
        </w:rPr>
        <w:t>di</w:t>
      </w:r>
      <w:r>
        <w:rPr>
          <w:rFonts w:ascii="Franklin Gothic Book" w:hAnsi="Franklin Gothic Book"/>
          <w:spacing w:val="-10"/>
          <w:sz w:val="20"/>
        </w:rPr>
        <w:t> </w:t>
      </w:r>
      <w:r>
        <w:rPr>
          <w:rFonts w:ascii="Franklin Gothic Book" w:hAnsi="Franklin Gothic Book"/>
          <w:sz w:val="20"/>
        </w:rPr>
        <w:t>riduzione</w:t>
      </w:r>
      <w:r>
        <w:rPr>
          <w:rFonts w:ascii="Franklin Gothic Book" w:hAnsi="Franklin Gothic Book"/>
          <w:spacing w:val="-8"/>
          <w:sz w:val="20"/>
        </w:rPr>
        <w:t> </w:t>
      </w:r>
      <w:r>
        <w:rPr>
          <w:rFonts w:ascii="Franklin Gothic Book" w:hAnsi="Franklin Gothic Book"/>
          <w:sz w:val="20"/>
        </w:rPr>
        <w:t>per</w:t>
      </w:r>
      <w:r>
        <w:rPr>
          <w:rFonts w:ascii="Franklin Gothic Book" w:hAnsi="Franklin Gothic Book"/>
          <w:spacing w:val="-11"/>
          <w:sz w:val="20"/>
        </w:rPr>
        <w:t> </w:t>
      </w:r>
      <w:r>
        <w:rPr>
          <w:rFonts w:ascii="Franklin Gothic Book" w:hAnsi="Franklin Gothic Book"/>
          <w:sz w:val="20"/>
        </w:rPr>
        <w:t>pensioni</w:t>
      </w:r>
      <w:r>
        <w:rPr>
          <w:rFonts w:ascii="Franklin Gothic Book" w:hAnsi="Franklin Gothic Book"/>
          <w:spacing w:val="-11"/>
          <w:sz w:val="20"/>
        </w:rPr>
        <w:t> </w:t>
      </w:r>
      <w:r>
        <w:rPr>
          <w:rFonts w:ascii="Franklin Gothic Book" w:hAnsi="Franklin Gothic Book"/>
          <w:sz w:val="20"/>
        </w:rPr>
        <w:t>di</w:t>
      </w:r>
      <w:r>
        <w:rPr>
          <w:rFonts w:ascii="Franklin Gothic Book" w:hAnsi="Franklin Gothic Book"/>
          <w:spacing w:val="-8"/>
          <w:sz w:val="20"/>
        </w:rPr>
        <w:t> </w:t>
      </w:r>
      <w:r>
        <w:rPr>
          <w:rFonts w:ascii="Franklin Gothic Book" w:hAnsi="Franklin Gothic Book"/>
          <w:sz w:val="20"/>
        </w:rPr>
        <w:t>importo</w:t>
      </w:r>
      <w:r>
        <w:rPr>
          <w:rFonts w:ascii="Franklin Gothic Book" w:hAnsi="Franklin Gothic Book"/>
          <w:spacing w:val="-6"/>
          <w:sz w:val="20"/>
        </w:rPr>
        <w:t> </w:t>
      </w:r>
      <w:r>
        <w:rPr>
          <w:rFonts w:ascii="Franklin Gothic Book" w:hAnsi="Franklin Gothic Book"/>
          <w:sz w:val="20"/>
        </w:rPr>
        <w:t>superiore</w:t>
      </w:r>
      <w:r>
        <w:rPr>
          <w:rFonts w:ascii="Franklin Gothic Book" w:hAnsi="Franklin Gothic Book"/>
          <w:spacing w:val="-11"/>
          <w:sz w:val="20"/>
        </w:rPr>
        <w:t> </w:t>
      </w:r>
      <w:r>
        <w:rPr>
          <w:rFonts w:ascii="Franklin Gothic Book" w:hAnsi="Franklin Gothic Book"/>
          <w:sz w:val="20"/>
        </w:rPr>
        <w:t>a</w:t>
      </w:r>
      <w:r>
        <w:rPr>
          <w:rFonts w:ascii="Franklin Gothic Book" w:hAnsi="Franklin Gothic Book"/>
          <w:spacing w:val="-10"/>
          <w:sz w:val="20"/>
        </w:rPr>
        <w:t> </w:t>
      </w:r>
      <w:r>
        <w:rPr>
          <w:rFonts w:ascii="Franklin Gothic Book" w:hAnsi="Franklin Gothic Book"/>
          <w:sz w:val="20"/>
        </w:rPr>
        <w:t>100.000</w:t>
      </w:r>
      <w:r>
        <w:rPr>
          <w:rFonts w:ascii="Franklin Gothic Book" w:hAnsi="Franklin Gothic Book"/>
          <w:spacing w:val="-10"/>
          <w:sz w:val="20"/>
        </w:rPr>
        <w:t> </w:t>
      </w:r>
      <w:r>
        <w:rPr>
          <w:rFonts w:ascii="Franklin Gothic Book" w:hAnsi="Franklin Gothic Book"/>
          <w:sz w:val="20"/>
        </w:rPr>
        <w:t>euro</w:t>
      </w:r>
      <w:r>
        <w:rPr>
          <w:rFonts w:ascii="Franklin Gothic Book" w:hAnsi="Franklin Gothic Book"/>
          <w:spacing w:val="-8"/>
          <w:sz w:val="20"/>
        </w:rPr>
        <w:t> </w:t>
      </w:r>
      <w:r>
        <w:rPr>
          <w:rFonts w:ascii="Franklin Gothic Book" w:hAnsi="Franklin Gothic Book"/>
          <w:sz w:val="20"/>
        </w:rPr>
        <w:t>lordi. Infine,</w:t>
      </w:r>
      <w:r>
        <w:rPr>
          <w:rFonts w:ascii="Franklin Gothic Book" w:hAnsi="Franklin Gothic Book"/>
          <w:spacing w:val="-5"/>
          <w:sz w:val="20"/>
        </w:rPr>
        <w:t> </w:t>
      </w:r>
      <w:r>
        <w:rPr>
          <w:rFonts w:ascii="Franklin Gothic Book" w:hAnsi="Franklin Gothic Book"/>
          <w:sz w:val="20"/>
        </w:rPr>
        <w:t>le</w:t>
      </w:r>
      <w:r>
        <w:rPr>
          <w:rFonts w:ascii="Franklin Gothic Book" w:hAnsi="Franklin Gothic Book"/>
          <w:spacing w:val="-6"/>
          <w:sz w:val="20"/>
        </w:rPr>
        <w:t> </w:t>
      </w:r>
      <w:r>
        <w:rPr>
          <w:rFonts w:ascii="Franklin Gothic Book" w:hAnsi="Franklin Gothic Book"/>
          <w:sz w:val="20"/>
        </w:rPr>
        <w:t>previsioni</w:t>
      </w:r>
      <w:r>
        <w:rPr>
          <w:rFonts w:ascii="Franklin Gothic Book" w:hAnsi="Franklin Gothic Book"/>
          <w:spacing w:val="-4"/>
          <w:sz w:val="20"/>
        </w:rPr>
        <w:t> </w:t>
      </w:r>
      <w:r>
        <w:rPr>
          <w:rFonts w:ascii="Franklin Gothic Book" w:hAnsi="Franklin Gothic Book"/>
          <w:sz w:val="20"/>
        </w:rPr>
        <w:t>scontano</w:t>
      </w:r>
      <w:r>
        <w:rPr>
          <w:rFonts w:ascii="Franklin Gothic Book" w:hAnsi="Franklin Gothic Book"/>
          <w:spacing w:val="-6"/>
          <w:sz w:val="20"/>
        </w:rPr>
        <w:t> </w:t>
      </w:r>
      <w:r>
        <w:rPr>
          <w:rFonts w:ascii="Franklin Gothic Book" w:hAnsi="Franklin Gothic Book"/>
          <w:sz w:val="20"/>
        </w:rPr>
        <w:t>le</w:t>
      </w:r>
      <w:r>
        <w:rPr>
          <w:rFonts w:ascii="Franklin Gothic Book" w:hAnsi="Franklin Gothic Book"/>
          <w:spacing w:val="-6"/>
          <w:sz w:val="20"/>
        </w:rPr>
        <w:t> </w:t>
      </w:r>
      <w:r>
        <w:rPr>
          <w:rFonts w:ascii="Franklin Gothic Book" w:hAnsi="Franklin Gothic Book"/>
          <w:sz w:val="20"/>
        </w:rPr>
        <w:t>misure</w:t>
      </w:r>
      <w:r>
        <w:rPr>
          <w:rFonts w:ascii="Franklin Gothic Book" w:hAnsi="Franklin Gothic Book"/>
          <w:spacing w:val="-5"/>
          <w:sz w:val="20"/>
        </w:rPr>
        <w:t> </w:t>
      </w:r>
      <w:r>
        <w:rPr>
          <w:rFonts w:ascii="Franklin Gothic Book" w:hAnsi="Franklin Gothic Book"/>
          <w:sz w:val="20"/>
        </w:rPr>
        <w:t>previste</w:t>
      </w:r>
      <w:r>
        <w:rPr>
          <w:rFonts w:ascii="Franklin Gothic Book" w:hAnsi="Franklin Gothic Book"/>
          <w:spacing w:val="-6"/>
          <w:sz w:val="20"/>
        </w:rPr>
        <w:t> </w:t>
      </w:r>
      <w:r>
        <w:rPr>
          <w:rFonts w:ascii="Franklin Gothic Book" w:hAnsi="Franklin Gothic Book"/>
          <w:sz w:val="20"/>
        </w:rPr>
        <w:t>dal</w:t>
      </w:r>
      <w:r>
        <w:rPr>
          <w:rFonts w:ascii="Franklin Gothic Book" w:hAnsi="Franklin Gothic Book"/>
          <w:spacing w:val="-4"/>
          <w:sz w:val="20"/>
        </w:rPr>
        <w:t> </w:t>
      </w:r>
      <w:r>
        <w:rPr>
          <w:rFonts w:ascii="Franklin Gothic Book" w:hAnsi="Franklin Gothic Book"/>
          <w:sz w:val="20"/>
        </w:rPr>
        <w:t>Decreto</w:t>
      </w:r>
      <w:r>
        <w:rPr>
          <w:rFonts w:ascii="Franklin Gothic Book" w:hAnsi="Franklin Gothic Book"/>
          <w:spacing w:val="-5"/>
          <w:sz w:val="20"/>
        </w:rPr>
        <w:t> </w:t>
      </w:r>
      <w:r>
        <w:rPr>
          <w:rFonts w:ascii="Franklin Gothic Book" w:hAnsi="Franklin Gothic Book"/>
          <w:sz w:val="20"/>
        </w:rPr>
        <w:t>Legge</w:t>
      </w:r>
      <w:r>
        <w:rPr>
          <w:rFonts w:ascii="Franklin Gothic Book" w:hAnsi="Franklin Gothic Book"/>
          <w:spacing w:val="-6"/>
          <w:sz w:val="20"/>
        </w:rPr>
        <w:t> </w:t>
      </w:r>
      <w:r>
        <w:rPr>
          <w:rFonts w:ascii="Franklin Gothic Book" w:hAnsi="Franklin Gothic Book"/>
          <w:sz w:val="20"/>
        </w:rPr>
        <w:t>n.</w:t>
      </w:r>
      <w:r>
        <w:rPr>
          <w:rFonts w:ascii="Franklin Gothic Book" w:hAnsi="Franklin Gothic Book"/>
          <w:spacing w:val="-4"/>
          <w:sz w:val="20"/>
        </w:rPr>
        <w:t> </w:t>
      </w:r>
      <w:r>
        <w:rPr>
          <w:rFonts w:ascii="Franklin Gothic Book" w:hAnsi="Franklin Gothic Book"/>
          <w:sz w:val="20"/>
        </w:rPr>
        <w:t>4/2019,</w:t>
      </w:r>
      <w:r>
        <w:rPr>
          <w:rFonts w:ascii="Franklin Gothic Book" w:hAnsi="Franklin Gothic Book"/>
          <w:spacing w:val="-7"/>
          <w:sz w:val="20"/>
        </w:rPr>
        <w:t> </w:t>
      </w:r>
      <w:r>
        <w:rPr>
          <w:rFonts w:ascii="Franklin Gothic Book" w:hAnsi="Franklin Gothic Book"/>
          <w:sz w:val="20"/>
        </w:rPr>
        <w:t>convertito</w:t>
      </w:r>
      <w:r>
        <w:rPr>
          <w:rFonts w:ascii="Franklin Gothic Book" w:hAnsi="Franklin Gothic Book"/>
          <w:spacing w:val="-6"/>
          <w:sz w:val="20"/>
        </w:rPr>
        <w:t> </w:t>
      </w:r>
      <w:r>
        <w:rPr>
          <w:rFonts w:ascii="Franklin Gothic Book" w:hAnsi="Franklin Gothic Book"/>
          <w:sz w:val="20"/>
        </w:rPr>
        <w:t>con la Legge n. 26/2019</w:t>
      </w:r>
      <w:r>
        <w:rPr>
          <w:rFonts w:ascii="Franklin Gothic Book" w:hAnsi="Franklin Gothic Book"/>
          <w:position w:val="5"/>
          <w:sz w:val="13"/>
        </w:rPr>
        <w:t>16 </w:t>
      </w:r>
      <w:r>
        <w:rPr>
          <w:rFonts w:ascii="Franklin Gothic Book" w:hAnsi="Franklin Gothic Book"/>
          <w:sz w:val="20"/>
        </w:rPr>
        <w:t>che ha introdotto agevolazioni nell’accesso al pensionamento anticipato consentendo, in particolare, l’anticipo del pensionamento ai soggetti che maturano, in via congiunta, i requisiti anagrafici e contributivi rispettivamente di 62 anni di età e di 38 anni di contributi entro il 31 dicembre 2021</w:t>
      </w:r>
      <w:r>
        <w:rPr>
          <w:rFonts w:ascii="Franklin Gothic Book" w:hAnsi="Franklin Gothic Book"/>
          <w:position w:val="5"/>
          <w:sz w:val="13"/>
        </w:rPr>
        <w:t>17 </w:t>
      </w:r>
      <w:r>
        <w:rPr>
          <w:rFonts w:ascii="Franklin Gothic Book" w:hAnsi="Franklin Gothic Book"/>
          <w:sz w:val="20"/>
        </w:rPr>
        <w:t>e, stabilendo la disapplicazione dell’adeguamento del requisito contributivo per l’accesso al pensionamento anticipato indipendente dall’età anagrafica agli incrementi della speranza di vita per l’intero periodo 2019-2026</w:t>
      </w:r>
      <w:r>
        <w:rPr>
          <w:rFonts w:ascii="Franklin Gothic Book" w:hAnsi="Franklin Gothic Book"/>
          <w:position w:val="5"/>
          <w:sz w:val="13"/>
        </w:rPr>
        <w:t>18</w:t>
      </w:r>
      <w:r>
        <w:rPr>
          <w:rFonts w:ascii="Franklin Gothic Book" w:hAnsi="Franklin Gothic Book"/>
          <w:sz w:val="20"/>
        </w:rPr>
        <w:t>.</w:t>
      </w:r>
    </w:p>
    <w:p>
      <w:pPr>
        <w:pStyle w:val="BodyText"/>
        <w:spacing w:before="3"/>
        <w:rPr>
          <w:rFonts w:ascii="Franklin Gothic Book"/>
          <w:sz w:val="23"/>
        </w:rPr>
      </w:pPr>
      <w:r>
        <w:rPr/>
        <w:pict>
          <v:shape style="position:absolute;margin-left:138.5pt;margin-top:14.398574pt;width:386.85pt;height:14.65pt;mso-position-horizontal-relative:page;mso-position-vertical-relative:paragraph;z-index:-251516928;mso-wrap-distance-left:0;mso-wrap-distance-right:0" type="#_x0000_t202" filled="true" fillcolor="#086d44" stroked="false">
            <v:textbox inset="0,0,0,0">
              <w:txbxContent>
                <w:p>
                  <w:pPr>
                    <w:spacing w:before="45"/>
                    <w:ind w:left="31" w:right="0" w:firstLine="0"/>
                    <w:jc w:val="left"/>
                    <w:rPr>
                      <w:rFonts w:ascii="Franklin Gothic Heavy"/>
                      <w:b/>
                      <w:sz w:val="17"/>
                    </w:rPr>
                  </w:pPr>
                  <w:r>
                    <w:rPr>
                      <w:rFonts w:ascii="Franklin Gothic Heavy"/>
                      <w:b/>
                      <w:color w:val="EFEFEF"/>
                      <w:sz w:val="17"/>
                    </w:rPr>
                    <w:t>FIGURA R1: SPESA PUBBLICA PER PENSIONI IN PERCENTUALE DEL PIL (scenario nazionale base)</w:t>
                  </w:r>
                </w:p>
              </w:txbxContent>
            </v:textbox>
            <v:fill type="solid"/>
            <w10:wrap type="topAndBottom"/>
          </v:shape>
        </w:pict>
      </w:r>
    </w:p>
    <w:p>
      <w:pPr>
        <w:spacing w:before="48"/>
        <w:ind w:left="1846" w:right="0" w:firstLine="0"/>
        <w:jc w:val="left"/>
        <w:rPr>
          <w:rFonts w:ascii="Calibri"/>
          <w:sz w:val="16"/>
        </w:rPr>
      </w:pPr>
      <w:r>
        <w:rPr>
          <w:rFonts w:ascii="Calibri"/>
          <w:sz w:val="16"/>
        </w:rPr>
        <w:t>17</w:t>
      </w:r>
    </w:p>
    <w:p>
      <w:pPr>
        <w:pStyle w:val="BodyText"/>
        <w:rPr>
          <w:rFonts w:ascii="Calibri"/>
          <w:sz w:val="20"/>
        </w:rPr>
      </w:pPr>
    </w:p>
    <w:p>
      <w:pPr>
        <w:pStyle w:val="BodyText"/>
        <w:spacing w:before="6"/>
        <w:rPr>
          <w:rFonts w:ascii="Calibri"/>
          <w:sz w:val="17"/>
        </w:rPr>
      </w:pPr>
    </w:p>
    <w:p>
      <w:pPr>
        <w:spacing w:before="1"/>
        <w:ind w:left="1846" w:right="0" w:firstLine="0"/>
        <w:jc w:val="left"/>
        <w:rPr>
          <w:rFonts w:ascii="Calibri"/>
          <w:sz w:val="16"/>
        </w:rPr>
      </w:pPr>
      <w:r>
        <w:rPr>
          <w:rFonts w:ascii="Calibri"/>
          <w:sz w:val="16"/>
        </w:rPr>
        <w:t>16</w:t>
      </w:r>
    </w:p>
    <w:p>
      <w:pPr>
        <w:pStyle w:val="BodyText"/>
        <w:rPr>
          <w:rFonts w:ascii="Calibri"/>
          <w:sz w:val="20"/>
        </w:rPr>
      </w:pPr>
    </w:p>
    <w:p>
      <w:pPr>
        <w:pStyle w:val="BodyText"/>
        <w:spacing w:before="6"/>
        <w:rPr>
          <w:rFonts w:ascii="Calibri"/>
          <w:sz w:val="17"/>
        </w:rPr>
      </w:pPr>
    </w:p>
    <w:p>
      <w:pPr>
        <w:spacing w:before="0"/>
        <w:ind w:left="1846" w:right="0" w:firstLine="0"/>
        <w:jc w:val="left"/>
        <w:rPr>
          <w:rFonts w:ascii="Calibri"/>
          <w:sz w:val="16"/>
        </w:rPr>
      </w:pPr>
      <w:r>
        <w:rPr>
          <w:rFonts w:ascii="Calibri"/>
          <w:sz w:val="16"/>
        </w:rPr>
        <w:t>15</w:t>
      </w:r>
    </w:p>
    <w:p>
      <w:pPr>
        <w:pStyle w:val="BodyText"/>
        <w:rPr>
          <w:rFonts w:ascii="Calibri"/>
          <w:sz w:val="20"/>
        </w:rPr>
      </w:pPr>
    </w:p>
    <w:p>
      <w:pPr>
        <w:pStyle w:val="BodyText"/>
        <w:spacing w:before="6"/>
        <w:rPr>
          <w:rFonts w:ascii="Calibri"/>
          <w:sz w:val="17"/>
        </w:rPr>
      </w:pPr>
    </w:p>
    <w:p>
      <w:pPr>
        <w:spacing w:before="1"/>
        <w:ind w:left="1846" w:right="0" w:firstLine="0"/>
        <w:jc w:val="left"/>
        <w:rPr>
          <w:rFonts w:ascii="Calibri"/>
          <w:sz w:val="16"/>
        </w:rPr>
      </w:pPr>
      <w:r>
        <w:rPr>
          <w:rFonts w:ascii="Calibri"/>
          <w:sz w:val="16"/>
        </w:rPr>
        <w:t>14</w:t>
      </w:r>
    </w:p>
    <w:p>
      <w:pPr>
        <w:pStyle w:val="BodyText"/>
        <w:rPr>
          <w:rFonts w:ascii="Calibri"/>
          <w:sz w:val="20"/>
        </w:rPr>
      </w:pPr>
    </w:p>
    <w:p>
      <w:pPr>
        <w:pStyle w:val="BodyText"/>
        <w:spacing w:before="6"/>
        <w:rPr>
          <w:rFonts w:ascii="Calibri"/>
          <w:sz w:val="17"/>
        </w:rPr>
      </w:pPr>
    </w:p>
    <w:p>
      <w:pPr>
        <w:spacing w:before="0"/>
        <w:ind w:left="1846" w:right="0" w:firstLine="0"/>
        <w:jc w:val="left"/>
        <w:rPr>
          <w:rFonts w:ascii="Calibri"/>
          <w:sz w:val="16"/>
        </w:rPr>
      </w:pPr>
      <w:r>
        <w:rPr>
          <w:rFonts w:ascii="Calibri"/>
          <w:sz w:val="16"/>
        </w:rPr>
        <w:t>13</w:t>
      </w:r>
    </w:p>
    <w:p>
      <w:pPr>
        <w:pStyle w:val="BodyText"/>
        <w:rPr>
          <w:rFonts w:ascii="Calibri"/>
          <w:sz w:val="20"/>
        </w:rPr>
      </w:pPr>
    </w:p>
    <w:p>
      <w:pPr>
        <w:pStyle w:val="BodyText"/>
        <w:spacing w:before="7"/>
        <w:rPr>
          <w:rFonts w:ascii="Calibri"/>
          <w:sz w:val="17"/>
        </w:rPr>
      </w:pPr>
    </w:p>
    <w:p>
      <w:pPr>
        <w:spacing w:before="0"/>
        <w:ind w:left="1846" w:right="0" w:firstLine="0"/>
        <w:jc w:val="left"/>
        <w:rPr>
          <w:rFonts w:ascii="Calibri"/>
          <w:sz w:val="16"/>
        </w:rPr>
      </w:pPr>
      <w:r>
        <w:rPr>
          <w:rFonts w:ascii="Calibri"/>
          <w:sz w:val="16"/>
        </w:rPr>
        <w:t>12</w:t>
      </w:r>
    </w:p>
    <w:p>
      <w:pPr>
        <w:tabs>
          <w:tab w:pos="2567" w:val="left" w:leader="none"/>
          <w:tab w:pos="3141" w:val="left" w:leader="none"/>
          <w:tab w:pos="3714" w:val="left" w:leader="none"/>
          <w:tab w:pos="4287" w:val="left" w:leader="none"/>
          <w:tab w:pos="4860" w:val="left" w:leader="none"/>
          <w:tab w:pos="5433" w:val="left" w:leader="none"/>
          <w:tab w:pos="6007" w:val="left" w:leader="none"/>
          <w:tab w:pos="6580" w:val="left" w:leader="none"/>
          <w:tab w:pos="7153" w:val="left" w:leader="none"/>
          <w:tab w:pos="7726" w:val="left" w:leader="none"/>
          <w:tab w:pos="8299" w:val="left" w:leader="none"/>
          <w:tab w:pos="8872" w:val="left" w:leader="none"/>
        </w:tabs>
        <w:spacing w:before="13"/>
        <w:ind w:left="1994" w:right="0" w:firstLine="0"/>
        <w:jc w:val="left"/>
        <w:rPr>
          <w:rFonts w:ascii="Calibri"/>
          <w:sz w:val="16"/>
        </w:rPr>
      </w:pPr>
      <w:r>
        <w:rPr>
          <w:rFonts w:ascii="Calibri"/>
          <w:sz w:val="16"/>
        </w:rPr>
        <w:t>2010</w:t>
        <w:tab/>
        <w:t>2015</w:t>
        <w:tab/>
        <w:t>2020</w:t>
        <w:tab/>
        <w:t>2025</w:t>
        <w:tab/>
        <w:t>2030</w:t>
        <w:tab/>
        <w:t>2035</w:t>
        <w:tab/>
        <w:t>2040</w:t>
        <w:tab/>
        <w:t>2045</w:t>
        <w:tab/>
        <w:t>2050</w:t>
        <w:tab/>
        <w:t>2055</w:t>
        <w:tab/>
        <w:t>2060</w:t>
        <w:tab/>
        <w:t>2065</w:t>
        <w:tab/>
        <w:t>2070</w:t>
      </w:r>
    </w:p>
    <w:p>
      <w:pPr>
        <w:pStyle w:val="BodyText"/>
        <w:spacing w:before="11"/>
        <w:rPr>
          <w:rFonts w:ascii="Calibri"/>
          <w:sz w:val="28"/>
        </w:rPr>
      </w:pPr>
    </w:p>
    <w:p>
      <w:pPr>
        <w:spacing w:line="254" w:lineRule="auto" w:before="100"/>
        <w:ind w:left="1630" w:right="1401" w:firstLine="0"/>
        <w:jc w:val="both"/>
        <w:rPr>
          <w:rFonts w:ascii="Franklin Gothic Book" w:hAnsi="Franklin Gothic Book"/>
          <w:sz w:val="20"/>
        </w:rPr>
      </w:pPr>
      <w:r>
        <w:rPr>
          <w:rFonts w:ascii="Franklin Gothic Book" w:hAnsi="Franklin Gothic Book"/>
          <w:sz w:val="20"/>
        </w:rPr>
        <w:t>Dopo la crescita del triennio 2008-2010, imputabile esclusivamente alla fase acuta della recessione, il rapporto fra spesa pensionistica e PIL risente, negli anni successivi, dell’ulteriore fase di contrazione del PIL. A partire dal 2015, in presenza di un andamento</w:t>
      </w:r>
      <w:r>
        <w:rPr>
          <w:rFonts w:ascii="Franklin Gothic Book" w:hAnsi="Franklin Gothic Book"/>
          <w:spacing w:val="-30"/>
          <w:sz w:val="20"/>
        </w:rPr>
        <w:t> </w:t>
      </w:r>
      <w:r>
        <w:rPr>
          <w:rFonts w:ascii="Franklin Gothic Book" w:hAnsi="Franklin Gothic Book"/>
          <w:sz w:val="20"/>
        </w:rPr>
        <w:t>di ciclo economico più favorevole e della graduale prosecuzione del processo di innalzamento dei requisiti minimi di accesso al pensionamento, il rapporto fra spesa pensionistica e PIL si riduce per circa un triennio, per poi iniziare una fase </w:t>
      </w:r>
      <w:r>
        <w:rPr>
          <w:rFonts w:ascii="Franklin Gothic Book" w:hAnsi="Franklin Gothic Book"/>
          <w:spacing w:val="3"/>
          <w:sz w:val="20"/>
        </w:rPr>
        <w:t>di </w:t>
      </w:r>
      <w:r>
        <w:rPr>
          <w:rFonts w:ascii="Franklin Gothic Book" w:hAnsi="Franklin Gothic Book"/>
          <w:sz w:val="20"/>
        </w:rPr>
        <w:t>crescita a partire dal 2019 fino al 2022.</w:t>
      </w:r>
      <w:r>
        <w:rPr>
          <w:rFonts w:ascii="Franklin Gothic Book" w:hAnsi="Franklin Gothic Book"/>
          <w:spacing w:val="-12"/>
          <w:sz w:val="20"/>
        </w:rPr>
        <w:t> </w:t>
      </w:r>
      <w:r>
        <w:rPr>
          <w:rFonts w:ascii="Franklin Gothic Book" w:hAnsi="Franklin Gothic Book"/>
          <w:sz w:val="20"/>
        </w:rPr>
        <w:t>Segue</w:t>
      </w:r>
      <w:r>
        <w:rPr>
          <w:rFonts w:ascii="Franklin Gothic Book" w:hAnsi="Franklin Gothic Book"/>
          <w:spacing w:val="-12"/>
          <w:sz w:val="20"/>
        </w:rPr>
        <w:t> </w:t>
      </w:r>
      <w:r>
        <w:rPr>
          <w:rFonts w:ascii="Franklin Gothic Book" w:hAnsi="Franklin Gothic Book"/>
          <w:sz w:val="20"/>
        </w:rPr>
        <w:t>una</w:t>
      </w:r>
      <w:r>
        <w:rPr>
          <w:rFonts w:ascii="Franklin Gothic Book" w:hAnsi="Franklin Gothic Book"/>
          <w:spacing w:val="-11"/>
          <w:sz w:val="20"/>
        </w:rPr>
        <w:t> </w:t>
      </w:r>
      <w:r>
        <w:rPr>
          <w:rFonts w:ascii="Franklin Gothic Book" w:hAnsi="Franklin Gothic Book"/>
          <w:sz w:val="20"/>
        </w:rPr>
        <w:t>fase</w:t>
      </w:r>
      <w:r>
        <w:rPr>
          <w:rFonts w:ascii="Franklin Gothic Book" w:hAnsi="Franklin Gothic Book"/>
          <w:spacing w:val="-12"/>
          <w:sz w:val="20"/>
        </w:rPr>
        <w:t> </w:t>
      </w:r>
      <w:r>
        <w:rPr>
          <w:rFonts w:ascii="Franklin Gothic Book" w:hAnsi="Franklin Gothic Book"/>
          <w:sz w:val="20"/>
        </w:rPr>
        <w:t>di</w:t>
      </w:r>
      <w:r>
        <w:rPr>
          <w:rFonts w:ascii="Franklin Gothic Book" w:hAnsi="Franklin Gothic Book"/>
          <w:spacing w:val="-12"/>
          <w:sz w:val="20"/>
        </w:rPr>
        <w:t> </w:t>
      </w:r>
      <w:r>
        <w:rPr>
          <w:rFonts w:ascii="Franklin Gothic Book" w:hAnsi="Franklin Gothic Book"/>
          <w:sz w:val="20"/>
        </w:rPr>
        <w:t>lieve</w:t>
      </w:r>
      <w:r>
        <w:rPr>
          <w:rFonts w:ascii="Franklin Gothic Book" w:hAnsi="Franklin Gothic Book"/>
          <w:spacing w:val="-12"/>
          <w:sz w:val="20"/>
        </w:rPr>
        <w:t> </w:t>
      </w:r>
      <w:r>
        <w:rPr>
          <w:rFonts w:ascii="Franklin Gothic Book" w:hAnsi="Franklin Gothic Book"/>
          <w:sz w:val="20"/>
        </w:rPr>
        <w:t>flessione</w:t>
      </w:r>
      <w:r>
        <w:rPr>
          <w:rFonts w:ascii="Franklin Gothic Book" w:hAnsi="Franklin Gothic Book"/>
          <w:spacing w:val="-13"/>
          <w:sz w:val="20"/>
        </w:rPr>
        <w:t> </w:t>
      </w:r>
      <w:r>
        <w:rPr>
          <w:rFonts w:ascii="Franklin Gothic Book" w:hAnsi="Franklin Gothic Book"/>
          <w:sz w:val="20"/>
        </w:rPr>
        <w:t>che</w:t>
      </w:r>
      <w:r>
        <w:rPr>
          <w:rFonts w:ascii="Franklin Gothic Book" w:hAnsi="Franklin Gothic Book"/>
          <w:spacing w:val="-12"/>
          <w:sz w:val="20"/>
        </w:rPr>
        <w:t> </w:t>
      </w:r>
      <w:r>
        <w:rPr>
          <w:rFonts w:ascii="Franklin Gothic Book" w:hAnsi="Franklin Gothic Book"/>
          <w:sz w:val="20"/>
        </w:rPr>
        <w:t>si</w:t>
      </w:r>
      <w:r>
        <w:rPr>
          <w:rFonts w:ascii="Franklin Gothic Book" w:hAnsi="Franklin Gothic Book"/>
          <w:spacing w:val="-12"/>
          <w:sz w:val="20"/>
        </w:rPr>
        <w:t> </w:t>
      </w:r>
      <w:r>
        <w:rPr>
          <w:rFonts w:ascii="Franklin Gothic Book" w:hAnsi="Franklin Gothic Book"/>
          <w:sz w:val="20"/>
        </w:rPr>
        <w:t>protrae</w:t>
      </w:r>
      <w:r>
        <w:rPr>
          <w:rFonts w:ascii="Franklin Gothic Book" w:hAnsi="Franklin Gothic Book"/>
          <w:spacing w:val="-12"/>
          <w:sz w:val="20"/>
        </w:rPr>
        <w:t> </w:t>
      </w:r>
      <w:r>
        <w:rPr>
          <w:rFonts w:ascii="Franklin Gothic Book" w:hAnsi="Franklin Gothic Book"/>
          <w:sz w:val="20"/>
        </w:rPr>
        <w:t>fino</w:t>
      </w:r>
      <w:r>
        <w:rPr>
          <w:rFonts w:ascii="Franklin Gothic Book" w:hAnsi="Franklin Gothic Book"/>
          <w:spacing w:val="-10"/>
          <w:sz w:val="20"/>
        </w:rPr>
        <w:t> </w:t>
      </w:r>
      <w:r>
        <w:rPr>
          <w:rFonts w:ascii="Franklin Gothic Book" w:hAnsi="Franklin Gothic Book"/>
          <w:sz w:val="20"/>
        </w:rPr>
        <w:t>al</w:t>
      </w:r>
      <w:r>
        <w:rPr>
          <w:rFonts w:ascii="Franklin Gothic Book" w:hAnsi="Franklin Gothic Book"/>
          <w:spacing w:val="-12"/>
          <w:sz w:val="20"/>
        </w:rPr>
        <w:t> </w:t>
      </w:r>
      <w:r>
        <w:rPr>
          <w:rFonts w:ascii="Franklin Gothic Book" w:hAnsi="Franklin Gothic Book"/>
          <w:sz w:val="20"/>
        </w:rPr>
        <w:t>2029</w:t>
      </w:r>
      <w:r>
        <w:rPr>
          <w:rFonts w:ascii="Franklin Gothic Book" w:hAnsi="Franklin Gothic Book"/>
          <w:spacing w:val="-11"/>
          <w:sz w:val="20"/>
        </w:rPr>
        <w:t> </w:t>
      </w:r>
      <w:r>
        <w:rPr>
          <w:rFonts w:ascii="Franklin Gothic Book" w:hAnsi="Franklin Gothic Book"/>
          <w:sz w:val="20"/>
        </w:rPr>
        <w:t>dove</w:t>
      </w:r>
      <w:r>
        <w:rPr>
          <w:rFonts w:ascii="Franklin Gothic Book" w:hAnsi="Franklin Gothic Book"/>
          <w:spacing w:val="-12"/>
          <w:sz w:val="20"/>
        </w:rPr>
        <w:t> </w:t>
      </w:r>
      <w:r>
        <w:rPr>
          <w:rFonts w:ascii="Franklin Gothic Book" w:hAnsi="Franklin Gothic Book"/>
          <w:sz w:val="20"/>
        </w:rPr>
        <w:t>il</w:t>
      </w:r>
      <w:r>
        <w:rPr>
          <w:rFonts w:ascii="Franklin Gothic Book" w:hAnsi="Franklin Gothic Book"/>
          <w:spacing w:val="-12"/>
          <w:sz w:val="20"/>
        </w:rPr>
        <w:t> </w:t>
      </w:r>
      <w:r>
        <w:rPr>
          <w:rFonts w:ascii="Franklin Gothic Book" w:hAnsi="Franklin Gothic Book"/>
          <w:sz w:val="20"/>
        </w:rPr>
        <w:t>rapporto</w:t>
      </w:r>
      <w:r>
        <w:rPr>
          <w:rFonts w:ascii="Franklin Gothic Book" w:hAnsi="Franklin Gothic Book"/>
          <w:spacing w:val="-12"/>
          <w:sz w:val="20"/>
        </w:rPr>
        <w:t> </w:t>
      </w:r>
      <w:r>
        <w:rPr>
          <w:rFonts w:ascii="Franklin Gothic Book" w:hAnsi="Franklin Gothic Book"/>
          <w:sz w:val="20"/>
        </w:rPr>
        <w:t>raggiunge il 15,4 per cento. Successivamente, il rapporto spesa e PIL riprende ad aumentare fino a raggiungere</w:t>
      </w:r>
      <w:r>
        <w:rPr>
          <w:rFonts w:ascii="Franklin Gothic Book" w:hAnsi="Franklin Gothic Book"/>
          <w:spacing w:val="-6"/>
          <w:sz w:val="20"/>
        </w:rPr>
        <w:t> </w:t>
      </w:r>
      <w:r>
        <w:rPr>
          <w:rFonts w:ascii="Franklin Gothic Book" w:hAnsi="Franklin Gothic Book"/>
          <w:sz w:val="20"/>
        </w:rPr>
        <w:t>il</w:t>
      </w:r>
      <w:r>
        <w:rPr>
          <w:rFonts w:ascii="Franklin Gothic Book" w:hAnsi="Franklin Gothic Book"/>
          <w:spacing w:val="-3"/>
          <w:sz w:val="20"/>
        </w:rPr>
        <w:t> </w:t>
      </w:r>
      <w:r>
        <w:rPr>
          <w:rFonts w:ascii="Franklin Gothic Book" w:hAnsi="Franklin Gothic Book"/>
          <w:sz w:val="20"/>
        </w:rPr>
        <w:t>16,1</w:t>
      </w:r>
      <w:r>
        <w:rPr>
          <w:rFonts w:ascii="Franklin Gothic Book" w:hAnsi="Franklin Gothic Book"/>
          <w:spacing w:val="-5"/>
          <w:sz w:val="20"/>
        </w:rPr>
        <w:t> </w:t>
      </w:r>
      <w:r>
        <w:rPr>
          <w:rFonts w:ascii="Franklin Gothic Book" w:hAnsi="Franklin Gothic Book"/>
          <w:sz w:val="20"/>
        </w:rPr>
        <w:t>per</w:t>
      </w:r>
      <w:r>
        <w:rPr>
          <w:rFonts w:ascii="Franklin Gothic Book" w:hAnsi="Franklin Gothic Book"/>
          <w:spacing w:val="-4"/>
          <w:sz w:val="20"/>
        </w:rPr>
        <w:t> </w:t>
      </w:r>
      <w:r>
        <w:rPr>
          <w:rFonts w:ascii="Franklin Gothic Book" w:hAnsi="Franklin Gothic Book"/>
          <w:sz w:val="20"/>
        </w:rPr>
        <w:t>cento</w:t>
      </w:r>
      <w:r>
        <w:rPr>
          <w:rFonts w:ascii="Franklin Gothic Book" w:hAnsi="Franklin Gothic Book"/>
          <w:spacing w:val="-3"/>
          <w:sz w:val="20"/>
        </w:rPr>
        <w:t> </w:t>
      </w:r>
      <w:r>
        <w:rPr>
          <w:rFonts w:ascii="Franklin Gothic Book" w:hAnsi="Franklin Gothic Book"/>
          <w:sz w:val="20"/>
        </w:rPr>
        <w:t>nel</w:t>
      </w:r>
      <w:r>
        <w:rPr>
          <w:rFonts w:ascii="Franklin Gothic Book" w:hAnsi="Franklin Gothic Book"/>
          <w:spacing w:val="-3"/>
          <w:sz w:val="20"/>
        </w:rPr>
        <w:t> </w:t>
      </w:r>
      <w:r>
        <w:rPr>
          <w:rFonts w:ascii="Franklin Gothic Book" w:hAnsi="Franklin Gothic Book"/>
          <w:sz w:val="20"/>
        </w:rPr>
        <w:t>2044.</w:t>
      </w:r>
      <w:r>
        <w:rPr>
          <w:rFonts w:ascii="Franklin Gothic Book" w:hAnsi="Franklin Gothic Book"/>
          <w:spacing w:val="-4"/>
          <w:sz w:val="20"/>
        </w:rPr>
        <w:t> </w:t>
      </w:r>
      <w:r>
        <w:rPr>
          <w:rFonts w:ascii="Franklin Gothic Book" w:hAnsi="Franklin Gothic Book"/>
          <w:sz w:val="20"/>
        </w:rPr>
        <w:t>Infine,</w:t>
      </w:r>
      <w:r>
        <w:rPr>
          <w:rFonts w:ascii="Franklin Gothic Book" w:hAnsi="Franklin Gothic Book"/>
          <w:spacing w:val="-4"/>
          <w:sz w:val="20"/>
        </w:rPr>
        <w:t> </w:t>
      </w:r>
      <w:r>
        <w:rPr>
          <w:rFonts w:ascii="Franklin Gothic Book" w:hAnsi="Franklin Gothic Book"/>
          <w:sz w:val="20"/>
        </w:rPr>
        <w:t>il</w:t>
      </w:r>
      <w:r>
        <w:rPr>
          <w:rFonts w:ascii="Franklin Gothic Book" w:hAnsi="Franklin Gothic Book"/>
          <w:spacing w:val="-4"/>
          <w:sz w:val="20"/>
        </w:rPr>
        <w:t> </w:t>
      </w:r>
      <w:r>
        <w:rPr>
          <w:rFonts w:ascii="Franklin Gothic Book" w:hAnsi="Franklin Gothic Book"/>
          <w:sz w:val="20"/>
        </w:rPr>
        <w:t>rapporto</w:t>
      </w:r>
      <w:r>
        <w:rPr>
          <w:rFonts w:ascii="Franklin Gothic Book" w:hAnsi="Franklin Gothic Book"/>
          <w:spacing w:val="-4"/>
          <w:sz w:val="20"/>
        </w:rPr>
        <w:t> </w:t>
      </w:r>
      <w:r>
        <w:rPr>
          <w:rFonts w:ascii="Franklin Gothic Book" w:hAnsi="Franklin Gothic Book"/>
          <w:sz w:val="20"/>
        </w:rPr>
        <w:t>scende</w:t>
      </w:r>
      <w:r>
        <w:rPr>
          <w:rFonts w:ascii="Franklin Gothic Book" w:hAnsi="Franklin Gothic Book"/>
          <w:spacing w:val="-5"/>
          <w:sz w:val="20"/>
        </w:rPr>
        <w:t> </w:t>
      </w:r>
      <w:r>
        <w:rPr>
          <w:rFonts w:ascii="Franklin Gothic Book" w:hAnsi="Franklin Gothic Book"/>
          <w:sz w:val="20"/>
        </w:rPr>
        <w:t>rapidamente</w:t>
      </w:r>
      <w:r>
        <w:rPr>
          <w:rFonts w:ascii="Franklin Gothic Book" w:hAnsi="Franklin Gothic Book"/>
          <w:spacing w:val="-3"/>
          <w:sz w:val="20"/>
        </w:rPr>
        <w:t> </w:t>
      </w:r>
      <w:r>
        <w:rPr>
          <w:rFonts w:ascii="Franklin Gothic Book" w:hAnsi="Franklin Gothic Book"/>
          <w:sz w:val="20"/>
        </w:rPr>
        <w:t>portandosi</w:t>
      </w:r>
      <w:r>
        <w:rPr>
          <w:rFonts w:ascii="Franklin Gothic Book" w:hAnsi="Franklin Gothic Book"/>
          <w:spacing w:val="-5"/>
          <w:sz w:val="20"/>
        </w:rPr>
        <w:t> </w:t>
      </w:r>
      <w:r>
        <w:rPr>
          <w:rFonts w:ascii="Franklin Gothic Book" w:hAnsi="Franklin Gothic Book"/>
          <w:sz w:val="20"/>
        </w:rPr>
        <w:t>al</w:t>
      </w:r>
    </w:p>
    <w:p>
      <w:pPr>
        <w:pStyle w:val="BodyText"/>
        <w:rPr>
          <w:rFonts w:ascii="Franklin Gothic Book"/>
          <w:sz w:val="20"/>
        </w:rPr>
      </w:pPr>
    </w:p>
    <w:p>
      <w:pPr>
        <w:pStyle w:val="BodyText"/>
        <w:spacing w:before="9"/>
        <w:rPr>
          <w:rFonts w:ascii="Franklin Gothic Book"/>
          <w:sz w:val="27"/>
        </w:rPr>
      </w:pPr>
      <w:r>
        <w:rPr/>
        <w:pict>
          <v:group style="position:absolute;margin-left:136.100006pt;margin-top:17.774376pt;width:21.4pt;height:2.15pt;mso-position-horizontal-relative:page;mso-position-vertical-relative:paragraph;z-index:-251515904;mso-wrap-distance-left:0;mso-wrap-distance-right:0" coordorigin="2722,355" coordsize="428,43">
            <v:line style="position:absolute" from="2722,376" to="3149,376" stroked="true" strokeweight="2.050pt" strokecolor="#aaaaaa">
              <v:stroke dashstyle="solid"/>
            </v:line>
            <v:rect style="position:absolute;left:2722;top:357;width:5;height:5" filled="true" fillcolor="#9f9f9f" stroked="false">
              <v:fill type="solid"/>
            </v:rect>
            <v:rect style="position:absolute;left:2722;top:357;width:5;height:5" filled="true" fillcolor="#9f9f9f" stroked="false">
              <v:fill type="solid"/>
            </v:rect>
            <v:line style="position:absolute" from="2727,359" to="3144,359" stroked="true" strokeweight=".23999pt" strokecolor="#9f9f9f">
              <v:stroke dashstyle="solid"/>
            </v:line>
            <v:rect style="position:absolute;left:3144;top:357;width:5;height:5" filled="true" fillcolor="#e2e2e2" stroked="false">
              <v:fill type="solid"/>
            </v:rect>
            <v:rect style="position:absolute;left:3144;top:357;width:5;height:5" filled="true" fillcolor="#9f9f9f" stroked="false">
              <v:fill type="solid"/>
            </v:rect>
            <v:rect style="position:absolute;left:2722;top:361;width:5;height:32" filled="true" fillcolor="#9f9f9f" stroked="false">
              <v:fill type="solid"/>
            </v:rect>
            <v:rect style="position:absolute;left:3144;top:361;width:5;height:32" filled="true" fillcolor="#e2e2e2" stroked="false">
              <v:fill type="solid"/>
            </v:rect>
            <v:rect style="position:absolute;left:2722;top:393;width:5;height:5" filled="true" fillcolor="#9f9f9f" stroked="false">
              <v:fill type="solid"/>
            </v:rect>
            <v:rect style="position:absolute;left:2722;top:393;width:5;height:5" filled="true" fillcolor="#e2e2e2" stroked="false">
              <v:fill type="solid"/>
            </v:rect>
            <v:line style="position:absolute" from="2727,395" to="3144,395" stroked="true" strokeweight=".23999pt" strokecolor="#e2e2e2">
              <v:stroke dashstyle="solid"/>
            </v:line>
            <v:rect style="position:absolute;left:3144;top:393;width:5;height:5" filled="true" fillcolor="#e2e2e2" stroked="false">
              <v:fill type="solid"/>
            </v:rect>
            <v:rect style="position:absolute;left:3144;top:393;width:5;height:5" filled="true" fillcolor="#e2e2e2" stroked="false">
              <v:fill type="solid"/>
            </v:rect>
            <w10:wrap type="topAndBottom"/>
          </v:group>
        </w:pict>
      </w:r>
    </w:p>
    <w:p>
      <w:pPr>
        <w:spacing w:line="240" w:lineRule="auto" w:before="22"/>
        <w:ind w:left="1128" w:right="1413" w:firstLine="453"/>
        <w:jc w:val="both"/>
        <w:rPr>
          <w:sz w:val="18"/>
        </w:rPr>
      </w:pPr>
      <w:r>
        <w:rPr>
          <w:position w:val="6"/>
          <w:sz w:val="10"/>
        </w:rPr>
        <w:t>16 </w:t>
      </w:r>
      <w:r>
        <w:rPr>
          <w:sz w:val="18"/>
        </w:rPr>
        <w:t>Attuativo di quanto previsto dalla legge n. 145/2018 (legge di bilancio 2019) in termini di relativa programmazione finanziaria. La legge di Bilancio n.145/2018 al comma 256 ha istituito il “Fondo</w:t>
      </w:r>
      <w:r>
        <w:rPr>
          <w:spacing w:val="-14"/>
          <w:sz w:val="18"/>
        </w:rPr>
        <w:t> </w:t>
      </w:r>
      <w:r>
        <w:rPr>
          <w:sz w:val="18"/>
        </w:rPr>
        <w:t>per</w:t>
      </w:r>
      <w:r>
        <w:rPr>
          <w:spacing w:val="-13"/>
          <w:sz w:val="18"/>
        </w:rPr>
        <w:t> </w:t>
      </w:r>
      <w:r>
        <w:rPr>
          <w:sz w:val="18"/>
        </w:rPr>
        <w:t>la</w:t>
      </w:r>
      <w:r>
        <w:rPr>
          <w:spacing w:val="-14"/>
          <w:sz w:val="18"/>
        </w:rPr>
        <w:t> </w:t>
      </w:r>
      <w:r>
        <w:rPr>
          <w:sz w:val="18"/>
        </w:rPr>
        <w:t>revisione</w:t>
      </w:r>
      <w:r>
        <w:rPr>
          <w:spacing w:val="-13"/>
          <w:sz w:val="18"/>
        </w:rPr>
        <w:t> </w:t>
      </w:r>
      <w:r>
        <w:rPr>
          <w:sz w:val="18"/>
        </w:rPr>
        <w:t>del</w:t>
      </w:r>
      <w:r>
        <w:rPr>
          <w:spacing w:val="-13"/>
          <w:sz w:val="18"/>
        </w:rPr>
        <w:t> </w:t>
      </w:r>
      <w:r>
        <w:rPr>
          <w:sz w:val="18"/>
        </w:rPr>
        <w:t>sistema</w:t>
      </w:r>
      <w:r>
        <w:rPr>
          <w:spacing w:val="-14"/>
          <w:sz w:val="18"/>
        </w:rPr>
        <w:t> </w:t>
      </w:r>
      <w:r>
        <w:rPr>
          <w:sz w:val="18"/>
        </w:rPr>
        <w:t>pensionistico</w:t>
      </w:r>
      <w:r>
        <w:rPr>
          <w:spacing w:val="-14"/>
          <w:sz w:val="18"/>
        </w:rPr>
        <w:t> </w:t>
      </w:r>
      <w:r>
        <w:rPr>
          <w:sz w:val="18"/>
        </w:rPr>
        <w:t>anticipato</w:t>
      </w:r>
      <w:r>
        <w:rPr>
          <w:spacing w:val="-14"/>
          <w:sz w:val="18"/>
        </w:rPr>
        <w:t> </w:t>
      </w:r>
      <w:r>
        <w:rPr>
          <w:sz w:val="18"/>
        </w:rPr>
        <w:t>e</w:t>
      </w:r>
      <w:r>
        <w:rPr>
          <w:spacing w:val="-13"/>
          <w:sz w:val="18"/>
        </w:rPr>
        <w:t> </w:t>
      </w:r>
      <w:r>
        <w:rPr>
          <w:sz w:val="18"/>
        </w:rPr>
        <w:t>per</w:t>
      </w:r>
      <w:r>
        <w:rPr>
          <w:spacing w:val="-15"/>
          <w:sz w:val="18"/>
        </w:rPr>
        <w:t> </w:t>
      </w:r>
      <w:r>
        <w:rPr>
          <w:sz w:val="18"/>
        </w:rPr>
        <w:t>incentivare</w:t>
      </w:r>
      <w:r>
        <w:rPr>
          <w:spacing w:val="-13"/>
          <w:sz w:val="18"/>
        </w:rPr>
        <w:t> </w:t>
      </w:r>
      <w:r>
        <w:rPr>
          <w:sz w:val="18"/>
        </w:rPr>
        <w:t>l’assunzione</w:t>
      </w:r>
      <w:r>
        <w:rPr>
          <w:spacing w:val="-13"/>
          <w:sz w:val="18"/>
        </w:rPr>
        <w:t> </w:t>
      </w:r>
      <w:r>
        <w:rPr>
          <w:sz w:val="18"/>
        </w:rPr>
        <w:t>di</w:t>
      </w:r>
      <w:r>
        <w:rPr>
          <w:spacing w:val="-14"/>
          <w:sz w:val="18"/>
        </w:rPr>
        <w:t> </w:t>
      </w:r>
      <w:r>
        <w:rPr>
          <w:sz w:val="18"/>
        </w:rPr>
        <w:t>lavoratori giovani” la cui dotazione a regime è di 7000 milioni l’anno a partire dal 2024. I maggiori oneri che conseguono dalle disposizioni in ambito previdenziale del D.L. n.4/2019 hanno trovato copertura mediante il sostanziale azzeramento della dotazione dell’autorizzazione di spesa in esame fino al 2023. Negli anni seguenti, residuano a normativa vigente nella predetta autorizzazione di spesa delle somme crescenti fino a raggiungere un livello di circa 4 miliardi annui dal 2028. In questa sede tali stanziamenti residui non ancora normativamente definiti non sono attribuiti a interventi strutturali specifici in ambito</w:t>
      </w:r>
      <w:r>
        <w:rPr>
          <w:spacing w:val="-2"/>
          <w:sz w:val="18"/>
        </w:rPr>
        <w:t> </w:t>
      </w:r>
      <w:r>
        <w:rPr>
          <w:sz w:val="18"/>
        </w:rPr>
        <w:t>pensionistico.</w:t>
      </w:r>
    </w:p>
    <w:p>
      <w:pPr>
        <w:spacing w:before="1"/>
        <w:ind w:left="1128" w:right="1423" w:firstLine="453"/>
        <w:jc w:val="both"/>
        <w:rPr>
          <w:sz w:val="18"/>
        </w:rPr>
      </w:pPr>
      <w:r>
        <w:rPr>
          <w:position w:val="6"/>
          <w:sz w:val="10"/>
        </w:rPr>
        <w:t>17 </w:t>
      </w:r>
      <w:r>
        <w:rPr>
          <w:sz w:val="18"/>
        </w:rPr>
        <w:t>È comunque previsto un posticipo della prima decorrenza utile dei trattamenti pensionistici a partire dalla data di maturazione dei requisiti pari a tre mesi per il settore privato e sei mesi per il settore pubblico.</w:t>
      </w:r>
    </w:p>
    <w:p>
      <w:pPr>
        <w:spacing w:before="0"/>
        <w:ind w:left="1128" w:right="1418" w:firstLine="453"/>
        <w:jc w:val="both"/>
        <w:rPr>
          <w:sz w:val="18"/>
        </w:rPr>
      </w:pPr>
      <w:r>
        <w:rPr>
          <w:position w:val="6"/>
          <w:sz w:val="10"/>
        </w:rPr>
        <w:t>18 </w:t>
      </w:r>
      <w:r>
        <w:rPr>
          <w:sz w:val="18"/>
        </w:rPr>
        <w:t>È comunque previsto, dal 2019, un posticipo della prima decorrenza utile dei trattamenti pensionistici a partire dalla data di maturazione dei requisiti pari a tre mesi.</w:t>
      </w:r>
    </w:p>
    <w:p>
      <w:pPr>
        <w:spacing w:after="0"/>
        <w:jc w:val="both"/>
        <w:rPr>
          <w:sz w:val="18"/>
        </w:rPr>
        <w:sectPr>
          <w:pgSz w:w="11910" w:h="16840"/>
          <w:pgMar w:header="838" w:footer="866" w:top="1100" w:bottom="1060" w:left="1140" w:right="0"/>
        </w:sectPr>
      </w:pPr>
    </w:p>
    <w:p>
      <w:pPr>
        <w:pStyle w:val="BodyText"/>
        <w:rPr>
          <w:sz w:val="20"/>
        </w:rPr>
      </w:pPr>
    </w:p>
    <w:p>
      <w:pPr>
        <w:pStyle w:val="BodyText"/>
        <w:rPr>
          <w:sz w:val="20"/>
        </w:rPr>
      </w:pPr>
    </w:p>
    <w:p>
      <w:pPr>
        <w:pStyle w:val="BodyText"/>
        <w:rPr>
          <w:sz w:val="27"/>
        </w:rPr>
      </w:pPr>
    </w:p>
    <w:p>
      <w:pPr>
        <w:spacing w:before="100"/>
        <w:ind w:left="782" w:right="0" w:firstLine="0"/>
        <w:jc w:val="both"/>
        <w:rPr>
          <w:rFonts w:ascii="Franklin Gothic Book" w:hAnsi="Franklin Gothic Book"/>
          <w:sz w:val="20"/>
        </w:rPr>
      </w:pPr>
      <w:r>
        <w:rPr/>
        <w:pict>
          <v:group style="position:absolute;margin-left:70.944pt;margin-top:4.565037pt;width:411.95pt;height:459.05pt;mso-position-horizontal-relative:page;mso-position-vertical-relative:paragraph;z-index:-266204160" coordorigin="1419,91" coordsize="8239,9181">
            <v:rect style="position:absolute;left:1447;top:91;width:22;height:9181" filled="true" fillcolor="#efefef" stroked="false">
              <v:fill type="solid"/>
            </v:rect>
            <v:shape style="position:absolute;left:1469;top:91;width:8188;height:9181" coordorigin="1469,91" coordsize="8188,9181" path="m9657,3571l1469,3571,1469,3812,1469,4052,1469,4292,1469,4532,1469,4832,1469,5072,1469,5312,1469,5552,1469,5792,1469,6032,1469,6332,1469,6572,1469,6812,1469,7052,1469,7292,1469,7532,1469,7532,1469,7772,1469,8012,1469,8252,1469,8492,1469,8792,1469,9032,1469,9272,9657,9272,9657,9032,9657,8792,9657,8492,9657,8252,9657,8012,9657,7772,9657,7532,9657,7532,9657,7292,9657,7052,9657,6812,9657,6572,9657,6332,9657,6032,9657,5792,9657,5552,9657,5312,9657,5072,9657,4832,9657,4532,9657,4292,9657,4052,9657,3812,9657,3571m9657,91l1469,91,1469,331,1469,571,1469,871,1469,1111,1469,1351,1469,1591,1469,1831,1469,2071,1469,2311,1469,2551,1469,2791,1469,3031,1469,3331,1469,3571,9657,3571,9657,3331,9657,3031,9657,2791,9657,2551,9657,2311,9657,2071,9657,1831,9657,1591,9657,1351,9657,1111,9657,871,9657,571,9657,331,9657,91e" filled="true" fillcolor="#efefef" stroked="false">
              <v:path arrowok="t"/>
              <v:fill type="solid"/>
            </v:shape>
            <v:rect style="position:absolute;left:1418;top:91;width:29;height:9181" filled="true" fillcolor="#086d44" stroked="false">
              <v:fill type="solid"/>
            </v:rect>
            <w10:wrap type="none"/>
          </v:group>
        </w:pict>
      </w:r>
      <w:r>
        <w:rPr>
          <w:rFonts w:ascii="Franklin Gothic Book" w:hAnsi="Franklin Gothic Book"/>
          <w:sz w:val="20"/>
        </w:rPr>
        <w:t>15,3 per cento nel 2050 e al 13,1 per cento nel 2070, con una decelerazione pressoché</w:t>
      </w:r>
    </w:p>
    <w:p>
      <w:pPr>
        <w:spacing w:before="13"/>
        <w:ind w:left="782" w:right="0" w:firstLine="0"/>
        <w:jc w:val="both"/>
        <w:rPr>
          <w:rFonts w:ascii="Franklin Gothic Book" w:hAnsi="Franklin Gothic Book"/>
          <w:sz w:val="20"/>
        </w:rPr>
      </w:pPr>
      <w:r>
        <w:rPr>
          <w:rFonts w:ascii="Franklin Gothic Book" w:hAnsi="Franklin Gothic Book"/>
          <w:sz w:val="20"/>
        </w:rPr>
        <w:t>costante nell’intero periodo.</w:t>
      </w:r>
    </w:p>
    <w:p>
      <w:pPr>
        <w:spacing w:line="254" w:lineRule="auto" w:before="73"/>
        <w:ind w:left="782" w:right="2245" w:firstLine="0"/>
        <w:jc w:val="both"/>
        <w:rPr>
          <w:rFonts w:ascii="Franklin Gothic Book" w:hAnsi="Franklin Gothic Book"/>
          <w:sz w:val="20"/>
        </w:rPr>
      </w:pPr>
      <w:r>
        <w:rPr>
          <w:rFonts w:ascii="Franklin Gothic Book" w:hAnsi="Franklin Gothic Book"/>
          <w:sz w:val="20"/>
        </w:rPr>
        <w:t>La contenuta flessione nel triennio 2015-2017 del rapporto fra spesa pensionistica e PIL è largamente spiegata dall’aumento dei requisiti minimi di accesso al pensionamento e dall’applicazione, pro rata, del sistema di calcolo contributivo. L’andamento dal 2019 al 2027</w:t>
      </w:r>
      <w:r>
        <w:rPr>
          <w:rFonts w:ascii="Franklin Gothic Book" w:hAnsi="Franklin Gothic Book"/>
          <w:spacing w:val="-5"/>
          <w:sz w:val="20"/>
        </w:rPr>
        <w:t> </w:t>
      </w:r>
      <w:r>
        <w:rPr>
          <w:rFonts w:ascii="Franklin Gothic Book" w:hAnsi="Franklin Gothic Book"/>
          <w:sz w:val="20"/>
        </w:rPr>
        <w:t>è</w:t>
      </w:r>
      <w:r>
        <w:rPr>
          <w:rFonts w:ascii="Franklin Gothic Book" w:hAnsi="Franklin Gothic Book"/>
          <w:spacing w:val="-5"/>
          <w:sz w:val="20"/>
        </w:rPr>
        <w:t> </w:t>
      </w:r>
      <w:r>
        <w:rPr>
          <w:rFonts w:ascii="Franklin Gothic Book" w:hAnsi="Franklin Gothic Book"/>
          <w:sz w:val="20"/>
        </w:rPr>
        <w:t>condizionato,</w:t>
      </w:r>
      <w:r>
        <w:rPr>
          <w:rFonts w:ascii="Franklin Gothic Book" w:hAnsi="Franklin Gothic Book"/>
          <w:spacing w:val="-5"/>
          <w:sz w:val="20"/>
        </w:rPr>
        <w:t> </w:t>
      </w:r>
      <w:r>
        <w:rPr>
          <w:rFonts w:ascii="Franklin Gothic Book" w:hAnsi="Franklin Gothic Book"/>
          <w:sz w:val="20"/>
        </w:rPr>
        <w:t>in</w:t>
      </w:r>
      <w:r>
        <w:rPr>
          <w:rFonts w:ascii="Franklin Gothic Book" w:hAnsi="Franklin Gothic Book"/>
          <w:spacing w:val="-5"/>
          <w:sz w:val="20"/>
        </w:rPr>
        <w:t> </w:t>
      </w:r>
      <w:r>
        <w:rPr>
          <w:rFonts w:ascii="Franklin Gothic Book" w:hAnsi="Franklin Gothic Book"/>
          <w:sz w:val="20"/>
        </w:rPr>
        <w:t>una</w:t>
      </w:r>
      <w:r>
        <w:rPr>
          <w:rFonts w:ascii="Franklin Gothic Book" w:hAnsi="Franklin Gothic Book"/>
          <w:spacing w:val="-4"/>
          <w:sz w:val="20"/>
        </w:rPr>
        <w:t> </w:t>
      </w:r>
      <w:r>
        <w:rPr>
          <w:rFonts w:ascii="Franklin Gothic Book" w:hAnsi="Franklin Gothic Book"/>
          <w:sz w:val="20"/>
        </w:rPr>
        <w:t>prima</w:t>
      </w:r>
      <w:r>
        <w:rPr>
          <w:rFonts w:ascii="Franklin Gothic Book" w:hAnsi="Franklin Gothic Book"/>
          <w:spacing w:val="-5"/>
          <w:sz w:val="20"/>
        </w:rPr>
        <w:t> </w:t>
      </w:r>
      <w:r>
        <w:rPr>
          <w:rFonts w:ascii="Franklin Gothic Book" w:hAnsi="Franklin Gothic Book"/>
          <w:sz w:val="20"/>
        </w:rPr>
        <w:t>fase</w:t>
      </w:r>
      <w:r>
        <w:rPr>
          <w:rFonts w:ascii="Franklin Gothic Book" w:hAnsi="Franklin Gothic Book"/>
          <w:spacing w:val="-5"/>
          <w:sz w:val="20"/>
        </w:rPr>
        <w:t> </w:t>
      </w:r>
      <w:r>
        <w:rPr>
          <w:rFonts w:ascii="Franklin Gothic Book" w:hAnsi="Franklin Gothic Book"/>
          <w:sz w:val="20"/>
        </w:rPr>
        <w:t>di</w:t>
      </w:r>
      <w:r>
        <w:rPr>
          <w:rFonts w:ascii="Franklin Gothic Book" w:hAnsi="Franklin Gothic Book"/>
          <w:spacing w:val="-5"/>
          <w:sz w:val="20"/>
        </w:rPr>
        <w:t> </w:t>
      </w:r>
      <w:r>
        <w:rPr>
          <w:rFonts w:ascii="Franklin Gothic Book" w:hAnsi="Franklin Gothic Book"/>
          <w:sz w:val="20"/>
        </w:rPr>
        <w:t>crescita</w:t>
      </w:r>
      <w:r>
        <w:rPr>
          <w:rFonts w:ascii="Franklin Gothic Book" w:hAnsi="Franklin Gothic Book"/>
          <w:spacing w:val="-5"/>
          <w:sz w:val="20"/>
        </w:rPr>
        <w:t> </w:t>
      </w:r>
      <w:r>
        <w:rPr>
          <w:rFonts w:ascii="Franklin Gothic Book" w:hAnsi="Franklin Gothic Book"/>
          <w:sz w:val="20"/>
        </w:rPr>
        <w:t>del</w:t>
      </w:r>
      <w:r>
        <w:rPr>
          <w:rFonts w:ascii="Franklin Gothic Book" w:hAnsi="Franklin Gothic Book"/>
          <w:spacing w:val="-5"/>
          <w:sz w:val="20"/>
        </w:rPr>
        <w:t> </w:t>
      </w:r>
      <w:r>
        <w:rPr>
          <w:rFonts w:ascii="Franklin Gothic Book" w:hAnsi="Franklin Gothic Book"/>
          <w:sz w:val="20"/>
        </w:rPr>
        <w:t>rapporto</w:t>
      </w:r>
      <w:r>
        <w:rPr>
          <w:rFonts w:ascii="Franklin Gothic Book" w:hAnsi="Franklin Gothic Book"/>
          <w:spacing w:val="-5"/>
          <w:sz w:val="20"/>
        </w:rPr>
        <w:t> </w:t>
      </w:r>
      <w:r>
        <w:rPr>
          <w:rFonts w:ascii="Franklin Gothic Book" w:hAnsi="Franklin Gothic Book"/>
          <w:sz w:val="20"/>
        </w:rPr>
        <w:t>spesa/PIL,</w:t>
      </w:r>
      <w:r>
        <w:rPr>
          <w:rFonts w:ascii="Franklin Gothic Book" w:hAnsi="Franklin Gothic Book"/>
          <w:spacing w:val="-5"/>
          <w:sz w:val="20"/>
        </w:rPr>
        <w:t> </w:t>
      </w:r>
      <w:r>
        <w:rPr>
          <w:rFonts w:ascii="Franklin Gothic Book" w:hAnsi="Franklin Gothic Book"/>
          <w:sz w:val="20"/>
        </w:rPr>
        <w:t>sia</w:t>
      </w:r>
      <w:r>
        <w:rPr>
          <w:rFonts w:ascii="Franklin Gothic Book" w:hAnsi="Franklin Gothic Book"/>
          <w:spacing w:val="-4"/>
          <w:sz w:val="20"/>
        </w:rPr>
        <w:t> </w:t>
      </w:r>
      <w:r>
        <w:rPr>
          <w:rFonts w:ascii="Franklin Gothic Book" w:hAnsi="Franklin Gothic Book"/>
          <w:sz w:val="20"/>
        </w:rPr>
        <w:t>dall’esplicarsi delle misure in ambito previdenziale contenute nel Decreto Legge n. 4/2019, che favoriscono una più rapida uscita dal mercato del lavoro e il conseguente aumento del numero</w:t>
      </w:r>
      <w:r>
        <w:rPr>
          <w:rFonts w:ascii="Franklin Gothic Book" w:hAnsi="Franklin Gothic Book"/>
          <w:spacing w:val="-14"/>
          <w:sz w:val="20"/>
        </w:rPr>
        <w:t> </w:t>
      </w:r>
      <w:r>
        <w:rPr>
          <w:rFonts w:ascii="Franklin Gothic Book" w:hAnsi="Franklin Gothic Book"/>
          <w:sz w:val="20"/>
        </w:rPr>
        <w:t>di</w:t>
      </w:r>
      <w:r>
        <w:rPr>
          <w:rFonts w:ascii="Franklin Gothic Book" w:hAnsi="Franklin Gothic Book"/>
          <w:spacing w:val="-14"/>
          <w:sz w:val="20"/>
        </w:rPr>
        <w:t> </w:t>
      </w:r>
      <w:r>
        <w:rPr>
          <w:rFonts w:ascii="Franklin Gothic Book" w:hAnsi="Franklin Gothic Book"/>
          <w:sz w:val="20"/>
        </w:rPr>
        <w:t>pensioni</w:t>
      </w:r>
      <w:r>
        <w:rPr>
          <w:rFonts w:ascii="Franklin Gothic Book" w:hAnsi="Franklin Gothic Book"/>
          <w:spacing w:val="-15"/>
          <w:sz w:val="20"/>
        </w:rPr>
        <w:t> </w:t>
      </w:r>
      <w:r>
        <w:rPr>
          <w:rFonts w:ascii="Franklin Gothic Book" w:hAnsi="Franklin Gothic Book"/>
          <w:sz w:val="20"/>
        </w:rPr>
        <w:t>in</w:t>
      </w:r>
      <w:r>
        <w:rPr>
          <w:rFonts w:ascii="Franklin Gothic Book" w:hAnsi="Franklin Gothic Book"/>
          <w:spacing w:val="-12"/>
          <w:sz w:val="20"/>
        </w:rPr>
        <w:t> </w:t>
      </w:r>
      <w:r>
        <w:rPr>
          <w:rFonts w:ascii="Franklin Gothic Book" w:hAnsi="Franklin Gothic Book"/>
          <w:sz w:val="20"/>
        </w:rPr>
        <w:t>rapporto</w:t>
      </w:r>
      <w:r>
        <w:rPr>
          <w:rFonts w:ascii="Franklin Gothic Book" w:hAnsi="Franklin Gothic Book"/>
          <w:spacing w:val="-14"/>
          <w:sz w:val="20"/>
        </w:rPr>
        <w:t> </w:t>
      </w:r>
      <w:r>
        <w:rPr>
          <w:rFonts w:ascii="Franklin Gothic Book" w:hAnsi="Franklin Gothic Book"/>
          <w:sz w:val="20"/>
        </w:rPr>
        <w:t>al</w:t>
      </w:r>
      <w:r>
        <w:rPr>
          <w:rFonts w:ascii="Franklin Gothic Book" w:hAnsi="Franklin Gothic Book"/>
          <w:spacing w:val="-14"/>
          <w:sz w:val="20"/>
        </w:rPr>
        <w:t> </w:t>
      </w:r>
      <w:r>
        <w:rPr>
          <w:rFonts w:ascii="Franklin Gothic Book" w:hAnsi="Franklin Gothic Book"/>
          <w:sz w:val="20"/>
        </w:rPr>
        <w:t>numero</w:t>
      </w:r>
      <w:r>
        <w:rPr>
          <w:rFonts w:ascii="Franklin Gothic Book" w:hAnsi="Franklin Gothic Book"/>
          <w:spacing w:val="-14"/>
          <w:sz w:val="20"/>
        </w:rPr>
        <w:t> </w:t>
      </w:r>
      <w:r>
        <w:rPr>
          <w:rFonts w:ascii="Franklin Gothic Book" w:hAnsi="Franklin Gothic Book"/>
          <w:sz w:val="20"/>
        </w:rPr>
        <w:t>di</w:t>
      </w:r>
      <w:r>
        <w:rPr>
          <w:rFonts w:ascii="Franklin Gothic Book" w:hAnsi="Franklin Gothic Book"/>
          <w:spacing w:val="-14"/>
          <w:sz w:val="20"/>
        </w:rPr>
        <w:t> </w:t>
      </w:r>
      <w:r>
        <w:rPr>
          <w:rFonts w:ascii="Franklin Gothic Book" w:hAnsi="Franklin Gothic Book"/>
          <w:sz w:val="20"/>
        </w:rPr>
        <w:t>occupati,</w:t>
      </w:r>
      <w:r>
        <w:rPr>
          <w:rFonts w:ascii="Franklin Gothic Book" w:hAnsi="Franklin Gothic Book"/>
          <w:spacing w:val="-14"/>
          <w:sz w:val="20"/>
        </w:rPr>
        <w:t> </w:t>
      </w:r>
      <w:r>
        <w:rPr>
          <w:rFonts w:ascii="Franklin Gothic Book" w:hAnsi="Franklin Gothic Book"/>
          <w:sz w:val="20"/>
        </w:rPr>
        <w:t>sia</w:t>
      </w:r>
      <w:r>
        <w:rPr>
          <w:rFonts w:ascii="Franklin Gothic Book" w:hAnsi="Franklin Gothic Book"/>
          <w:spacing w:val="-14"/>
          <w:sz w:val="20"/>
        </w:rPr>
        <w:t> </w:t>
      </w:r>
      <w:r>
        <w:rPr>
          <w:rFonts w:ascii="Franklin Gothic Book" w:hAnsi="Franklin Gothic Book"/>
          <w:sz w:val="20"/>
        </w:rPr>
        <w:t>dalla</w:t>
      </w:r>
      <w:r>
        <w:rPr>
          <w:rFonts w:ascii="Franklin Gothic Book" w:hAnsi="Franklin Gothic Book"/>
          <w:spacing w:val="-14"/>
          <w:sz w:val="20"/>
        </w:rPr>
        <w:t> </w:t>
      </w:r>
      <w:r>
        <w:rPr>
          <w:rFonts w:ascii="Franklin Gothic Book" w:hAnsi="Franklin Gothic Book"/>
          <w:sz w:val="20"/>
        </w:rPr>
        <w:t>crescita</w:t>
      </w:r>
      <w:r>
        <w:rPr>
          <w:rFonts w:ascii="Franklin Gothic Book" w:hAnsi="Franklin Gothic Book"/>
          <w:spacing w:val="-14"/>
          <w:sz w:val="20"/>
        </w:rPr>
        <w:t> </w:t>
      </w:r>
      <w:r>
        <w:rPr>
          <w:rFonts w:ascii="Franklin Gothic Book" w:hAnsi="Franklin Gothic Book"/>
          <w:sz w:val="20"/>
        </w:rPr>
        <w:t>reale</w:t>
      </w:r>
      <w:r>
        <w:rPr>
          <w:rFonts w:ascii="Franklin Gothic Book" w:hAnsi="Franklin Gothic Book"/>
          <w:spacing w:val="-14"/>
          <w:sz w:val="20"/>
        </w:rPr>
        <w:t> </w:t>
      </w:r>
      <w:r>
        <w:rPr>
          <w:rFonts w:ascii="Franklin Gothic Book" w:hAnsi="Franklin Gothic Book"/>
          <w:sz w:val="20"/>
        </w:rPr>
        <w:t>molto</w:t>
      </w:r>
      <w:r>
        <w:rPr>
          <w:rFonts w:ascii="Franklin Gothic Book" w:hAnsi="Franklin Gothic Book"/>
          <w:spacing w:val="-14"/>
          <w:sz w:val="20"/>
        </w:rPr>
        <w:t> </w:t>
      </w:r>
      <w:r>
        <w:rPr>
          <w:rFonts w:ascii="Franklin Gothic Book" w:hAnsi="Franklin Gothic Book"/>
          <w:sz w:val="20"/>
        </w:rPr>
        <w:t>contenuta del Prodotto Interno Lordo. Nel periodo successivo, la flessione del rapporto tra spesa pensionistica e PIL è imputabile, in parte, alla riduzione dell’importo medio di pensione conseguente</w:t>
      </w:r>
      <w:r>
        <w:rPr>
          <w:rFonts w:ascii="Franklin Gothic Book" w:hAnsi="Franklin Gothic Book"/>
          <w:spacing w:val="-12"/>
          <w:sz w:val="20"/>
        </w:rPr>
        <w:t> </w:t>
      </w:r>
      <w:r>
        <w:rPr>
          <w:rFonts w:ascii="Franklin Gothic Book" w:hAnsi="Franklin Gothic Book"/>
          <w:sz w:val="20"/>
        </w:rPr>
        <w:t>all’anticipo</w:t>
      </w:r>
      <w:r>
        <w:rPr>
          <w:rFonts w:ascii="Franklin Gothic Book" w:hAnsi="Franklin Gothic Book"/>
          <w:spacing w:val="-12"/>
          <w:sz w:val="20"/>
        </w:rPr>
        <w:t> </w:t>
      </w:r>
      <w:r>
        <w:rPr>
          <w:rFonts w:ascii="Franklin Gothic Book" w:hAnsi="Franklin Gothic Book"/>
          <w:sz w:val="20"/>
        </w:rPr>
        <w:t>del</w:t>
      </w:r>
      <w:r>
        <w:rPr>
          <w:rFonts w:ascii="Franklin Gothic Book" w:hAnsi="Franklin Gothic Book"/>
          <w:spacing w:val="-11"/>
          <w:sz w:val="20"/>
        </w:rPr>
        <w:t> </w:t>
      </w:r>
      <w:r>
        <w:rPr>
          <w:rFonts w:ascii="Franklin Gothic Book" w:hAnsi="Franklin Gothic Book"/>
          <w:sz w:val="20"/>
        </w:rPr>
        <w:t>pensionamento</w:t>
      </w:r>
      <w:r>
        <w:rPr>
          <w:rFonts w:ascii="Franklin Gothic Book" w:hAnsi="Franklin Gothic Book"/>
          <w:spacing w:val="-11"/>
          <w:sz w:val="20"/>
        </w:rPr>
        <w:t> </w:t>
      </w:r>
      <w:r>
        <w:rPr>
          <w:rFonts w:ascii="Franklin Gothic Book" w:hAnsi="Franklin Gothic Book"/>
          <w:sz w:val="20"/>
        </w:rPr>
        <w:t>e,</w:t>
      </w:r>
      <w:r>
        <w:rPr>
          <w:rFonts w:ascii="Franklin Gothic Book" w:hAnsi="Franklin Gothic Book"/>
          <w:spacing w:val="-12"/>
          <w:sz w:val="20"/>
        </w:rPr>
        <w:t> </w:t>
      </w:r>
      <w:r>
        <w:rPr>
          <w:rFonts w:ascii="Franklin Gothic Book" w:hAnsi="Franklin Gothic Book"/>
          <w:sz w:val="20"/>
        </w:rPr>
        <w:t>in</w:t>
      </w:r>
      <w:r>
        <w:rPr>
          <w:rFonts w:ascii="Franklin Gothic Book" w:hAnsi="Franklin Gothic Book"/>
          <w:spacing w:val="-11"/>
          <w:sz w:val="20"/>
        </w:rPr>
        <w:t> </w:t>
      </w:r>
      <w:r>
        <w:rPr>
          <w:rFonts w:ascii="Franklin Gothic Book" w:hAnsi="Franklin Gothic Book"/>
          <w:sz w:val="20"/>
        </w:rPr>
        <w:t>parte,</w:t>
      </w:r>
      <w:r>
        <w:rPr>
          <w:rFonts w:ascii="Franklin Gothic Book" w:hAnsi="Franklin Gothic Book"/>
          <w:spacing w:val="-11"/>
          <w:sz w:val="20"/>
        </w:rPr>
        <w:t> </w:t>
      </w:r>
      <w:r>
        <w:rPr>
          <w:rFonts w:ascii="Franklin Gothic Book" w:hAnsi="Franklin Gothic Book"/>
          <w:sz w:val="20"/>
        </w:rPr>
        <w:t>dal</w:t>
      </w:r>
      <w:r>
        <w:rPr>
          <w:rFonts w:ascii="Franklin Gothic Book" w:hAnsi="Franklin Gothic Book"/>
          <w:spacing w:val="-13"/>
          <w:sz w:val="20"/>
        </w:rPr>
        <w:t> </w:t>
      </w:r>
      <w:r>
        <w:rPr>
          <w:rFonts w:ascii="Franklin Gothic Book" w:hAnsi="Franklin Gothic Book"/>
          <w:sz w:val="20"/>
        </w:rPr>
        <w:t>recupero</w:t>
      </w:r>
      <w:r>
        <w:rPr>
          <w:rFonts w:ascii="Franklin Gothic Book" w:hAnsi="Franklin Gothic Book"/>
          <w:spacing w:val="-12"/>
          <w:sz w:val="20"/>
        </w:rPr>
        <w:t> </w:t>
      </w:r>
      <w:r>
        <w:rPr>
          <w:rFonts w:ascii="Franklin Gothic Book" w:hAnsi="Franklin Gothic Book"/>
          <w:sz w:val="20"/>
        </w:rPr>
        <w:t>dei</w:t>
      </w:r>
      <w:r>
        <w:rPr>
          <w:rFonts w:ascii="Franklin Gothic Book" w:hAnsi="Franklin Gothic Book"/>
          <w:spacing w:val="-12"/>
          <w:sz w:val="20"/>
        </w:rPr>
        <w:t> </w:t>
      </w:r>
      <w:r>
        <w:rPr>
          <w:rFonts w:ascii="Franklin Gothic Book" w:hAnsi="Franklin Gothic Book"/>
          <w:sz w:val="20"/>
        </w:rPr>
        <w:t>livelli</w:t>
      </w:r>
      <w:r>
        <w:rPr>
          <w:rFonts w:ascii="Franklin Gothic Book" w:hAnsi="Franklin Gothic Book"/>
          <w:spacing w:val="-11"/>
          <w:sz w:val="20"/>
        </w:rPr>
        <w:t> </w:t>
      </w:r>
      <w:r>
        <w:rPr>
          <w:rFonts w:ascii="Franklin Gothic Book" w:hAnsi="Franklin Gothic Book"/>
          <w:sz w:val="20"/>
        </w:rPr>
        <w:t>occupazionali.</w:t>
      </w:r>
    </w:p>
    <w:p>
      <w:pPr>
        <w:spacing w:line="254" w:lineRule="auto" w:before="56"/>
        <w:ind w:left="782" w:right="2248" w:firstLine="0"/>
        <w:jc w:val="both"/>
        <w:rPr>
          <w:rFonts w:ascii="Franklin Gothic Book" w:hAnsi="Franklin Gothic Book"/>
          <w:sz w:val="20"/>
        </w:rPr>
      </w:pPr>
      <w:r>
        <w:rPr>
          <w:rFonts w:ascii="Franklin Gothic Book" w:hAnsi="Franklin Gothic Book"/>
          <w:sz w:val="20"/>
        </w:rPr>
        <w:t>Negli</w:t>
      </w:r>
      <w:r>
        <w:rPr>
          <w:rFonts w:ascii="Franklin Gothic Book" w:hAnsi="Franklin Gothic Book"/>
          <w:spacing w:val="-5"/>
          <w:sz w:val="20"/>
        </w:rPr>
        <w:t> </w:t>
      </w:r>
      <w:r>
        <w:rPr>
          <w:rFonts w:ascii="Franklin Gothic Book" w:hAnsi="Franklin Gothic Book"/>
          <w:sz w:val="20"/>
        </w:rPr>
        <w:t>anni</w:t>
      </w:r>
      <w:r>
        <w:rPr>
          <w:rFonts w:ascii="Franklin Gothic Book" w:hAnsi="Franklin Gothic Book"/>
          <w:spacing w:val="-4"/>
          <w:sz w:val="20"/>
        </w:rPr>
        <w:t> </w:t>
      </w:r>
      <w:r>
        <w:rPr>
          <w:rFonts w:ascii="Franklin Gothic Book" w:hAnsi="Franklin Gothic Book"/>
          <w:sz w:val="20"/>
        </w:rPr>
        <w:t>che</w:t>
      </w:r>
      <w:r>
        <w:rPr>
          <w:rFonts w:ascii="Franklin Gothic Book" w:hAnsi="Franklin Gothic Book"/>
          <w:spacing w:val="-6"/>
          <w:sz w:val="20"/>
        </w:rPr>
        <w:t> </w:t>
      </w:r>
      <w:r>
        <w:rPr>
          <w:rFonts w:ascii="Franklin Gothic Book" w:hAnsi="Franklin Gothic Book"/>
          <w:sz w:val="20"/>
        </w:rPr>
        <w:t>seguono</w:t>
      </w:r>
      <w:r>
        <w:rPr>
          <w:rFonts w:ascii="Franklin Gothic Book" w:hAnsi="Franklin Gothic Book"/>
          <w:spacing w:val="-5"/>
          <w:sz w:val="20"/>
        </w:rPr>
        <w:t> </w:t>
      </w:r>
      <w:r>
        <w:rPr>
          <w:rFonts w:ascii="Franklin Gothic Book" w:hAnsi="Franklin Gothic Book"/>
          <w:sz w:val="20"/>
        </w:rPr>
        <w:t>e</w:t>
      </w:r>
      <w:r>
        <w:rPr>
          <w:rFonts w:ascii="Franklin Gothic Book" w:hAnsi="Franklin Gothic Book"/>
          <w:spacing w:val="-6"/>
          <w:sz w:val="20"/>
        </w:rPr>
        <w:t> </w:t>
      </w:r>
      <w:r>
        <w:rPr>
          <w:rFonts w:ascii="Franklin Gothic Book" w:hAnsi="Franklin Gothic Book"/>
          <w:sz w:val="20"/>
        </w:rPr>
        <w:t>fino</w:t>
      </w:r>
      <w:r>
        <w:rPr>
          <w:rFonts w:ascii="Franklin Gothic Book" w:hAnsi="Franklin Gothic Book"/>
          <w:spacing w:val="-5"/>
          <w:sz w:val="20"/>
        </w:rPr>
        <w:t> </w:t>
      </w:r>
      <w:r>
        <w:rPr>
          <w:rFonts w:ascii="Franklin Gothic Book" w:hAnsi="Franklin Gothic Book"/>
          <w:sz w:val="20"/>
        </w:rPr>
        <w:t>al</w:t>
      </w:r>
      <w:r>
        <w:rPr>
          <w:rFonts w:ascii="Franklin Gothic Book" w:hAnsi="Franklin Gothic Book"/>
          <w:spacing w:val="-5"/>
          <w:sz w:val="20"/>
        </w:rPr>
        <w:t> </w:t>
      </w:r>
      <w:r>
        <w:rPr>
          <w:rFonts w:ascii="Franklin Gothic Book" w:hAnsi="Franklin Gothic Book"/>
          <w:sz w:val="20"/>
        </w:rPr>
        <w:t>2044</w:t>
      </w:r>
      <w:r>
        <w:rPr>
          <w:rFonts w:ascii="Franklin Gothic Book" w:hAnsi="Franklin Gothic Book"/>
          <w:spacing w:val="-4"/>
          <w:sz w:val="20"/>
        </w:rPr>
        <w:t> </w:t>
      </w:r>
      <w:r>
        <w:rPr>
          <w:rFonts w:ascii="Franklin Gothic Book" w:hAnsi="Franklin Gothic Book"/>
          <w:sz w:val="20"/>
        </w:rPr>
        <w:t>l’aumento</w:t>
      </w:r>
      <w:r>
        <w:rPr>
          <w:rFonts w:ascii="Franklin Gothic Book" w:hAnsi="Franklin Gothic Book"/>
          <w:spacing w:val="-5"/>
          <w:sz w:val="20"/>
        </w:rPr>
        <w:t> </w:t>
      </w:r>
      <w:r>
        <w:rPr>
          <w:rFonts w:ascii="Franklin Gothic Book" w:hAnsi="Franklin Gothic Book"/>
          <w:sz w:val="20"/>
        </w:rPr>
        <w:t>della</w:t>
      </w:r>
      <w:r>
        <w:rPr>
          <w:rFonts w:ascii="Franklin Gothic Book" w:hAnsi="Franklin Gothic Book"/>
          <w:spacing w:val="-4"/>
          <w:sz w:val="20"/>
        </w:rPr>
        <w:t> </w:t>
      </w:r>
      <w:r>
        <w:rPr>
          <w:rFonts w:ascii="Franklin Gothic Book" w:hAnsi="Franklin Gothic Book"/>
          <w:sz w:val="20"/>
        </w:rPr>
        <w:t>spesa</w:t>
      </w:r>
      <w:r>
        <w:rPr>
          <w:rFonts w:ascii="Franklin Gothic Book" w:hAnsi="Franklin Gothic Book"/>
          <w:spacing w:val="-5"/>
          <w:sz w:val="20"/>
        </w:rPr>
        <w:t> </w:t>
      </w:r>
      <w:r>
        <w:rPr>
          <w:rFonts w:ascii="Franklin Gothic Book" w:hAnsi="Franklin Gothic Book"/>
          <w:sz w:val="20"/>
        </w:rPr>
        <w:t>pensionistica</w:t>
      </w:r>
      <w:r>
        <w:rPr>
          <w:rFonts w:ascii="Franklin Gothic Book" w:hAnsi="Franklin Gothic Book"/>
          <w:spacing w:val="-4"/>
          <w:sz w:val="20"/>
        </w:rPr>
        <w:t> </w:t>
      </w:r>
      <w:r>
        <w:rPr>
          <w:rFonts w:ascii="Franklin Gothic Book" w:hAnsi="Franklin Gothic Book"/>
          <w:sz w:val="20"/>
        </w:rPr>
        <w:t>in</w:t>
      </w:r>
      <w:r>
        <w:rPr>
          <w:rFonts w:ascii="Franklin Gothic Book" w:hAnsi="Franklin Gothic Book"/>
          <w:spacing w:val="-6"/>
          <w:sz w:val="20"/>
        </w:rPr>
        <w:t> </w:t>
      </w:r>
      <w:r>
        <w:rPr>
          <w:rFonts w:ascii="Franklin Gothic Book" w:hAnsi="Franklin Gothic Book"/>
          <w:sz w:val="20"/>
        </w:rPr>
        <w:t>rapporto</w:t>
      </w:r>
      <w:r>
        <w:rPr>
          <w:rFonts w:ascii="Franklin Gothic Book" w:hAnsi="Franklin Gothic Book"/>
          <w:spacing w:val="-3"/>
          <w:sz w:val="20"/>
        </w:rPr>
        <w:t> </w:t>
      </w:r>
      <w:r>
        <w:rPr>
          <w:rFonts w:ascii="Franklin Gothic Book" w:hAnsi="Franklin Gothic Book"/>
          <w:sz w:val="20"/>
        </w:rPr>
        <w:t>al</w:t>
      </w:r>
      <w:r>
        <w:rPr>
          <w:rFonts w:ascii="Franklin Gothic Book" w:hAnsi="Franklin Gothic Book"/>
          <w:spacing w:val="-5"/>
          <w:sz w:val="20"/>
        </w:rPr>
        <w:t> </w:t>
      </w:r>
      <w:r>
        <w:rPr>
          <w:rFonts w:ascii="Franklin Gothic Book" w:hAnsi="Franklin Gothic Book"/>
          <w:sz w:val="20"/>
        </w:rPr>
        <w:t>PIL è essenzialmente dovuto all’incremento del rapporto fra numero di pensioni e numero di occupati indotto dalla transizione demografica, solo parzialmente compensato dall’innalzamento dei requisiti minimi di accesso al pensionamento. Tale incremento sopravanza l’effetto di contenimento degli importi pensionistici esercitato dalla graduale applicazione del sistema di calcolo contributivo sull’intera vita</w:t>
      </w:r>
      <w:r>
        <w:rPr>
          <w:rFonts w:ascii="Franklin Gothic Book" w:hAnsi="Franklin Gothic Book"/>
          <w:spacing w:val="-8"/>
          <w:sz w:val="20"/>
        </w:rPr>
        <w:t> </w:t>
      </w:r>
      <w:r>
        <w:rPr>
          <w:rFonts w:ascii="Franklin Gothic Book" w:hAnsi="Franklin Gothic Book"/>
          <w:sz w:val="20"/>
        </w:rPr>
        <w:t>lavorativa.</w:t>
      </w:r>
    </w:p>
    <w:p>
      <w:pPr>
        <w:spacing w:line="254" w:lineRule="auto" w:before="59"/>
        <w:ind w:left="782" w:right="2249" w:firstLine="0"/>
        <w:jc w:val="both"/>
        <w:rPr>
          <w:rFonts w:ascii="Franklin Gothic Book" w:hAnsi="Franklin Gothic Book"/>
          <w:sz w:val="20"/>
        </w:rPr>
      </w:pPr>
      <w:r>
        <w:rPr>
          <w:rFonts w:ascii="Franklin Gothic Book" w:hAnsi="Franklin Gothic Book"/>
          <w:sz w:val="20"/>
        </w:rPr>
        <w:t>Infine, la rapida riduzione del rapporto fra spesa pensionistica e PIL, nell’ultima fase del periodo di previsione, è determinata dall’applicazione generalizzata del calcolo contributivo che</w:t>
      </w:r>
      <w:r>
        <w:rPr>
          <w:rFonts w:ascii="Franklin Gothic Book" w:hAnsi="Franklin Gothic Book"/>
          <w:spacing w:val="-9"/>
          <w:sz w:val="20"/>
        </w:rPr>
        <w:t> </w:t>
      </w:r>
      <w:r>
        <w:rPr>
          <w:rFonts w:ascii="Franklin Gothic Book" w:hAnsi="Franklin Gothic Book"/>
          <w:sz w:val="20"/>
        </w:rPr>
        <w:t>si</w:t>
      </w:r>
      <w:r>
        <w:rPr>
          <w:rFonts w:ascii="Franklin Gothic Book" w:hAnsi="Franklin Gothic Book"/>
          <w:spacing w:val="-8"/>
          <w:sz w:val="20"/>
        </w:rPr>
        <w:t> </w:t>
      </w:r>
      <w:r>
        <w:rPr>
          <w:rFonts w:ascii="Franklin Gothic Book" w:hAnsi="Franklin Gothic Book"/>
          <w:sz w:val="20"/>
        </w:rPr>
        <w:t>accompagna</w:t>
      </w:r>
      <w:r>
        <w:rPr>
          <w:rFonts w:ascii="Franklin Gothic Book" w:hAnsi="Franklin Gothic Book"/>
          <w:spacing w:val="-8"/>
          <w:sz w:val="20"/>
        </w:rPr>
        <w:t> </w:t>
      </w:r>
      <w:r>
        <w:rPr>
          <w:rFonts w:ascii="Franklin Gothic Book" w:hAnsi="Franklin Gothic Book"/>
          <w:sz w:val="20"/>
        </w:rPr>
        <w:t>alla</w:t>
      </w:r>
      <w:r>
        <w:rPr>
          <w:rFonts w:ascii="Franklin Gothic Book" w:hAnsi="Franklin Gothic Book"/>
          <w:spacing w:val="-6"/>
          <w:sz w:val="20"/>
        </w:rPr>
        <w:t> </w:t>
      </w:r>
      <w:r>
        <w:rPr>
          <w:rFonts w:ascii="Franklin Gothic Book" w:hAnsi="Franklin Gothic Book"/>
          <w:sz w:val="20"/>
        </w:rPr>
        <w:t>stabilizzazione,</w:t>
      </w:r>
      <w:r>
        <w:rPr>
          <w:rFonts w:ascii="Franklin Gothic Book" w:hAnsi="Franklin Gothic Book"/>
          <w:spacing w:val="-8"/>
          <w:sz w:val="20"/>
        </w:rPr>
        <w:t> </w:t>
      </w:r>
      <w:r>
        <w:rPr>
          <w:rFonts w:ascii="Franklin Gothic Book" w:hAnsi="Franklin Gothic Book"/>
          <w:sz w:val="20"/>
        </w:rPr>
        <w:t>e</w:t>
      </w:r>
      <w:r>
        <w:rPr>
          <w:rFonts w:ascii="Franklin Gothic Book" w:hAnsi="Franklin Gothic Book"/>
          <w:spacing w:val="-8"/>
          <w:sz w:val="20"/>
        </w:rPr>
        <w:t> </w:t>
      </w:r>
      <w:r>
        <w:rPr>
          <w:rFonts w:ascii="Franklin Gothic Book" w:hAnsi="Franklin Gothic Book"/>
          <w:sz w:val="20"/>
        </w:rPr>
        <w:t>successiva</w:t>
      </w:r>
      <w:r>
        <w:rPr>
          <w:rFonts w:ascii="Franklin Gothic Book" w:hAnsi="Franklin Gothic Book"/>
          <w:spacing w:val="-8"/>
          <w:sz w:val="20"/>
        </w:rPr>
        <w:t> </w:t>
      </w:r>
      <w:r>
        <w:rPr>
          <w:rFonts w:ascii="Franklin Gothic Book" w:hAnsi="Franklin Gothic Book"/>
          <w:sz w:val="20"/>
        </w:rPr>
        <w:t>inversione</w:t>
      </w:r>
      <w:r>
        <w:rPr>
          <w:rFonts w:ascii="Franklin Gothic Book" w:hAnsi="Franklin Gothic Book"/>
          <w:spacing w:val="-9"/>
          <w:sz w:val="20"/>
        </w:rPr>
        <w:t> </w:t>
      </w:r>
      <w:r>
        <w:rPr>
          <w:rFonts w:ascii="Franklin Gothic Book" w:hAnsi="Franklin Gothic Book"/>
          <w:sz w:val="20"/>
        </w:rPr>
        <w:t>di</w:t>
      </w:r>
      <w:r>
        <w:rPr>
          <w:rFonts w:ascii="Franklin Gothic Book" w:hAnsi="Franklin Gothic Book"/>
          <w:spacing w:val="-8"/>
          <w:sz w:val="20"/>
        </w:rPr>
        <w:t> </w:t>
      </w:r>
      <w:r>
        <w:rPr>
          <w:rFonts w:ascii="Franklin Gothic Book" w:hAnsi="Franklin Gothic Book"/>
          <w:sz w:val="20"/>
        </w:rPr>
        <w:t>tendenza,</w:t>
      </w:r>
      <w:r>
        <w:rPr>
          <w:rFonts w:ascii="Franklin Gothic Book" w:hAnsi="Franklin Gothic Book"/>
          <w:spacing w:val="-7"/>
          <w:sz w:val="20"/>
        </w:rPr>
        <w:t> </w:t>
      </w:r>
      <w:r>
        <w:rPr>
          <w:rFonts w:ascii="Franklin Gothic Book" w:hAnsi="Franklin Gothic Book"/>
          <w:sz w:val="20"/>
        </w:rPr>
        <w:t>del</w:t>
      </w:r>
      <w:r>
        <w:rPr>
          <w:rFonts w:ascii="Franklin Gothic Book" w:hAnsi="Franklin Gothic Book"/>
          <w:spacing w:val="-9"/>
          <w:sz w:val="20"/>
        </w:rPr>
        <w:t> </w:t>
      </w:r>
      <w:r>
        <w:rPr>
          <w:rFonts w:ascii="Franklin Gothic Book" w:hAnsi="Franklin Gothic Book"/>
          <w:sz w:val="20"/>
        </w:rPr>
        <w:t>rapporto</w:t>
      </w:r>
      <w:r>
        <w:rPr>
          <w:rFonts w:ascii="Franklin Gothic Book" w:hAnsi="Franklin Gothic Book"/>
          <w:spacing w:val="-9"/>
          <w:sz w:val="20"/>
        </w:rPr>
        <w:t> </w:t>
      </w:r>
      <w:r>
        <w:rPr>
          <w:rFonts w:ascii="Franklin Gothic Book" w:hAnsi="Franklin Gothic Book"/>
          <w:sz w:val="20"/>
        </w:rPr>
        <w:t>fra numero</w:t>
      </w:r>
      <w:r>
        <w:rPr>
          <w:rFonts w:ascii="Franklin Gothic Book" w:hAnsi="Franklin Gothic Book"/>
          <w:spacing w:val="-15"/>
          <w:sz w:val="20"/>
        </w:rPr>
        <w:t> </w:t>
      </w:r>
      <w:r>
        <w:rPr>
          <w:rFonts w:ascii="Franklin Gothic Book" w:hAnsi="Franklin Gothic Book"/>
          <w:sz w:val="20"/>
        </w:rPr>
        <w:t>di</w:t>
      </w:r>
      <w:r>
        <w:rPr>
          <w:rFonts w:ascii="Franklin Gothic Book" w:hAnsi="Franklin Gothic Book"/>
          <w:spacing w:val="-14"/>
          <w:sz w:val="20"/>
        </w:rPr>
        <w:t> </w:t>
      </w:r>
      <w:r>
        <w:rPr>
          <w:rFonts w:ascii="Franklin Gothic Book" w:hAnsi="Franklin Gothic Book"/>
          <w:sz w:val="20"/>
        </w:rPr>
        <w:t>pensioni</w:t>
      </w:r>
      <w:r>
        <w:rPr>
          <w:rFonts w:ascii="Franklin Gothic Book" w:hAnsi="Franklin Gothic Book"/>
          <w:spacing w:val="-16"/>
          <w:sz w:val="20"/>
        </w:rPr>
        <w:t> </w:t>
      </w:r>
      <w:r>
        <w:rPr>
          <w:rFonts w:ascii="Franklin Gothic Book" w:hAnsi="Franklin Gothic Book"/>
          <w:sz w:val="20"/>
        </w:rPr>
        <w:t>e</w:t>
      </w:r>
      <w:r>
        <w:rPr>
          <w:rFonts w:ascii="Franklin Gothic Book" w:hAnsi="Franklin Gothic Book"/>
          <w:spacing w:val="-14"/>
          <w:sz w:val="20"/>
        </w:rPr>
        <w:t> </w:t>
      </w:r>
      <w:r>
        <w:rPr>
          <w:rFonts w:ascii="Franklin Gothic Book" w:hAnsi="Franklin Gothic Book"/>
          <w:sz w:val="20"/>
        </w:rPr>
        <w:t>numero</w:t>
      </w:r>
      <w:r>
        <w:rPr>
          <w:rFonts w:ascii="Franklin Gothic Book" w:hAnsi="Franklin Gothic Book"/>
          <w:spacing w:val="-13"/>
          <w:sz w:val="20"/>
        </w:rPr>
        <w:t> </w:t>
      </w:r>
      <w:r>
        <w:rPr>
          <w:rFonts w:ascii="Franklin Gothic Book" w:hAnsi="Franklin Gothic Book"/>
          <w:sz w:val="20"/>
        </w:rPr>
        <w:t>di</w:t>
      </w:r>
      <w:r>
        <w:rPr>
          <w:rFonts w:ascii="Franklin Gothic Book" w:hAnsi="Franklin Gothic Book"/>
          <w:spacing w:val="-14"/>
          <w:sz w:val="20"/>
        </w:rPr>
        <w:t> </w:t>
      </w:r>
      <w:r>
        <w:rPr>
          <w:rFonts w:ascii="Franklin Gothic Book" w:hAnsi="Franklin Gothic Book"/>
          <w:sz w:val="20"/>
        </w:rPr>
        <w:t>occupati.</w:t>
      </w:r>
      <w:r>
        <w:rPr>
          <w:rFonts w:ascii="Franklin Gothic Book" w:hAnsi="Franklin Gothic Book"/>
          <w:spacing w:val="-15"/>
          <w:sz w:val="20"/>
        </w:rPr>
        <w:t> </w:t>
      </w:r>
      <w:r>
        <w:rPr>
          <w:rFonts w:ascii="Franklin Gothic Book" w:hAnsi="Franklin Gothic Book"/>
          <w:sz w:val="20"/>
        </w:rPr>
        <w:t>Tale</w:t>
      </w:r>
      <w:r>
        <w:rPr>
          <w:rFonts w:ascii="Franklin Gothic Book" w:hAnsi="Franklin Gothic Book"/>
          <w:spacing w:val="-15"/>
          <w:sz w:val="20"/>
        </w:rPr>
        <w:t> </w:t>
      </w:r>
      <w:r>
        <w:rPr>
          <w:rFonts w:ascii="Franklin Gothic Book" w:hAnsi="Franklin Gothic Book"/>
          <w:sz w:val="20"/>
        </w:rPr>
        <w:t>andamento</w:t>
      </w:r>
      <w:r>
        <w:rPr>
          <w:rFonts w:ascii="Franklin Gothic Book" w:hAnsi="Franklin Gothic Book"/>
          <w:spacing w:val="-12"/>
          <w:sz w:val="20"/>
        </w:rPr>
        <w:t> </w:t>
      </w:r>
      <w:r>
        <w:rPr>
          <w:rFonts w:ascii="Franklin Gothic Book" w:hAnsi="Franklin Gothic Book"/>
          <w:sz w:val="20"/>
        </w:rPr>
        <w:t>risente</w:t>
      </w:r>
      <w:r>
        <w:rPr>
          <w:rFonts w:ascii="Franklin Gothic Book" w:hAnsi="Franklin Gothic Book"/>
          <w:spacing w:val="-15"/>
          <w:sz w:val="20"/>
        </w:rPr>
        <w:t> </w:t>
      </w:r>
      <w:r>
        <w:rPr>
          <w:rFonts w:ascii="Franklin Gothic Book" w:hAnsi="Franklin Gothic Book"/>
          <w:sz w:val="20"/>
        </w:rPr>
        <w:t>sia</w:t>
      </w:r>
      <w:r>
        <w:rPr>
          <w:rFonts w:ascii="Franklin Gothic Book" w:hAnsi="Franklin Gothic Book"/>
          <w:spacing w:val="-14"/>
          <w:sz w:val="20"/>
        </w:rPr>
        <w:t> </w:t>
      </w:r>
      <w:r>
        <w:rPr>
          <w:rFonts w:ascii="Franklin Gothic Book" w:hAnsi="Franklin Gothic Book"/>
          <w:sz w:val="20"/>
        </w:rPr>
        <w:t>della</w:t>
      </w:r>
      <w:r>
        <w:rPr>
          <w:rFonts w:ascii="Franklin Gothic Book" w:hAnsi="Franklin Gothic Book"/>
          <w:spacing w:val="-15"/>
          <w:sz w:val="20"/>
        </w:rPr>
        <w:t> </w:t>
      </w:r>
      <w:r>
        <w:rPr>
          <w:rFonts w:ascii="Franklin Gothic Book" w:hAnsi="Franklin Gothic Book"/>
          <w:sz w:val="20"/>
        </w:rPr>
        <w:t>progressiva</w:t>
      </w:r>
      <w:r>
        <w:rPr>
          <w:rFonts w:ascii="Franklin Gothic Book" w:hAnsi="Franklin Gothic Book"/>
          <w:spacing w:val="-11"/>
          <w:sz w:val="20"/>
        </w:rPr>
        <w:t> </w:t>
      </w:r>
      <w:r>
        <w:rPr>
          <w:rFonts w:ascii="Franklin Gothic Book" w:hAnsi="Franklin Gothic Book"/>
          <w:sz w:val="20"/>
        </w:rPr>
        <w:t>uscita delle generazioni del </w:t>
      </w:r>
      <w:r>
        <w:rPr>
          <w:rFonts w:ascii="Franklin Gothic Book" w:hAnsi="Franklin Gothic Book"/>
          <w:i/>
          <w:sz w:val="20"/>
        </w:rPr>
        <w:t>baby boom </w:t>
      </w:r>
      <w:r>
        <w:rPr>
          <w:rFonts w:ascii="Franklin Gothic Book" w:hAnsi="Franklin Gothic Book"/>
          <w:sz w:val="20"/>
        </w:rPr>
        <w:t>sia degli effetti dell’adeguamento automatico dei requisiti minimi di pensionamento in funzione della speranza di</w:t>
      </w:r>
      <w:r>
        <w:rPr>
          <w:rFonts w:ascii="Franklin Gothic Book" w:hAnsi="Franklin Gothic Book"/>
          <w:spacing w:val="-1"/>
          <w:sz w:val="20"/>
        </w:rPr>
        <w:t> </w:t>
      </w:r>
      <w:r>
        <w:rPr>
          <w:rFonts w:ascii="Franklin Gothic Book" w:hAnsi="Franklin Gothic Book"/>
          <w:sz w:val="20"/>
        </w:rPr>
        <w:t>vita.</w:t>
      </w:r>
    </w:p>
    <w:p>
      <w:pPr>
        <w:spacing w:line="254" w:lineRule="auto" w:before="58"/>
        <w:ind w:left="782" w:right="2244" w:firstLine="0"/>
        <w:jc w:val="both"/>
        <w:rPr>
          <w:rFonts w:ascii="Franklin Gothic Book" w:hAnsi="Franklin Gothic Book"/>
          <w:sz w:val="20"/>
        </w:rPr>
      </w:pPr>
      <w:r>
        <w:rPr>
          <w:rFonts w:ascii="Franklin Gothic Book" w:hAnsi="Franklin Gothic Book"/>
          <w:sz w:val="20"/>
        </w:rPr>
        <w:t>A fronte delle previsioni del sistema pensionistico descritte sopra, basate sullo scenario nazionale e utili a valutarne le tendenze di medio periodo, le previsioni fino al 2070 del complesso delle spese </w:t>
      </w:r>
      <w:r>
        <w:rPr>
          <w:rFonts w:ascii="Franklin Gothic Book" w:hAnsi="Franklin Gothic Book"/>
          <w:i/>
          <w:sz w:val="20"/>
        </w:rPr>
        <w:t>age-related </w:t>
      </w:r>
      <w:r>
        <w:rPr>
          <w:rFonts w:ascii="Franklin Gothic Book" w:hAnsi="Franklin Gothic Book"/>
          <w:sz w:val="20"/>
        </w:rPr>
        <w:t>(pensioni, sanità, </w:t>
      </w:r>
      <w:r>
        <w:rPr>
          <w:rFonts w:ascii="Franklin Gothic Book" w:hAnsi="Franklin Gothic Book"/>
          <w:i/>
          <w:sz w:val="20"/>
        </w:rPr>
        <w:t>long term care</w:t>
      </w:r>
      <w:r>
        <w:rPr>
          <w:rFonts w:ascii="Franklin Gothic Book" w:hAnsi="Franklin Gothic Book"/>
          <w:sz w:val="20"/>
        </w:rPr>
        <w:t>, ammortizzatori sociali e istruzione) funzionali alla valutazione della sostenibilità delle finanze pubbliche sono elaborate</w:t>
      </w:r>
      <w:r>
        <w:rPr>
          <w:rFonts w:ascii="Franklin Gothic Book" w:hAnsi="Franklin Gothic Book"/>
          <w:spacing w:val="-5"/>
          <w:sz w:val="20"/>
        </w:rPr>
        <w:t> </w:t>
      </w:r>
      <w:r>
        <w:rPr>
          <w:rFonts w:ascii="Franklin Gothic Book" w:hAnsi="Franklin Gothic Book"/>
          <w:sz w:val="20"/>
        </w:rPr>
        <w:t>sulla</w:t>
      </w:r>
      <w:r>
        <w:rPr>
          <w:rFonts w:ascii="Franklin Gothic Book" w:hAnsi="Franklin Gothic Book"/>
          <w:spacing w:val="-4"/>
          <w:sz w:val="20"/>
        </w:rPr>
        <w:t> </w:t>
      </w:r>
      <w:r>
        <w:rPr>
          <w:rFonts w:ascii="Franklin Gothic Book" w:hAnsi="Franklin Gothic Book"/>
          <w:sz w:val="20"/>
        </w:rPr>
        <w:t>base</w:t>
      </w:r>
      <w:r>
        <w:rPr>
          <w:rFonts w:ascii="Franklin Gothic Book" w:hAnsi="Franklin Gothic Book"/>
          <w:spacing w:val="-5"/>
          <w:sz w:val="20"/>
        </w:rPr>
        <w:t> </w:t>
      </w:r>
      <w:r>
        <w:rPr>
          <w:rFonts w:ascii="Franklin Gothic Book" w:hAnsi="Franklin Gothic Book"/>
          <w:sz w:val="20"/>
        </w:rPr>
        <w:t>dello</w:t>
      </w:r>
      <w:r>
        <w:rPr>
          <w:rFonts w:ascii="Franklin Gothic Book" w:hAnsi="Franklin Gothic Book"/>
          <w:spacing w:val="-4"/>
          <w:sz w:val="20"/>
        </w:rPr>
        <w:t> </w:t>
      </w:r>
      <w:r>
        <w:rPr>
          <w:rFonts w:ascii="Franklin Gothic Book" w:hAnsi="Franklin Gothic Book"/>
          <w:sz w:val="20"/>
        </w:rPr>
        <w:t>scenario</w:t>
      </w:r>
      <w:r>
        <w:rPr>
          <w:rFonts w:ascii="Franklin Gothic Book" w:hAnsi="Franklin Gothic Book"/>
          <w:spacing w:val="-5"/>
          <w:sz w:val="20"/>
        </w:rPr>
        <w:t> </w:t>
      </w:r>
      <w:r>
        <w:rPr>
          <w:rFonts w:ascii="Franklin Gothic Book" w:hAnsi="Franklin Gothic Book"/>
          <w:sz w:val="20"/>
        </w:rPr>
        <w:t>definito</w:t>
      </w:r>
      <w:r>
        <w:rPr>
          <w:rFonts w:ascii="Franklin Gothic Book" w:hAnsi="Franklin Gothic Book"/>
          <w:spacing w:val="-5"/>
          <w:sz w:val="20"/>
        </w:rPr>
        <w:t> </w:t>
      </w:r>
      <w:r>
        <w:rPr>
          <w:rFonts w:ascii="Franklin Gothic Book" w:hAnsi="Franklin Gothic Book"/>
          <w:sz w:val="20"/>
        </w:rPr>
        <w:t>in</w:t>
      </w:r>
      <w:r>
        <w:rPr>
          <w:rFonts w:ascii="Franklin Gothic Book" w:hAnsi="Franklin Gothic Book"/>
          <w:spacing w:val="-4"/>
          <w:sz w:val="20"/>
        </w:rPr>
        <w:t> </w:t>
      </w:r>
      <w:r>
        <w:rPr>
          <w:rFonts w:ascii="Franklin Gothic Book" w:hAnsi="Franklin Gothic Book"/>
          <w:sz w:val="20"/>
        </w:rPr>
        <w:t>sede</w:t>
      </w:r>
      <w:r>
        <w:rPr>
          <w:rFonts w:ascii="Franklin Gothic Book" w:hAnsi="Franklin Gothic Book"/>
          <w:spacing w:val="-5"/>
          <w:sz w:val="20"/>
        </w:rPr>
        <w:t> </w:t>
      </w:r>
      <w:r>
        <w:rPr>
          <w:rFonts w:ascii="Franklin Gothic Book" w:hAnsi="Franklin Gothic Book"/>
          <w:sz w:val="20"/>
        </w:rPr>
        <w:t>di</w:t>
      </w:r>
      <w:r>
        <w:rPr>
          <w:rFonts w:ascii="Franklin Gothic Book" w:hAnsi="Franklin Gothic Book"/>
          <w:spacing w:val="-5"/>
          <w:sz w:val="20"/>
        </w:rPr>
        <w:t> </w:t>
      </w:r>
      <w:r>
        <w:rPr>
          <w:rFonts w:ascii="Franklin Gothic Book" w:hAnsi="Franklin Gothic Book"/>
          <w:sz w:val="20"/>
        </w:rPr>
        <w:t>EPC-WGA</w:t>
      </w:r>
      <w:r>
        <w:rPr>
          <w:rFonts w:ascii="Franklin Gothic Book" w:hAnsi="Franklin Gothic Book"/>
          <w:spacing w:val="-5"/>
          <w:sz w:val="20"/>
        </w:rPr>
        <w:t> </w:t>
      </w:r>
      <w:r>
        <w:rPr>
          <w:rFonts w:ascii="Franklin Gothic Book" w:hAnsi="Franklin Gothic Book"/>
          <w:sz w:val="20"/>
        </w:rPr>
        <w:t>(Economic</w:t>
      </w:r>
      <w:r>
        <w:rPr>
          <w:rFonts w:ascii="Franklin Gothic Book" w:hAnsi="Franklin Gothic Book"/>
          <w:spacing w:val="-4"/>
          <w:sz w:val="20"/>
        </w:rPr>
        <w:t> </w:t>
      </w:r>
      <w:r>
        <w:rPr>
          <w:rFonts w:ascii="Franklin Gothic Book" w:hAnsi="Franklin Gothic Book"/>
          <w:sz w:val="20"/>
        </w:rPr>
        <w:t>policy</w:t>
      </w:r>
      <w:r>
        <w:rPr>
          <w:rFonts w:ascii="Franklin Gothic Book" w:hAnsi="Franklin Gothic Book"/>
          <w:spacing w:val="-5"/>
          <w:sz w:val="20"/>
        </w:rPr>
        <w:t> </w:t>
      </w:r>
      <w:r>
        <w:rPr>
          <w:rFonts w:ascii="Franklin Gothic Book" w:hAnsi="Franklin Gothic Book"/>
          <w:sz w:val="20"/>
        </w:rPr>
        <w:t>Committee</w:t>
      </w:r>
    </w:p>
    <w:p>
      <w:pPr>
        <w:spacing w:line="254" w:lineRule="auto" w:before="0"/>
        <w:ind w:left="782" w:right="2247" w:firstLine="0"/>
        <w:jc w:val="both"/>
        <w:rPr>
          <w:rFonts w:ascii="Franklin Gothic Book" w:hAnsi="Franklin Gothic Book"/>
          <w:sz w:val="20"/>
        </w:rPr>
      </w:pPr>
      <w:r>
        <w:rPr>
          <w:rFonts w:ascii="Franklin Gothic Book" w:hAnsi="Franklin Gothic Book"/>
          <w:sz w:val="20"/>
        </w:rPr>
        <w:t>– Working Group on Ageing). Come è noto l’esercizio triennale di previsione nello scenario EPC-WGA </w:t>
      </w:r>
      <w:r>
        <w:rPr>
          <w:rFonts w:ascii="Franklin Gothic Book" w:hAnsi="Franklin Gothic Book"/>
          <w:i/>
          <w:sz w:val="20"/>
        </w:rPr>
        <w:t>baseline</w:t>
      </w:r>
      <w:r>
        <w:rPr>
          <w:rFonts w:ascii="Franklin Gothic Book" w:hAnsi="Franklin Gothic Book"/>
          <w:sz w:val="20"/>
        </w:rPr>
        <w:t>, che recepisce le proiezioni demografiche Eurostat</w:t>
      </w:r>
      <w:r>
        <w:rPr>
          <w:rFonts w:ascii="Franklin Gothic Book" w:hAnsi="Franklin Gothic Book"/>
          <w:position w:val="5"/>
          <w:sz w:val="13"/>
        </w:rPr>
        <w:t>19 </w:t>
      </w:r>
      <w:r>
        <w:rPr>
          <w:rFonts w:ascii="Franklin Gothic Book" w:hAnsi="Franklin Gothic Book"/>
          <w:sz w:val="20"/>
        </w:rPr>
        <w:t>con base 2015, è finalizzato a supportare in modo coordinato e omogeneo l’analisi della sostenibilità delle finanze</w:t>
      </w:r>
      <w:r>
        <w:rPr>
          <w:rFonts w:ascii="Franklin Gothic Book" w:hAnsi="Franklin Gothic Book"/>
          <w:spacing w:val="-8"/>
          <w:sz w:val="20"/>
        </w:rPr>
        <w:t> </w:t>
      </w:r>
      <w:r>
        <w:rPr>
          <w:rFonts w:ascii="Franklin Gothic Book" w:hAnsi="Franklin Gothic Book"/>
          <w:sz w:val="20"/>
        </w:rPr>
        <w:t>pubbliche</w:t>
      </w:r>
      <w:r>
        <w:rPr>
          <w:rFonts w:ascii="Franklin Gothic Book" w:hAnsi="Franklin Gothic Book"/>
          <w:spacing w:val="-8"/>
          <w:sz w:val="20"/>
        </w:rPr>
        <w:t> </w:t>
      </w:r>
      <w:r>
        <w:rPr>
          <w:rFonts w:ascii="Franklin Gothic Book" w:hAnsi="Franklin Gothic Book"/>
          <w:sz w:val="20"/>
        </w:rPr>
        <w:t>dei</w:t>
      </w:r>
      <w:r>
        <w:rPr>
          <w:rFonts w:ascii="Franklin Gothic Book" w:hAnsi="Franklin Gothic Book"/>
          <w:spacing w:val="-8"/>
          <w:sz w:val="20"/>
        </w:rPr>
        <w:t> </w:t>
      </w:r>
      <w:r>
        <w:rPr>
          <w:rFonts w:ascii="Franklin Gothic Book" w:hAnsi="Franklin Gothic Book"/>
          <w:sz w:val="20"/>
        </w:rPr>
        <w:t>diversi</w:t>
      </w:r>
      <w:r>
        <w:rPr>
          <w:rFonts w:ascii="Franklin Gothic Book" w:hAnsi="Franklin Gothic Book"/>
          <w:spacing w:val="-8"/>
          <w:sz w:val="20"/>
        </w:rPr>
        <w:t> </w:t>
      </w:r>
      <w:r>
        <w:rPr>
          <w:rFonts w:ascii="Franklin Gothic Book" w:hAnsi="Franklin Gothic Book"/>
          <w:sz w:val="20"/>
        </w:rPr>
        <w:t>Paesi</w:t>
      </w:r>
      <w:r>
        <w:rPr>
          <w:rFonts w:ascii="Franklin Gothic Book" w:hAnsi="Franklin Gothic Book"/>
          <w:spacing w:val="-8"/>
          <w:sz w:val="20"/>
        </w:rPr>
        <w:t> </w:t>
      </w:r>
      <w:r>
        <w:rPr>
          <w:rFonts w:ascii="Franklin Gothic Book" w:hAnsi="Franklin Gothic Book"/>
          <w:sz w:val="20"/>
        </w:rPr>
        <w:t>europei,</w:t>
      </w:r>
      <w:r>
        <w:rPr>
          <w:rFonts w:ascii="Franklin Gothic Book" w:hAnsi="Franklin Gothic Book"/>
          <w:spacing w:val="-7"/>
          <w:sz w:val="20"/>
        </w:rPr>
        <w:t> </w:t>
      </w:r>
      <w:r>
        <w:rPr>
          <w:rFonts w:ascii="Franklin Gothic Book" w:hAnsi="Franklin Gothic Book"/>
          <w:sz w:val="20"/>
        </w:rPr>
        <w:t>nell’ambito</w:t>
      </w:r>
      <w:r>
        <w:rPr>
          <w:rFonts w:ascii="Franklin Gothic Book" w:hAnsi="Franklin Gothic Book"/>
          <w:spacing w:val="-7"/>
          <w:sz w:val="20"/>
        </w:rPr>
        <w:t> </w:t>
      </w:r>
      <w:r>
        <w:rPr>
          <w:rFonts w:ascii="Franklin Gothic Book" w:hAnsi="Franklin Gothic Book"/>
          <w:sz w:val="20"/>
        </w:rPr>
        <w:t>della</w:t>
      </w:r>
      <w:r>
        <w:rPr>
          <w:rFonts w:ascii="Franklin Gothic Book" w:hAnsi="Franklin Gothic Book"/>
          <w:spacing w:val="-8"/>
          <w:sz w:val="20"/>
        </w:rPr>
        <w:t> </w:t>
      </w:r>
      <w:r>
        <w:rPr>
          <w:rFonts w:ascii="Franklin Gothic Book" w:hAnsi="Franklin Gothic Book"/>
          <w:sz w:val="20"/>
        </w:rPr>
        <w:t>verifica</w:t>
      </w:r>
      <w:r>
        <w:rPr>
          <w:rFonts w:ascii="Franklin Gothic Book" w:hAnsi="Franklin Gothic Book"/>
          <w:spacing w:val="-8"/>
          <w:sz w:val="20"/>
        </w:rPr>
        <w:t> </w:t>
      </w:r>
      <w:r>
        <w:rPr>
          <w:rFonts w:ascii="Franklin Gothic Book" w:hAnsi="Franklin Gothic Book"/>
          <w:sz w:val="20"/>
        </w:rPr>
        <w:t>del</w:t>
      </w:r>
      <w:r>
        <w:rPr>
          <w:rFonts w:ascii="Franklin Gothic Book" w:hAnsi="Franklin Gothic Book"/>
          <w:spacing w:val="-9"/>
          <w:sz w:val="20"/>
        </w:rPr>
        <w:t> </w:t>
      </w:r>
      <w:r>
        <w:rPr>
          <w:rFonts w:ascii="Franklin Gothic Book" w:hAnsi="Franklin Gothic Book"/>
          <w:sz w:val="20"/>
        </w:rPr>
        <w:t>rispetto</w:t>
      </w:r>
      <w:r>
        <w:rPr>
          <w:rFonts w:ascii="Franklin Gothic Book" w:hAnsi="Franklin Gothic Book"/>
          <w:spacing w:val="-8"/>
          <w:sz w:val="20"/>
        </w:rPr>
        <w:t> </w:t>
      </w:r>
      <w:r>
        <w:rPr>
          <w:rFonts w:ascii="Franklin Gothic Book" w:hAnsi="Franklin Gothic Book"/>
          <w:sz w:val="20"/>
        </w:rPr>
        <w:t>delle</w:t>
      </w:r>
      <w:r>
        <w:rPr>
          <w:rFonts w:ascii="Franklin Gothic Book" w:hAnsi="Franklin Gothic Book"/>
          <w:spacing w:val="-8"/>
          <w:sz w:val="20"/>
        </w:rPr>
        <w:t> </w:t>
      </w:r>
      <w:r>
        <w:rPr>
          <w:rFonts w:ascii="Franklin Gothic Book" w:hAnsi="Franklin Gothic Book"/>
          <w:sz w:val="20"/>
        </w:rPr>
        <w:t>regole fiscali del Patto di Stabilità e</w:t>
      </w:r>
      <w:r>
        <w:rPr>
          <w:rFonts w:ascii="Franklin Gothic Book" w:hAnsi="Franklin Gothic Book"/>
          <w:spacing w:val="-5"/>
          <w:sz w:val="20"/>
        </w:rPr>
        <w:t> </w:t>
      </w:r>
      <w:r>
        <w:rPr>
          <w:rFonts w:ascii="Franklin Gothic Book" w:hAnsi="Franklin Gothic Book"/>
          <w:sz w:val="20"/>
        </w:rPr>
        <w:t>Crescita.</w:t>
      </w:r>
    </w:p>
    <w:p>
      <w:pPr>
        <w:spacing w:line="254" w:lineRule="auto" w:before="56"/>
        <w:ind w:left="782" w:right="2249" w:firstLine="0"/>
        <w:jc w:val="both"/>
        <w:rPr>
          <w:rFonts w:ascii="Franklin Gothic Book" w:hAnsi="Franklin Gothic Book"/>
          <w:sz w:val="20"/>
        </w:rPr>
      </w:pPr>
      <w:r>
        <w:rPr>
          <w:rFonts w:ascii="Franklin Gothic Book" w:hAnsi="Franklin Gothic Book"/>
          <w:sz w:val="20"/>
        </w:rPr>
        <w:t>Sulla base dello scenario definito in ambito EPC-WGA che assume, nel corso dell’orizzonte previsivo,</w:t>
      </w:r>
      <w:r>
        <w:rPr>
          <w:rFonts w:ascii="Franklin Gothic Book" w:hAnsi="Franklin Gothic Book"/>
          <w:spacing w:val="-7"/>
          <w:sz w:val="20"/>
        </w:rPr>
        <w:t> </w:t>
      </w:r>
      <w:r>
        <w:rPr>
          <w:rFonts w:ascii="Franklin Gothic Book" w:hAnsi="Franklin Gothic Book"/>
          <w:sz w:val="20"/>
        </w:rPr>
        <w:t>un</w:t>
      </w:r>
      <w:r>
        <w:rPr>
          <w:rFonts w:ascii="Franklin Gothic Book" w:hAnsi="Franklin Gothic Book"/>
          <w:spacing w:val="-7"/>
          <w:sz w:val="20"/>
        </w:rPr>
        <w:t> </w:t>
      </w:r>
      <w:r>
        <w:rPr>
          <w:rFonts w:ascii="Franklin Gothic Book" w:hAnsi="Franklin Gothic Book"/>
          <w:sz w:val="20"/>
        </w:rPr>
        <w:t>tasso</w:t>
      </w:r>
      <w:r>
        <w:rPr>
          <w:rFonts w:ascii="Franklin Gothic Book" w:hAnsi="Franklin Gothic Book"/>
          <w:spacing w:val="-8"/>
          <w:sz w:val="20"/>
        </w:rPr>
        <w:t> </w:t>
      </w:r>
      <w:r>
        <w:rPr>
          <w:rFonts w:ascii="Franklin Gothic Book" w:hAnsi="Franklin Gothic Book"/>
          <w:sz w:val="20"/>
        </w:rPr>
        <w:t>di</w:t>
      </w:r>
      <w:r>
        <w:rPr>
          <w:rFonts w:ascii="Franklin Gothic Book" w:hAnsi="Franklin Gothic Book"/>
          <w:spacing w:val="-9"/>
          <w:sz w:val="20"/>
        </w:rPr>
        <w:t> </w:t>
      </w:r>
      <w:r>
        <w:rPr>
          <w:rFonts w:ascii="Franklin Gothic Book" w:hAnsi="Franklin Gothic Book"/>
          <w:sz w:val="20"/>
        </w:rPr>
        <w:t>crescita</w:t>
      </w:r>
      <w:r>
        <w:rPr>
          <w:rFonts w:ascii="Franklin Gothic Book" w:hAnsi="Franklin Gothic Book"/>
          <w:spacing w:val="-7"/>
          <w:sz w:val="20"/>
        </w:rPr>
        <w:t> </w:t>
      </w:r>
      <w:r>
        <w:rPr>
          <w:rFonts w:ascii="Franklin Gothic Book" w:hAnsi="Franklin Gothic Book"/>
          <w:sz w:val="20"/>
        </w:rPr>
        <w:t>del</w:t>
      </w:r>
      <w:r>
        <w:rPr>
          <w:rFonts w:ascii="Franklin Gothic Book" w:hAnsi="Franklin Gothic Book"/>
          <w:spacing w:val="-9"/>
          <w:sz w:val="20"/>
        </w:rPr>
        <w:t> </w:t>
      </w:r>
      <w:r>
        <w:rPr>
          <w:rFonts w:ascii="Franklin Gothic Book" w:hAnsi="Franklin Gothic Book"/>
          <w:sz w:val="20"/>
        </w:rPr>
        <w:t>PIL</w:t>
      </w:r>
      <w:r>
        <w:rPr>
          <w:rFonts w:ascii="Franklin Gothic Book" w:hAnsi="Franklin Gothic Book"/>
          <w:spacing w:val="-6"/>
          <w:sz w:val="20"/>
        </w:rPr>
        <w:t> </w:t>
      </w:r>
      <w:r>
        <w:rPr>
          <w:rFonts w:ascii="Franklin Gothic Book" w:hAnsi="Franklin Gothic Book"/>
          <w:sz w:val="20"/>
        </w:rPr>
        <w:t>reale</w:t>
      </w:r>
      <w:r>
        <w:rPr>
          <w:rFonts w:ascii="Franklin Gothic Book" w:hAnsi="Franklin Gothic Book"/>
          <w:position w:val="5"/>
          <w:sz w:val="13"/>
        </w:rPr>
        <w:t>20</w:t>
      </w:r>
      <w:r>
        <w:rPr>
          <w:rFonts w:ascii="Franklin Gothic Book" w:hAnsi="Franklin Gothic Book"/>
          <w:spacing w:val="10"/>
          <w:position w:val="5"/>
          <w:sz w:val="13"/>
        </w:rPr>
        <w:t> </w:t>
      </w:r>
      <w:r>
        <w:rPr>
          <w:rFonts w:ascii="Franklin Gothic Book" w:hAnsi="Franklin Gothic Book"/>
          <w:sz w:val="20"/>
        </w:rPr>
        <w:t>pari</w:t>
      </w:r>
      <w:r>
        <w:rPr>
          <w:rFonts w:ascii="Franklin Gothic Book" w:hAnsi="Franklin Gothic Book"/>
          <w:spacing w:val="-7"/>
          <w:sz w:val="20"/>
        </w:rPr>
        <w:t> </w:t>
      </w:r>
      <w:r>
        <w:rPr>
          <w:rFonts w:ascii="Franklin Gothic Book" w:hAnsi="Franklin Gothic Book"/>
          <w:sz w:val="20"/>
        </w:rPr>
        <w:t>all’1,0</w:t>
      </w:r>
      <w:r>
        <w:rPr>
          <w:rFonts w:ascii="Franklin Gothic Book" w:hAnsi="Franklin Gothic Book"/>
          <w:spacing w:val="-6"/>
          <w:sz w:val="20"/>
        </w:rPr>
        <w:t> </w:t>
      </w:r>
      <w:r>
        <w:rPr>
          <w:rFonts w:ascii="Franklin Gothic Book" w:hAnsi="Franklin Gothic Book"/>
          <w:sz w:val="20"/>
        </w:rPr>
        <w:t>per</w:t>
      </w:r>
      <w:r>
        <w:rPr>
          <w:rFonts w:ascii="Franklin Gothic Book" w:hAnsi="Franklin Gothic Book"/>
          <w:spacing w:val="-7"/>
          <w:sz w:val="20"/>
        </w:rPr>
        <w:t> </w:t>
      </w:r>
      <w:r>
        <w:rPr>
          <w:rFonts w:ascii="Franklin Gothic Book" w:hAnsi="Franklin Gothic Book"/>
          <w:sz w:val="20"/>
        </w:rPr>
        <w:t>cento</w:t>
      </w:r>
      <w:r>
        <w:rPr>
          <w:rFonts w:ascii="Franklin Gothic Book" w:hAnsi="Franklin Gothic Book"/>
          <w:spacing w:val="-7"/>
          <w:sz w:val="20"/>
        </w:rPr>
        <w:t> </w:t>
      </w:r>
      <w:r>
        <w:rPr>
          <w:rFonts w:ascii="Franklin Gothic Book" w:hAnsi="Franklin Gothic Book"/>
          <w:sz w:val="20"/>
        </w:rPr>
        <w:t>medio</w:t>
      </w:r>
      <w:r>
        <w:rPr>
          <w:rFonts w:ascii="Franklin Gothic Book" w:hAnsi="Franklin Gothic Book"/>
          <w:spacing w:val="-8"/>
          <w:sz w:val="20"/>
        </w:rPr>
        <w:t> </w:t>
      </w:r>
      <w:r>
        <w:rPr>
          <w:rFonts w:ascii="Franklin Gothic Book" w:hAnsi="Franklin Gothic Book"/>
          <w:sz w:val="20"/>
        </w:rPr>
        <w:t>annuo</w:t>
      </w:r>
      <w:r>
        <w:rPr>
          <w:rFonts w:ascii="Franklin Gothic Book" w:hAnsi="Franklin Gothic Book"/>
          <w:spacing w:val="-7"/>
          <w:sz w:val="20"/>
        </w:rPr>
        <w:t> </w:t>
      </w:r>
      <w:r>
        <w:rPr>
          <w:rFonts w:ascii="Franklin Gothic Book" w:hAnsi="Franklin Gothic Book"/>
          <w:sz w:val="20"/>
        </w:rPr>
        <w:t>il</w:t>
      </w:r>
      <w:r>
        <w:rPr>
          <w:rFonts w:ascii="Franklin Gothic Book" w:hAnsi="Franklin Gothic Book"/>
          <w:spacing w:val="-10"/>
          <w:sz w:val="20"/>
        </w:rPr>
        <w:t> </w:t>
      </w:r>
      <w:r>
        <w:rPr>
          <w:rFonts w:ascii="Franklin Gothic Book" w:hAnsi="Franklin Gothic Book"/>
          <w:sz w:val="20"/>
        </w:rPr>
        <w:t>totale</w:t>
      </w:r>
      <w:r>
        <w:rPr>
          <w:rFonts w:ascii="Franklin Gothic Book" w:hAnsi="Franklin Gothic Book"/>
          <w:spacing w:val="-11"/>
          <w:sz w:val="20"/>
        </w:rPr>
        <w:t> </w:t>
      </w:r>
      <w:r>
        <w:rPr>
          <w:rFonts w:ascii="Franklin Gothic Book" w:hAnsi="Franklin Gothic Book"/>
          <w:sz w:val="20"/>
        </w:rPr>
        <w:t>della spesa pubblica </w:t>
      </w:r>
      <w:r>
        <w:rPr>
          <w:rFonts w:ascii="Franklin Gothic Book" w:hAnsi="Franklin Gothic Book"/>
          <w:i/>
          <w:sz w:val="20"/>
        </w:rPr>
        <w:t>age-related </w:t>
      </w:r>
      <w:r>
        <w:rPr>
          <w:rFonts w:ascii="Franklin Gothic Book" w:hAnsi="Franklin Gothic Book"/>
          <w:sz w:val="20"/>
        </w:rPr>
        <w:t>in rapporto al PIL registra un incremento di circa 3</w:t>
      </w:r>
      <w:r>
        <w:rPr>
          <w:rFonts w:ascii="Franklin Gothic Book" w:hAnsi="Franklin Gothic Book"/>
          <w:spacing w:val="8"/>
          <w:sz w:val="20"/>
        </w:rPr>
        <w:t> </w:t>
      </w:r>
      <w:r>
        <w:rPr>
          <w:rFonts w:ascii="Franklin Gothic Book" w:hAnsi="Franklin Gothic Book"/>
          <w:sz w:val="20"/>
        </w:rPr>
        <w:t>punti</w:t>
      </w:r>
    </w:p>
    <w:p>
      <w:pPr>
        <w:pStyle w:val="BodyText"/>
        <w:rPr>
          <w:rFonts w:ascii="Franklin Gothic Book"/>
          <w:sz w:val="20"/>
        </w:rPr>
      </w:pPr>
    </w:p>
    <w:p>
      <w:pPr>
        <w:pStyle w:val="BodyText"/>
        <w:spacing w:before="2"/>
        <w:rPr>
          <w:rFonts w:ascii="Franklin Gothic Book"/>
          <w:sz w:val="20"/>
        </w:rPr>
      </w:pPr>
      <w:r>
        <w:rPr/>
        <w:pict>
          <v:group style="position:absolute;margin-left:93.599998pt;margin-top:13.452637pt;width:21.4pt;height:2.15pt;mso-position-horizontal-relative:page;mso-position-vertical-relative:paragraph;z-index:-251513856;mso-wrap-distance-left:0;mso-wrap-distance-right:0" coordorigin="1872,269" coordsize="428,43">
            <v:line style="position:absolute" from="1872,290" to="2299,290" stroked="true" strokeweight="2.050pt" strokecolor="#aaaaaa">
              <v:stroke dashstyle="solid"/>
            </v:line>
            <v:rect style="position:absolute;left:1872;top:270;width:5;height:5" filled="true" fillcolor="#9f9f9f" stroked="false">
              <v:fill type="solid"/>
            </v:rect>
            <v:rect style="position:absolute;left:1872;top:270;width:5;height:5" filled="true" fillcolor="#9f9f9f" stroked="false">
              <v:fill type="solid"/>
            </v:rect>
            <v:line style="position:absolute" from="1877,273" to="2295,273" stroked="true" strokeweight=".23999pt" strokecolor="#9f9f9f">
              <v:stroke dashstyle="solid"/>
            </v:line>
            <v:rect style="position:absolute;left:2294;top:270;width:5;height:5" filled="true" fillcolor="#e2e2e2" stroked="false">
              <v:fill type="solid"/>
            </v:rect>
            <v:rect style="position:absolute;left:2294;top:270;width:5;height:5" filled="true" fillcolor="#9f9f9f" stroked="false">
              <v:fill type="solid"/>
            </v:rect>
            <v:rect style="position:absolute;left:1872;top:275;width:5;height:32" filled="true" fillcolor="#9f9f9f" stroked="false">
              <v:fill type="solid"/>
            </v:rect>
            <v:rect style="position:absolute;left:2294;top:275;width:5;height:32" filled="true" fillcolor="#e2e2e2" stroked="false">
              <v:fill type="solid"/>
            </v:rect>
            <v:rect style="position:absolute;left:1872;top:306;width:5;height:5" filled="true" fillcolor="#9f9f9f" stroked="false">
              <v:fill type="solid"/>
            </v:rect>
            <v:rect style="position:absolute;left:1872;top:306;width:5;height:5" filled="true" fillcolor="#e2e2e2" stroked="false">
              <v:fill type="solid"/>
            </v:rect>
            <v:line style="position:absolute" from="1877,309" to="2295,309" stroked="true" strokeweight=".23999pt" strokecolor="#e2e2e2">
              <v:stroke dashstyle="solid"/>
            </v:line>
            <v:rect style="position:absolute;left:2294;top:306;width:5;height:5" filled="true" fillcolor="#e2e2e2" stroked="false">
              <v:fill type="solid"/>
            </v:rect>
            <v:rect style="position:absolute;left:2294;top:306;width:5;height:5" filled="true" fillcolor="#e2e2e2" stroked="false">
              <v:fill type="solid"/>
            </v:rect>
            <w10:wrap type="topAndBottom"/>
          </v:group>
        </w:pict>
      </w:r>
    </w:p>
    <w:p>
      <w:pPr>
        <w:spacing w:before="22"/>
        <w:ind w:left="278" w:right="2263" w:firstLine="453"/>
        <w:jc w:val="both"/>
        <w:rPr>
          <w:sz w:val="18"/>
        </w:rPr>
      </w:pPr>
      <w:r>
        <w:rPr>
          <w:position w:val="6"/>
          <w:sz w:val="10"/>
        </w:rPr>
        <w:t>19 </w:t>
      </w:r>
      <w:r>
        <w:rPr>
          <w:sz w:val="18"/>
        </w:rPr>
        <w:t>Le ipotesi demografiche Eurostat, con base 2015 prevedono per l’Italia: i) un flusso netto di immigrati di circa 190 mila unità medie annue, con un profilo crescente fino al 2040 e decrescente successivamente; ii) un livello della speranza di vita al 2070 pari a 86,9 anni per gli uomini e a 90,9 anni per le donne; iii) un tasso di fecondità totale al 2070 pari a 1,66.</w:t>
      </w:r>
    </w:p>
    <w:p>
      <w:pPr>
        <w:spacing w:before="1"/>
        <w:ind w:left="278" w:right="2261" w:firstLine="453"/>
        <w:jc w:val="both"/>
        <w:rPr>
          <w:sz w:val="18"/>
        </w:rPr>
      </w:pPr>
      <w:r>
        <w:rPr>
          <w:position w:val="6"/>
          <w:sz w:val="10"/>
        </w:rPr>
        <w:t>20 </w:t>
      </w:r>
      <w:r>
        <w:rPr>
          <w:sz w:val="18"/>
        </w:rPr>
        <w:t>Per il periodo 2019-2022 sono state adottate ipotesi di crescita in linea con le indicazioni del quadro</w:t>
      </w:r>
      <w:r>
        <w:rPr>
          <w:spacing w:val="-9"/>
          <w:sz w:val="18"/>
        </w:rPr>
        <w:t> </w:t>
      </w:r>
      <w:r>
        <w:rPr>
          <w:sz w:val="18"/>
        </w:rPr>
        <w:t>macroeconomico</w:t>
      </w:r>
      <w:r>
        <w:rPr>
          <w:spacing w:val="-7"/>
          <w:sz w:val="18"/>
        </w:rPr>
        <w:t> </w:t>
      </w:r>
      <w:r>
        <w:rPr>
          <w:sz w:val="18"/>
        </w:rPr>
        <w:t>tendenziale</w:t>
      </w:r>
      <w:r>
        <w:rPr>
          <w:spacing w:val="-7"/>
          <w:sz w:val="18"/>
        </w:rPr>
        <w:t> </w:t>
      </w:r>
      <w:r>
        <w:rPr>
          <w:sz w:val="18"/>
        </w:rPr>
        <w:t>definito</w:t>
      </w:r>
      <w:r>
        <w:rPr>
          <w:spacing w:val="-7"/>
          <w:sz w:val="18"/>
        </w:rPr>
        <w:t> </w:t>
      </w:r>
      <w:r>
        <w:rPr>
          <w:sz w:val="18"/>
        </w:rPr>
        <w:t>per</w:t>
      </w:r>
      <w:r>
        <w:rPr>
          <w:spacing w:val="-10"/>
          <w:sz w:val="18"/>
        </w:rPr>
        <w:t> </w:t>
      </w:r>
      <w:r>
        <w:rPr>
          <w:sz w:val="18"/>
        </w:rPr>
        <w:t>la</w:t>
      </w:r>
      <w:r>
        <w:rPr>
          <w:spacing w:val="-9"/>
          <w:sz w:val="18"/>
        </w:rPr>
        <w:t> </w:t>
      </w:r>
      <w:r>
        <w:rPr>
          <w:sz w:val="18"/>
        </w:rPr>
        <w:t>Nota</w:t>
      </w:r>
      <w:r>
        <w:rPr>
          <w:spacing w:val="-10"/>
          <w:sz w:val="18"/>
        </w:rPr>
        <w:t> </w:t>
      </w:r>
      <w:r>
        <w:rPr>
          <w:sz w:val="18"/>
        </w:rPr>
        <w:t>di</w:t>
      </w:r>
      <w:r>
        <w:rPr>
          <w:spacing w:val="-11"/>
          <w:sz w:val="18"/>
        </w:rPr>
        <w:t> </w:t>
      </w:r>
      <w:r>
        <w:rPr>
          <w:sz w:val="18"/>
        </w:rPr>
        <w:t>Aggiornamento</w:t>
      </w:r>
      <w:r>
        <w:rPr>
          <w:spacing w:val="-7"/>
          <w:sz w:val="18"/>
        </w:rPr>
        <w:t> </w:t>
      </w:r>
      <w:r>
        <w:rPr>
          <w:sz w:val="18"/>
        </w:rPr>
        <w:t>al</w:t>
      </w:r>
      <w:r>
        <w:rPr>
          <w:spacing w:val="-9"/>
          <w:sz w:val="18"/>
        </w:rPr>
        <w:t> </w:t>
      </w:r>
      <w:r>
        <w:rPr>
          <w:sz w:val="18"/>
        </w:rPr>
        <w:t>DEF</w:t>
      </w:r>
      <w:r>
        <w:rPr>
          <w:spacing w:val="-9"/>
          <w:sz w:val="18"/>
        </w:rPr>
        <w:t> </w:t>
      </w:r>
      <w:r>
        <w:rPr>
          <w:sz w:val="18"/>
        </w:rPr>
        <w:t>2019.</w:t>
      </w:r>
      <w:r>
        <w:rPr>
          <w:spacing w:val="-6"/>
          <w:sz w:val="18"/>
        </w:rPr>
        <w:t> </w:t>
      </w:r>
      <w:r>
        <w:rPr>
          <w:sz w:val="18"/>
        </w:rPr>
        <w:t>Per</w:t>
      </w:r>
      <w:r>
        <w:rPr>
          <w:spacing w:val="-9"/>
          <w:sz w:val="18"/>
        </w:rPr>
        <w:t> </w:t>
      </w:r>
      <w:r>
        <w:rPr>
          <w:sz w:val="18"/>
        </w:rPr>
        <w:t>il</w:t>
      </w:r>
      <w:r>
        <w:rPr>
          <w:spacing w:val="-8"/>
          <w:sz w:val="18"/>
        </w:rPr>
        <w:t> </w:t>
      </w:r>
      <w:r>
        <w:rPr>
          <w:sz w:val="18"/>
        </w:rPr>
        <w:t>periodo successivo,</w:t>
      </w:r>
      <w:r>
        <w:rPr>
          <w:spacing w:val="-3"/>
          <w:sz w:val="18"/>
        </w:rPr>
        <w:t> </w:t>
      </w:r>
      <w:r>
        <w:rPr>
          <w:sz w:val="18"/>
        </w:rPr>
        <w:t>sono</w:t>
      </w:r>
      <w:r>
        <w:rPr>
          <w:spacing w:val="-5"/>
          <w:sz w:val="18"/>
        </w:rPr>
        <w:t> </w:t>
      </w:r>
      <w:r>
        <w:rPr>
          <w:sz w:val="18"/>
        </w:rPr>
        <w:t>state</w:t>
      </w:r>
      <w:r>
        <w:rPr>
          <w:spacing w:val="-5"/>
          <w:sz w:val="18"/>
        </w:rPr>
        <w:t> </w:t>
      </w:r>
      <w:r>
        <w:rPr>
          <w:sz w:val="18"/>
        </w:rPr>
        <w:t>recepite</w:t>
      </w:r>
      <w:r>
        <w:rPr>
          <w:spacing w:val="-4"/>
          <w:sz w:val="18"/>
        </w:rPr>
        <w:t> </w:t>
      </w:r>
      <w:r>
        <w:rPr>
          <w:sz w:val="18"/>
        </w:rPr>
        <w:t>le</w:t>
      </w:r>
      <w:r>
        <w:rPr>
          <w:spacing w:val="-5"/>
          <w:sz w:val="18"/>
        </w:rPr>
        <w:t> </w:t>
      </w:r>
      <w:r>
        <w:rPr>
          <w:sz w:val="18"/>
        </w:rPr>
        <w:t>ipotesi</w:t>
      </w:r>
      <w:r>
        <w:rPr>
          <w:spacing w:val="-5"/>
          <w:sz w:val="18"/>
        </w:rPr>
        <w:t> </w:t>
      </w:r>
      <w:r>
        <w:rPr>
          <w:sz w:val="18"/>
        </w:rPr>
        <w:t>strutturali</w:t>
      </w:r>
      <w:r>
        <w:rPr>
          <w:spacing w:val="-6"/>
          <w:sz w:val="18"/>
        </w:rPr>
        <w:t> </w:t>
      </w:r>
      <w:r>
        <w:rPr>
          <w:sz w:val="18"/>
        </w:rPr>
        <w:t>dello</w:t>
      </w:r>
      <w:r>
        <w:rPr>
          <w:spacing w:val="-5"/>
          <w:sz w:val="18"/>
        </w:rPr>
        <w:t> </w:t>
      </w:r>
      <w:r>
        <w:rPr>
          <w:sz w:val="18"/>
        </w:rPr>
        <w:t>scenario</w:t>
      </w:r>
      <w:r>
        <w:rPr>
          <w:spacing w:val="-5"/>
          <w:sz w:val="18"/>
        </w:rPr>
        <w:t> </w:t>
      </w:r>
      <w:r>
        <w:rPr>
          <w:sz w:val="18"/>
        </w:rPr>
        <w:t>EPC-WGA</w:t>
      </w:r>
      <w:r>
        <w:rPr>
          <w:spacing w:val="-5"/>
          <w:sz w:val="18"/>
        </w:rPr>
        <w:t> </w:t>
      </w:r>
      <w:r>
        <w:rPr>
          <w:sz w:val="18"/>
        </w:rPr>
        <w:t>baseline</w:t>
      </w:r>
      <w:r>
        <w:rPr>
          <w:spacing w:val="-4"/>
          <w:sz w:val="18"/>
        </w:rPr>
        <w:t> </w:t>
      </w:r>
      <w:r>
        <w:rPr>
          <w:sz w:val="18"/>
        </w:rPr>
        <w:t>2018,</w:t>
      </w:r>
      <w:r>
        <w:rPr>
          <w:spacing w:val="-3"/>
          <w:sz w:val="18"/>
        </w:rPr>
        <w:t> </w:t>
      </w:r>
      <w:r>
        <w:rPr>
          <w:sz w:val="18"/>
        </w:rPr>
        <w:t>così</w:t>
      </w:r>
      <w:r>
        <w:rPr>
          <w:spacing w:val="-5"/>
          <w:sz w:val="18"/>
        </w:rPr>
        <w:t> </w:t>
      </w:r>
      <w:r>
        <w:rPr>
          <w:sz w:val="18"/>
        </w:rPr>
        <w:t>come presentate nel Rapporto “The 2018 Ageing Report: Underlying Assumptions and Projection Methodologies” - European Commission Directorate-General for Economic and Financial Affairs. Tali ipotesi</w:t>
      </w:r>
      <w:r>
        <w:rPr>
          <w:spacing w:val="-8"/>
          <w:sz w:val="18"/>
        </w:rPr>
        <w:t> </w:t>
      </w:r>
      <w:r>
        <w:rPr>
          <w:sz w:val="18"/>
        </w:rPr>
        <w:t>strutturali</w:t>
      </w:r>
      <w:r>
        <w:rPr>
          <w:spacing w:val="-6"/>
          <w:sz w:val="18"/>
        </w:rPr>
        <w:t> </w:t>
      </w:r>
      <w:r>
        <w:rPr>
          <w:sz w:val="18"/>
        </w:rPr>
        <w:t>sono</w:t>
      </w:r>
      <w:r>
        <w:rPr>
          <w:spacing w:val="-6"/>
          <w:sz w:val="18"/>
        </w:rPr>
        <w:t> </w:t>
      </w:r>
      <w:r>
        <w:rPr>
          <w:sz w:val="18"/>
        </w:rPr>
        <w:t>state</w:t>
      </w:r>
      <w:r>
        <w:rPr>
          <w:spacing w:val="-7"/>
          <w:sz w:val="18"/>
        </w:rPr>
        <w:t> </w:t>
      </w:r>
      <w:r>
        <w:rPr>
          <w:sz w:val="18"/>
        </w:rPr>
        <w:t>opportunamente</w:t>
      </w:r>
      <w:r>
        <w:rPr>
          <w:spacing w:val="-5"/>
          <w:sz w:val="18"/>
        </w:rPr>
        <w:t> </w:t>
      </w:r>
      <w:r>
        <w:rPr>
          <w:sz w:val="18"/>
        </w:rPr>
        <w:t>modificate</w:t>
      </w:r>
      <w:r>
        <w:rPr>
          <w:spacing w:val="-7"/>
          <w:sz w:val="18"/>
        </w:rPr>
        <w:t> </w:t>
      </w:r>
      <w:r>
        <w:rPr>
          <w:sz w:val="18"/>
        </w:rPr>
        <w:t>per</w:t>
      </w:r>
      <w:r>
        <w:rPr>
          <w:spacing w:val="-8"/>
          <w:sz w:val="18"/>
        </w:rPr>
        <w:t> </w:t>
      </w:r>
      <w:r>
        <w:rPr>
          <w:sz w:val="18"/>
        </w:rPr>
        <w:t>recepire</w:t>
      </w:r>
      <w:r>
        <w:rPr>
          <w:spacing w:val="-7"/>
          <w:sz w:val="18"/>
        </w:rPr>
        <w:t> </w:t>
      </w:r>
      <w:r>
        <w:rPr>
          <w:sz w:val="18"/>
        </w:rPr>
        <w:t>l’impatto</w:t>
      </w:r>
      <w:r>
        <w:rPr>
          <w:spacing w:val="-6"/>
          <w:sz w:val="18"/>
        </w:rPr>
        <w:t> </w:t>
      </w:r>
      <w:r>
        <w:rPr>
          <w:sz w:val="18"/>
        </w:rPr>
        <w:t>di</w:t>
      </w:r>
      <w:r>
        <w:rPr>
          <w:spacing w:val="-8"/>
          <w:sz w:val="18"/>
        </w:rPr>
        <w:t> </w:t>
      </w:r>
      <w:r>
        <w:rPr>
          <w:sz w:val="18"/>
        </w:rPr>
        <w:t>lungo</w:t>
      </w:r>
      <w:r>
        <w:rPr>
          <w:spacing w:val="-8"/>
          <w:sz w:val="18"/>
        </w:rPr>
        <w:t> </w:t>
      </w:r>
      <w:r>
        <w:rPr>
          <w:sz w:val="18"/>
        </w:rPr>
        <w:t>periodo</w:t>
      </w:r>
      <w:r>
        <w:rPr>
          <w:spacing w:val="-6"/>
          <w:sz w:val="18"/>
        </w:rPr>
        <w:t> </w:t>
      </w:r>
      <w:r>
        <w:rPr>
          <w:sz w:val="18"/>
        </w:rPr>
        <w:t>sulla permanenza</w:t>
      </w:r>
      <w:r>
        <w:rPr>
          <w:spacing w:val="-7"/>
          <w:sz w:val="18"/>
        </w:rPr>
        <w:t> </w:t>
      </w:r>
      <w:r>
        <w:rPr>
          <w:sz w:val="18"/>
        </w:rPr>
        <w:t>al</w:t>
      </w:r>
      <w:r>
        <w:rPr>
          <w:spacing w:val="-6"/>
          <w:sz w:val="18"/>
        </w:rPr>
        <w:t> </w:t>
      </w:r>
      <w:r>
        <w:rPr>
          <w:sz w:val="18"/>
        </w:rPr>
        <w:t>lavoro</w:t>
      </w:r>
      <w:r>
        <w:rPr>
          <w:spacing w:val="-6"/>
          <w:sz w:val="18"/>
        </w:rPr>
        <w:t> </w:t>
      </w:r>
      <w:r>
        <w:rPr>
          <w:sz w:val="18"/>
        </w:rPr>
        <w:t>delle</w:t>
      </w:r>
      <w:r>
        <w:rPr>
          <w:spacing w:val="-6"/>
          <w:sz w:val="18"/>
        </w:rPr>
        <w:t> </w:t>
      </w:r>
      <w:r>
        <w:rPr>
          <w:sz w:val="18"/>
        </w:rPr>
        <w:t>misure</w:t>
      </w:r>
      <w:r>
        <w:rPr>
          <w:spacing w:val="-6"/>
          <w:sz w:val="18"/>
        </w:rPr>
        <w:t> </w:t>
      </w:r>
      <w:r>
        <w:rPr>
          <w:sz w:val="18"/>
        </w:rPr>
        <w:t>adottate</w:t>
      </w:r>
      <w:r>
        <w:rPr>
          <w:spacing w:val="-5"/>
          <w:sz w:val="18"/>
        </w:rPr>
        <w:t> </w:t>
      </w:r>
      <w:r>
        <w:rPr>
          <w:sz w:val="18"/>
        </w:rPr>
        <w:t>con</w:t>
      </w:r>
      <w:r>
        <w:rPr>
          <w:spacing w:val="-2"/>
          <w:sz w:val="18"/>
        </w:rPr>
        <w:t> </w:t>
      </w:r>
      <w:r>
        <w:rPr>
          <w:sz w:val="18"/>
        </w:rPr>
        <w:t>il</w:t>
      </w:r>
      <w:r>
        <w:rPr>
          <w:spacing w:val="-6"/>
          <w:sz w:val="18"/>
        </w:rPr>
        <w:t> </w:t>
      </w:r>
      <w:r>
        <w:rPr>
          <w:sz w:val="18"/>
        </w:rPr>
        <w:t>DL</w:t>
      </w:r>
      <w:r>
        <w:rPr>
          <w:spacing w:val="-7"/>
          <w:sz w:val="18"/>
        </w:rPr>
        <w:t> </w:t>
      </w:r>
      <w:r>
        <w:rPr>
          <w:sz w:val="18"/>
        </w:rPr>
        <w:t>4/2019.</w:t>
      </w:r>
      <w:r>
        <w:rPr>
          <w:spacing w:val="-4"/>
          <w:sz w:val="18"/>
        </w:rPr>
        <w:t> </w:t>
      </w:r>
      <w:r>
        <w:rPr>
          <w:sz w:val="18"/>
        </w:rPr>
        <w:t>Le</w:t>
      </w:r>
      <w:r>
        <w:rPr>
          <w:spacing w:val="-8"/>
          <w:sz w:val="18"/>
        </w:rPr>
        <w:t> </w:t>
      </w:r>
      <w:r>
        <w:rPr>
          <w:sz w:val="18"/>
        </w:rPr>
        <w:t>differenze</w:t>
      </w:r>
      <w:r>
        <w:rPr>
          <w:spacing w:val="-5"/>
          <w:sz w:val="18"/>
        </w:rPr>
        <w:t> </w:t>
      </w:r>
      <w:r>
        <w:rPr>
          <w:sz w:val="18"/>
        </w:rPr>
        <w:t>occupazionali</w:t>
      </w:r>
      <w:r>
        <w:rPr>
          <w:spacing w:val="-7"/>
          <w:sz w:val="18"/>
        </w:rPr>
        <w:t> </w:t>
      </w:r>
      <w:r>
        <w:rPr>
          <w:sz w:val="18"/>
        </w:rPr>
        <w:t>evidenziate nel 2022, nel confronto fra lo scenario EPC-WGA baseline e lo scenario macroeconomico di breve periodo della Nota di Aggiornamento al DEF 2019 sono state progressivamente azzerate. Per quanto riguarda la dinamica della produttività le ipotesi dello scenario EPC-WGA baseline sono state sostanzialmente confermate a partire dal</w:t>
      </w:r>
      <w:r>
        <w:rPr>
          <w:spacing w:val="-3"/>
          <w:sz w:val="18"/>
        </w:rPr>
        <w:t> </w:t>
      </w:r>
      <w:r>
        <w:rPr>
          <w:sz w:val="18"/>
        </w:rPr>
        <w:t>2025.</w:t>
      </w:r>
    </w:p>
    <w:p>
      <w:pPr>
        <w:spacing w:after="0"/>
        <w:jc w:val="both"/>
        <w:rPr>
          <w:sz w:val="18"/>
        </w:rPr>
        <w:sectPr>
          <w:pgSz w:w="11910" w:h="16840"/>
          <w:pgMar w:header="838" w:footer="866" w:top="1100" w:bottom="1060" w:left="1140" w:right="0"/>
        </w:sectPr>
      </w:pPr>
    </w:p>
    <w:p>
      <w:pPr>
        <w:pStyle w:val="BodyText"/>
        <w:rPr>
          <w:sz w:val="20"/>
        </w:rPr>
      </w:pPr>
    </w:p>
    <w:p>
      <w:pPr>
        <w:pStyle w:val="BodyText"/>
        <w:rPr>
          <w:sz w:val="20"/>
        </w:rPr>
      </w:pPr>
    </w:p>
    <w:p>
      <w:pPr>
        <w:pStyle w:val="BodyText"/>
        <w:rPr>
          <w:sz w:val="27"/>
        </w:rPr>
      </w:pPr>
    </w:p>
    <w:p>
      <w:pPr>
        <w:spacing w:line="254" w:lineRule="auto" w:before="100"/>
        <w:ind w:left="1630" w:right="1398" w:firstLine="0"/>
        <w:jc w:val="both"/>
        <w:rPr>
          <w:rFonts w:ascii="Franklin Gothic Book" w:hAnsi="Franklin Gothic Book"/>
          <w:sz w:val="20"/>
        </w:rPr>
      </w:pPr>
      <w:r>
        <w:rPr/>
        <w:pict>
          <v:group style="position:absolute;margin-left:113.419998pt;margin-top:4.565037pt;width:411.95pt;height:644.5pt;mso-position-horizontal-relative:page;mso-position-vertical-relative:paragraph;z-index:-266203136" coordorigin="2268,91" coordsize="8239,12890">
            <v:rect style="position:absolute;left:2297;top:91;width:20;height:12890" filled="true" fillcolor="#efefef" stroked="false">
              <v:fill type="solid"/>
            </v:rect>
            <v:shape style="position:absolute;left:2316;top:91;width:8191;height:7669" coordorigin="2316,91" coordsize="8191,7669" path="m10507,3751l2316,3751,2316,4052,2316,4527,2316,7760,10507,7760,10507,4052,10507,3751m10507,91l2316,91,2316,331,2316,571,2316,811,2316,1051,2316,1291,2316,1591,2316,1831,2316,2071,2316,2311,2316,2551,2316,2791,2316,3031,2316,3271,2316,3511,2316,3751,10507,3751,10507,3511,10507,3271,10507,3031,10507,2791,10507,2551,10507,2311,10507,2071,10507,1831,10507,1591,10507,1291,10507,1051,10507,811,10507,571,10507,331,10507,91e" filled="true" fillcolor="#efefef" stroked="false">
              <v:path arrowok="t"/>
              <v:fill type="solid"/>
            </v:shape>
            <v:shape style="position:absolute;left:2772;top:4051;width:7735;height:473" coordorigin="2772,4052" coordsize="7735,473" path="m10507,4052l2772,4052,2772,4110,2772,4290,2772,4470,2772,4525,10507,4525,10507,4470,10507,4290,10507,4110,10507,4052e" filled="true" fillcolor="#086d44" stroked="false">
              <v:path arrowok="t"/>
              <v:fill type="solid"/>
            </v:shape>
            <v:shape style="position:absolute;left:2770;top:4051;width:7737;height:473" coordorigin="2770,4052" coordsize="7737,473" path="m10507,4470l2770,4470,2770,4525,10507,4525,10507,4470m10507,4052l2770,4052,2770,4110,10507,4110,10507,4052e" filled="true" fillcolor="#086d44" stroked="false">
              <v:path arrowok="t"/>
              <v:fill type="solid"/>
            </v:shape>
            <v:shape style="position:absolute;left:2316;top:4524;width:8191;height:3236" coordorigin="2316,4525" coordsize="8191,3236" path="m2770,4527l2316,4527,2316,7760,2770,7760,2770,4527m10507,7314l2772,7314,2772,7510,2772,7510,2772,7708,2772,7732,10507,7732,10507,7708,10507,7510,10507,7510,10507,7314m10507,6918l2772,6918,2772,7114,2772,7314,10507,7314,10507,7114,10507,6918m10507,6325l2772,6325,2772,6524,2772,6721,2772,6918,10507,6918,10507,6721,10507,6524,10507,6325m10507,5931l2772,5931,2772,6128,2772,6325,10507,6325,10507,6128,10507,5931m10507,5535l2772,5535,2772,5734,2772,5931,10507,5931,10507,5734,10507,5535m10507,4945l2772,4945,2772,5142,2772,5338,2772,5535,10507,5535,10507,5338,10507,5142,10507,4945m10507,4525l2772,4525,2772,4549,2772,4746,2772,4945,10507,4945,10507,4746,10507,4549,10507,4525e" filled="true" fillcolor="#efefef" stroked="false">
              <v:path arrowok="t"/>
              <v:fill type="solid"/>
            </v:shape>
            <v:rect style="position:absolute;left:2770;top:4527;width:7737;height:24" filled="true" fillcolor="#efefef" stroked="false">
              <v:fill type="solid"/>
            </v:rect>
            <v:rect style="position:absolute;left:2755;top:7731;width:7751;height:29" filled="true" fillcolor="#086d44" stroked="false">
              <v:fill type="solid"/>
            </v:rect>
            <v:shape style="position:absolute;left:2316;top:7760;width:8191;height:5221" coordorigin="2316,7760" coordsize="8191,5221" path="m10507,11300l2316,11300,2316,11541,2316,11781,2316,12081,2316,12381,2316,12681,2316,12681,2316,12981,10507,12981,10507,12681,10507,12681,10507,12381,10507,12081,10507,11781,10507,11541,10507,11300m10507,7760l2316,7760,2316,8060,2316,8360,2316,8600,2316,8840,2316,9080,2316,9320,2316,9560,2316,9800,2316,9800,2316,10040,2316,10280,2316,10580,2316,10820,2316,11060,2316,11300,10507,11300,10507,11060,10507,10820,10507,10580,10507,10280,10507,10040,10507,9800,10507,9800,10507,9560,10507,9320,10507,9080,10507,8840,10507,8600,10507,8360,10507,8060,10507,7760e" filled="true" fillcolor="#efefef" stroked="false">
              <v:path arrowok="t"/>
              <v:fill type="solid"/>
            </v:shape>
            <v:rect style="position:absolute;left:2268;top:91;width:29;height:12890" filled="true" fillcolor="#086d44" stroked="false">
              <v:fill type="solid"/>
            </v:rect>
            <w10:wrap type="none"/>
          </v:group>
        </w:pict>
      </w:r>
      <w:r>
        <w:rPr>
          <w:rFonts w:ascii="Franklin Gothic Book" w:hAnsi="Franklin Gothic Book"/>
          <w:sz w:val="20"/>
        </w:rPr>
        <w:t>percentuali negli anni 2015-2045, (Tavola. 1). Tale aumento è ascrivibile per 2,4 punti percentuali alla spesa pensionistica, che raggiunge il valore di maggiore incidenza sul PIL, pari a 18,4 per cento, nel 2042, per circa 0,9 punti percentuali alla spesa sanitaria e per circa</w:t>
      </w:r>
      <w:r>
        <w:rPr>
          <w:rFonts w:ascii="Franklin Gothic Book" w:hAnsi="Franklin Gothic Book"/>
          <w:spacing w:val="-12"/>
          <w:sz w:val="20"/>
        </w:rPr>
        <w:t> </w:t>
      </w:r>
      <w:r>
        <w:rPr>
          <w:rFonts w:ascii="Franklin Gothic Book" w:hAnsi="Franklin Gothic Book"/>
          <w:sz w:val="20"/>
        </w:rPr>
        <w:t>0,3</w:t>
      </w:r>
      <w:r>
        <w:rPr>
          <w:rFonts w:ascii="Franklin Gothic Book" w:hAnsi="Franklin Gothic Book"/>
          <w:spacing w:val="-11"/>
          <w:sz w:val="20"/>
        </w:rPr>
        <w:t> </w:t>
      </w:r>
      <w:r>
        <w:rPr>
          <w:rFonts w:ascii="Franklin Gothic Book" w:hAnsi="Franklin Gothic Book"/>
          <w:sz w:val="20"/>
        </w:rPr>
        <w:t>punti</w:t>
      </w:r>
      <w:r>
        <w:rPr>
          <w:rFonts w:ascii="Franklin Gothic Book" w:hAnsi="Franklin Gothic Book"/>
          <w:spacing w:val="-9"/>
          <w:sz w:val="20"/>
        </w:rPr>
        <w:t> </w:t>
      </w:r>
      <w:r>
        <w:rPr>
          <w:rFonts w:ascii="Franklin Gothic Book" w:hAnsi="Franklin Gothic Book"/>
          <w:sz w:val="20"/>
        </w:rPr>
        <w:t>percentuali</w:t>
      </w:r>
      <w:r>
        <w:rPr>
          <w:rFonts w:ascii="Franklin Gothic Book" w:hAnsi="Franklin Gothic Book"/>
          <w:spacing w:val="-12"/>
          <w:sz w:val="20"/>
        </w:rPr>
        <w:t> </w:t>
      </w:r>
      <w:r>
        <w:rPr>
          <w:rFonts w:ascii="Franklin Gothic Book" w:hAnsi="Franklin Gothic Book"/>
          <w:sz w:val="20"/>
        </w:rPr>
        <w:t>alla</w:t>
      </w:r>
      <w:r>
        <w:rPr>
          <w:rFonts w:ascii="Franklin Gothic Book" w:hAnsi="Franklin Gothic Book"/>
          <w:spacing w:val="-11"/>
          <w:sz w:val="20"/>
        </w:rPr>
        <w:t> </w:t>
      </w:r>
      <w:r>
        <w:rPr>
          <w:rFonts w:ascii="Franklin Gothic Book" w:hAnsi="Franklin Gothic Book"/>
          <w:sz w:val="20"/>
        </w:rPr>
        <w:t>componente</w:t>
      </w:r>
      <w:r>
        <w:rPr>
          <w:rFonts w:ascii="Franklin Gothic Book" w:hAnsi="Franklin Gothic Book"/>
          <w:spacing w:val="-12"/>
          <w:sz w:val="20"/>
        </w:rPr>
        <w:t> </w:t>
      </w:r>
      <w:r>
        <w:rPr>
          <w:rFonts w:ascii="Franklin Gothic Book" w:hAnsi="Franklin Gothic Book"/>
          <w:sz w:val="20"/>
        </w:rPr>
        <w:t>assistenziale</w:t>
      </w:r>
      <w:r>
        <w:rPr>
          <w:rFonts w:ascii="Franklin Gothic Book" w:hAnsi="Franklin Gothic Book"/>
          <w:spacing w:val="-8"/>
          <w:sz w:val="20"/>
        </w:rPr>
        <w:t> </w:t>
      </w:r>
      <w:r>
        <w:rPr>
          <w:rFonts w:ascii="Franklin Gothic Book" w:hAnsi="Franklin Gothic Book"/>
          <w:sz w:val="20"/>
        </w:rPr>
        <w:t>della</w:t>
      </w:r>
      <w:r>
        <w:rPr>
          <w:rFonts w:ascii="Franklin Gothic Book" w:hAnsi="Franklin Gothic Book"/>
          <w:spacing w:val="-12"/>
          <w:sz w:val="20"/>
        </w:rPr>
        <w:t> </w:t>
      </w:r>
      <w:r>
        <w:rPr>
          <w:rFonts w:ascii="Franklin Gothic Book" w:hAnsi="Franklin Gothic Book"/>
          <w:sz w:val="20"/>
        </w:rPr>
        <w:t>spesa</w:t>
      </w:r>
      <w:r>
        <w:rPr>
          <w:rFonts w:ascii="Franklin Gothic Book" w:hAnsi="Franklin Gothic Book"/>
          <w:spacing w:val="-10"/>
          <w:sz w:val="20"/>
        </w:rPr>
        <w:t> </w:t>
      </w:r>
      <w:r>
        <w:rPr>
          <w:rFonts w:ascii="Franklin Gothic Book" w:hAnsi="Franklin Gothic Book"/>
          <w:sz w:val="20"/>
        </w:rPr>
        <w:t>per</w:t>
      </w:r>
      <w:r>
        <w:rPr>
          <w:rFonts w:ascii="Franklin Gothic Book" w:hAnsi="Franklin Gothic Book"/>
          <w:spacing w:val="-13"/>
          <w:sz w:val="20"/>
        </w:rPr>
        <w:t> </w:t>
      </w:r>
      <w:r>
        <w:rPr>
          <w:rFonts w:ascii="Franklin Gothic Book" w:hAnsi="Franklin Gothic Book"/>
          <w:sz w:val="20"/>
        </w:rPr>
        <w:t>LTC,</w:t>
      </w:r>
      <w:r>
        <w:rPr>
          <w:rFonts w:ascii="Franklin Gothic Book" w:hAnsi="Franklin Gothic Book"/>
          <w:spacing w:val="-11"/>
          <w:sz w:val="20"/>
        </w:rPr>
        <w:t> </w:t>
      </w:r>
      <w:r>
        <w:rPr>
          <w:rFonts w:ascii="Franklin Gothic Book" w:hAnsi="Franklin Gothic Book"/>
          <w:sz w:val="20"/>
        </w:rPr>
        <w:t>a</w:t>
      </w:r>
      <w:r>
        <w:rPr>
          <w:rFonts w:ascii="Franklin Gothic Book" w:hAnsi="Franklin Gothic Book"/>
          <w:spacing w:val="-9"/>
          <w:sz w:val="20"/>
        </w:rPr>
        <w:t> </w:t>
      </w:r>
      <w:r>
        <w:rPr>
          <w:rFonts w:ascii="Franklin Gothic Book" w:hAnsi="Franklin Gothic Book"/>
          <w:sz w:val="20"/>
        </w:rPr>
        <w:t>fronte</w:t>
      </w:r>
      <w:r>
        <w:rPr>
          <w:rFonts w:ascii="Franklin Gothic Book" w:hAnsi="Franklin Gothic Book"/>
          <w:spacing w:val="-10"/>
          <w:sz w:val="20"/>
        </w:rPr>
        <w:t> </w:t>
      </w:r>
      <w:r>
        <w:rPr>
          <w:rFonts w:ascii="Franklin Gothic Book" w:hAnsi="Franklin Gothic Book"/>
          <w:sz w:val="20"/>
        </w:rPr>
        <w:t>di</w:t>
      </w:r>
      <w:r>
        <w:rPr>
          <w:rFonts w:ascii="Franklin Gothic Book" w:hAnsi="Franklin Gothic Book"/>
          <w:spacing w:val="-12"/>
          <w:sz w:val="20"/>
        </w:rPr>
        <w:t> </w:t>
      </w:r>
      <w:r>
        <w:rPr>
          <w:rFonts w:ascii="Franklin Gothic Book" w:hAnsi="Franklin Gothic Book"/>
          <w:sz w:val="20"/>
        </w:rPr>
        <w:t>una riduzione della spesa per istruzione e per ammortizzatori sociali in rapporto al</w:t>
      </w:r>
      <w:r>
        <w:rPr>
          <w:rFonts w:ascii="Franklin Gothic Book" w:hAnsi="Franklin Gothic Book"/>
          <w:spacing w:val="-13"/>
          <w:sz w:val="20"/>
        </w:rPr>
        <w:t> </w:t>
      </w:r>
      <w:r>
        <w:rPr>
          <w:rFonts w:ascii="Franklin Gothic Book" w:hAnsi="Franklin Gothic Book"/>
          <w:sz w:val="20"/>
        </w:rPr>
        <w:t>PIL.</w:t>
      </w:r>
    </w:p>
    <w:p>
      <w:pPr>
        <w:spacing w:line="254" w:lineRule="auto" w:before="58"/>
        <w:ind w:left="1630" w:right="1404" w:firstLine="0"/>
        <w:jc w:val="both"/>
        <w:rPr>
          <w:rFonts w:ascii="Franklin Gothic Book" w:hAnsi="Franklin Gothic Book"/>
          <w:sz w:val="20"/>
        </w:rPr>
      </w:pPr>
      <w:r>
        <w:rPr>
          <w:rFonts w:ascii="Franklin Gothic Book" w:hAnsi="Franklin Gothic Book"/>
          <w:sz w:val="20"/>
        </w:rPr>
        <w:t>Rispetto ai livelli massimi previsti nel 2044, l’incidenza del complesso della spesa pubblica </w:t>
      </w:r>
      <w:r>
        <w:rPr>
          <w:rFonts w:ascii="Franklin Gothic Book" w:hAnsi="Franklin Gothic Book"/>
          <w:i/>
          <w:sz w:val="20"/>
        </w:rPr>
        <w:t>age-related </w:t>
      </w:r>
      <w:r>
        <w:rPr>
          <w:rFonts w:ascii="Franklin Gothic Book" w:hAnsi="Franklin Gothic Book"/>
          <w:sz w:val="20"/>
        </w:rPr>
        <w:t>rispetto al PIL</w:t>
      </w:r>
      <w:r>
        <w:rPr>
          <w:rFonts w:ascii="Franklin Gothic Book" w:hAnsi="Franklin Gothic Book"/>
          <w:i/>
          <w:sz w:val="20"/>
        </w:rPr>
        <w:t>, </w:t>
      </w:r>
      <w:r>
        <w:rPr>
          <w:rFonts w:ascii="Franklin Gothic Book" w:hAnsi="Franklin Gothic Book"/>
          <w:sz w:val="20"/>
        </w:rPr>
        <w:t>si riduce progressivamente di circa 4 punti percentuali al 2070, grazie al contributo della spesa pensionistica in rapporto al PIL la cui incidenza si riduce dal 18,2 per cento nel 2044 al 13,7 per cento nel 2070. La rapida diminuzione del rapporto fra spesa pensionistica e PIL nella fase finale del periodo di previsione è determinata dall’applicazione generalizzata del calcolo contributivo che si accompagna alla stabilizzazione, e successiva inversione di tendenza, del rapporto fra numero di pensioni e numero di occupati. Tale andamento è dovuto sia all’adeguamento automatico dei requisiti minimi di pensionamento in funzione della speranza di vita che alla progressiva uscita delle generazioni del </w:t>
      </w:r>
      <w:r>
        <w:rPr>
          <w:rFonts w:ascii="Franklin Gothic Book" w:hAnsi="Franklin Gothic Book"/>
          <w:i/>
          <w:sz w:val="20"/>
        </w:rPr>
        <w:t>baby boom</w:t>
      </w:r>
      <w:r>
        <w:rPr>
          <w:rFonts w:ascii="Franklin Gothic Book" w:hAnsi="Franklin Gothic Book"/>
          <w:sz w:val="20"/>
        </w:rPr>
        <w:t>.</w:t>
      </w:r>
    </w:p>
    <w:p>
      <w:pPr>
        <w:pStyle w:val="BodyText"/>
        <w:spacing w:before="7"/>
        <w:rPr>
          <w:rFonts w:ascii="Franklin Gothic Book"/>
          <w:sz w:val="20"/>
        </w:rPr>
      </w:pPr>
    </w:p>
    <w:p>
      <w:pPr>
        <w:spacing w:line="186" w:lineRule="exact" w:before="100"/>
        <w:ind w:left="1661" w:right="0" w:firstLine="0"/>
        <w:jc w:val="both"/>
        <w:rPr>
          <w:rFonts w:ascii="Franklin Gothic Heavy" w:hAnsi="Franklin Gothic Heavy"/>
          <w:b/>
          <w:sz w:val="17"/>
        </w:rPr>
      </w:pPr>
      <w:r>
        <w:rPr>
          <w:rFonts w:ascii="Franklin Gothic Heavy" w:hAnsi="Franklin Gothic Heavy"/>
          <w:b/>
          <w:color w:val="EFEFEF"/>
          <w:sz w:val="17"/>
        </w:rPr>
        <w:t>TAVOLA R1: PREVISIONE DELLA SPESA PUBBLICA AGE-RELATED (pensioni, sanità, LTC, scuola ed</w:t>
      </w:r>
    </w:p>
    <w:p>
      <w:pPr>
        <w:spacing w:line="186" w:lineRule="exact" w:before="0"/>
        <w:ind w:left="1661" w:right="0" w:firstLine="0"/>
        <w:jc w:val="both"/>
        <w:rPr>
          <w:rFonts w:ascii="Franklin Gothic Heavy"/>
          <w:b/>
          <w:sz w:val="17"/>
        </w:rPr>
      </w:pPr>
      <w:r>
        <w:rPr>
          <w:rFonts w:ascii="Franklin Gothic Heavy"/>
          <w:b/>
          <w:color w:val="EFEFEF"/>
          <w:sz w:val="17"/>
        </w:rPr>
        <w:t>ammortizzatori sociali) IN PERCENTUALE DEL PIL - SCENARIO BASELINE EPC-WGA 2018</w:t>
      </w:r>
    </w:p>
    <w:p>
      <w:pPr>
        <w:pStyle w:val="BodyText"/>
        <w:spacing w:before="10"/>
        <w:rPr>
          <w:rFonts w:ascii="Franklin Gothic Heavy"/>
          <w:b/>
          <w:sz w:val="7"/>
        </w:rPr>
      </w:pPr>
    </w:p>
    <w:tbl>
      <w:tblPr>
        <w:tblW w:w="0" w:type="auto"/>
        <w:jc w:val="left"/>
        <w:tblInd w:w="1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87"/>
        <w:gridCol w:w="429"/>
        <w:gridCol w:w="429"/>
        <w:gridCol w:w="429"/>
        <w:gridCol w:w="428"/>
        <w:gridCol w:w="428"/>
        <w:gridCol w:w="428"/>
        <w:gridCol w:w="427"/>
        <w:gridCol w:w="427"/>
        <w:gridCol w:w="427"/>
        <w:gridCol w:w="427"/>
        <w:gridCol w:w="427"/>
        <w:gridCol w:w="427"/>
        <w:gridCol w:w="427"/>
      </w:tblGrid>
      <w:tr>
        <w:trPr>
          <w:trHeight w:val="518" w:hRule="atLeast"/>
        </w:trPr>
        <w:tc>
          <w:tcPr>
            <w:tcW w:w="2087" w:type="dxa"/>
            <w:tcBorders>
              <w:top w:val="single" w:sz="6" w:space="0" w:color="000000"/>
              <w:left w:val="single" w:sz="6" w:space="0" w:color="000000"/>
              <w:bottom w:val="single" w:sz="6" w:space="0" w:color="000000"/>
              <w:right w:val="single" w:sz="6" w:space="0" w:color="000000"/>
            </w:tcBorders>
            <w:shd w:val="clear" w:color="auto" w:fill="EFEFEF"/>
          </w:tcPr>
          <w:p>
            <w:pPr>
              <w:pStyle w:val="TableParagraph"/>
              <w:jc w:val="left"/>
              <w:rPr>
                <w:rFonts w:ascii="Times New Roman"/>
                <w:sz w:val="18"/>
              </w:rPr>
            </w:pPr>
          </w:p>
        </w:tc>
        <w:tc>
          <w:tcPr>
            <w:tcW w:w="429" w:type="dxa"/>
            <w:tcBorders>
              <w:top w:val="single" w:sz="6" w:space="0" w:color="000000"/>
              <w:left w:val="single" w:sz="6" w:space="0" w:color="000000"/>
              <w:bottom w:val="single" w:sz="6" w:space="0" w:color="000000"/>
              <w:right w:val="single" w:sz="6" w:space="0" w:color="000000"/>
            </w:tcBorders>
            <w:shd w:val="clear" w:color="auto" w:fill="EFEFEF"/>
          </w:tcPr>
          <w:p>
            <w:pPr>
              <w:pStyle w:val="TableParagraph"/>
              <w:spacing w:before="1"/>
              <w:jc w:val="left"/>
              <w:rPr>
                <w:rFonts w:ascii="Franklin Gothic Heavy"/>
                <w:b/>
                <w:sz w:val="16"/>
              </w:rPr>
            </w:pPr>
          </w:p>
          <w:p>
            <w:pPr>
              <w:pStyle w:val="TableParagraph"/>
              <w:ind w:right="37"/>
              <w:rPr>
                <w:rFonts w:ascii="Arial"/>
                <w:sz w:val="15"/>
              </w:rPr>
            </w:pPr>
            <w:r>
              <w:rPr>
                <w:rFonts w:ascii="Arial"/>
                <w:sz w:val="15"/>
              </w:rPr>
              <w:t>2010</w:t>
            </w:r>
          </w:p>
        </w:tc>
        <w:tc>
          <w:tcPr>
            <w:tcW w:w="429" w:type="dxa"/>
            <w:tcBorders>
              <w:top w:val="single" w:sz="6" w:space="0" w:color="000000"/>
              <w:left w:val="single" w:sz="6" w:space="0" w:color="000000"/>
              <w:bottom w:val="single" w:sz="6" w:space="0" w:color="000000"/>
              <w:right w:val="single" w:sz="6" w:space="0" w:color="000000"/>
            </w:tcBorders>
            <w:shd w:val="clear" w:color="auto" w:fill="EFEFEF"/>
          </w:tcPr>
          <w:p>
            <w:pPr>
              <w:pStyle w:val="TableParagraph"/>
              <w:spacing w:before="1"/>
              <w:jc w:val="left"/>
              <w:rPr>
                <w:rFonts w:ascii="Franklin Gothic Heavy"/>
                <w:b/>
                <w:sz w:val="16"/>
              </w:rPr>
            </w:pPr>
          </w:p>
          <w:p>
            <w:pPr>
              <w:pStyle w:val="TableParagraph"/>
              <w:ind w:left="24" w:right="14"/>
              <w:jc w:val="center"/>
              <w:rPr>
                <w:rFonts w:ascii="Arial"/>
                <w:sz w:val="15"/>
              </w:rPr>
            </w:pPr>
            <w:r>
              <w:rPr>
                <w:rFonts w:ascii="Arial"/>
                <w:sz w:val="15"/>
              </w:rPr>
              <w:t>2015</w:t>
            </w:r>
          </w:p>
        </w:tc>
        <w:tc>
          <w:tcPr>
            <w:tcW w:w="429" w:type="dxa"/>
            <w:tcBorders>
              <w:top w:val="single" w:sz="6" w:space="0" w:color="000000"/>
              <w:left w:val="single" w:sz="6" w:space="0" w:color="000000"/>
              <w:bottom w:val="single" w:sz="6" w:space="0" w:color="000000"/>
              <w:right w:val="single" w:sz="6" w:space="0" w:color="000000"/>
            </w:tcBorders>
            <w:shd w:val="clear" w:color="auto" w:fill="EFEFEF"/>
          </w:tcPr>
          <w:p>
            <w:pPr>
              <w:pStyle w:val="TableParagraph"/>
              <w:spacing w:before="1"/>
              <w:jc w:val="left"/>
              <w:rPr>
                <w:rFonts w:ascii="Franklin Gothic Heavy"/>
                <w:b/>
                <w:sz w:val="16"/>
              </w:rPr>
            </w:pPr>
          </w:p>
          <w:p>
            <w:pPr>
              <w:pStyle w:val="TableParagraph"/>
              <w:ind w:left="24" w:right="15"/>
              <w:jc w:val="center"/>
              <w:rPr>
                <w:rFonts w:ascii="Arial"/>
                <w:sz w:val="15"/>
              </w:rPr>
            </w:pPr>
            <w:r>
              <w:rPr>
                <w:rFonts w:ascii="Arial"/>
                <w:sz w:val="15"/>
              </w:rPr>
              <w:t>2020</w:t>
            </w:r>
          </w:p>
        </w:tc>
        <w:tc>
          <w:tcPr>
            <w:tcW w:w="428" w:type="dxa"/>
            <w:tcBorders>
              <w:top w:val="single" w:sz="6" w:space="0" w:color="000000"/>
              <w:left w:val="single" w:sz="6" w:space="0" w:color="000000"/>
              <w:bottom w:val="single" w:sz="6" w:space="0" w:color="000000"/>
              <w:right w:val="single" w:sz="6" w:space="0" w:color="000000"/>
            </w:tcBorders>
            <w:shd w:val="clear" w:color="auto" w:fill="EFEFEF"/>
          </w:tcPr>
          <w:p>
            <w:pPr>
              <w:pStyle w:val="TableParagraph"/>
              <w:spacing w:before="1"/>
              <w:jc w:val="left"/>
              <w:rPr>
                <w:rFonts w:ascii="Franklin Gothic Heavy"/>
                <w:b/>
                <w:sz w:val="16"/>
              </w:rPr>
            </w:pPr>
          </w:p>
          <w:p>
            <w:pPr>
              <w:pStyle w:val="TableParagraph"/>
              <w:ind w:right="36"/>
              <w:rPr>
                <w:rFonts w:ascii="Arial"/>
                <w:sz w:val="15"/>
              </w:rPr>
            </w:pPr>
            <w:r>
              <w:rPr>
                <w:rFonts w:ascii="Arial"/>
                <w:sz w:val="15"/>
              </w:rPr>
              <w:t>2025</w:t>
            </w:r>
          </w:p>
        </w:tc>
        <w:tc>
          <w:tcPr>
            <w:tcW w:w="428" w:type="dxa"/>
            <w:tcBorders>
              <w:top w:val="single" w:sz="6" w:space="0" w:color="000000"/>
              <w:left w:val="single" w:sz="6" w:space="0" w:color="000000"/>
              <w:bottom w:val="single" w:sz="6" w:space="0" w:color="000000"/>
              <w:right w:val="single" w:sz="6" w:space="0" w:color="000000"/>
            </w:tcBorders>
            <w:shd w:val="clear" w:color="auto" w:fill="EFEFEF"/>
          </w:tcPr>
          <w:p>
            <w:pPr>
              <w:pStyle w:val="TableParagraph"/>
              <w:spacing w:before="1"/>
              <w:jc w:val="left"/>
              <w:rPr>
                <w:rFonts w:ascii="Franklin Gothic Heavy"/>
                <w:b/>
                <w:sz w:val="16"/>
              </w:rPr>
            </w:pPr>
          </w:p>
          <w:p>
            <w:pPr>
              <w:pStyle w:val="TableParagraph"/>
              <w:ind w:left="24" w:right="12"/>
              <w:jc w:val="center"/>
              <w:rPr>
                <w:rFonts w:ascii="Arial"/>
                <w:sz w:val="15"/>
              </w:rPr>
            </w:pPr>
            <w:r>
              <w:rPr>
                <w:rFonts w:ascii="Arial"/>
                <w:sz w:val="15"/>
              </w:rPr>
              <w:t>2030</w:t>
            </w:r>
          </w:p>
        </w:tc>
        <w:tc>
          <w:tcPr>
            <w:tcW w:w="428" w:type="dxa"/>
            <w:tcBorders>
              <w:top w:val="single" w:sz="6" w:space="0" w:color="000000"/>
              <w:left w:val="single" w:sz="6" w:space="0" w:color="000000"/>
              <w:bottom w:val="single" w:sz="6" w:space="0" w:color="000000"/>
              <w:right w:val="single" w:sz="6" w:space="0" w:color="000000"/>
            </w:tcBorders>
            <w:shd w:val="clear" w:color="auto" w:fill="EFEFEF"/>
          </w:tcPr>
          <w:p>
            <w:pPr>
              <w:pStyle w:val="TableParagraph"/>
              <w:spacing w:before="1"/>
              <w:jc w:val="left"/>
              <w:rPr>
                <w:rFonts w:ascii="Franklin Gothic Heavy"/>
                <w:b/>
                <w:sz w:val="16"/>
              </w:rPr>
            </w:pPr>
          </w:p>
          <w:p>
            <w:pPr>
              <w:pStyle w:val="TableParagraph"/>
              <w:ind w:left="25" w:right="11"/>
              <w:jc w:val="center"/>
              <w:rPr>
                <w:rFonts w:ascii="Arial"/>
                <w:sz w:val="15"/>
              </w:rPr>
            </w:pPr>
            <w:r>
              <w:rPr>
                <w:rFonts w:ascii="Arial"/>
                <w:sz w:val="15"/>
              </w:rPr>
              <w:t>2035</w:t>
            </w:r>
          </w:p>
        </w:tc>
        <w:tc>
          <w:tcPr>
            <w:tcW w:w="427" w:type="dxa"/>
            <w:tcBorders>
              <w:top w:val="single" w:sz="6" w:space="0" w:color="000000"/>
              <w:left w:val="single" w:sz="6" w:space="0" w:color="000000"/>
              <w:bottom w:val="single" w:sz="6" w:space="0" w:color="000000"/>
              <w:right w:val="single" w:sz="6" w:space="0" w:color="000000"/>
            </w:tcBorders>
            <w:shd w:val="clear" w:color="auto" w:fill="EFEFEF"/>
          </w:tcPr>
          <w:p>
            <w:pPr>
              <w:pStyle w:val="TableParagraph"/>
              <w:spacing w:before="1"/>
              <w:jc w:val="left"/>
              <w:rPr>
                <w:rFonts w:ascii="Franklin Gothic Heavy"/>
                <w:b/>
                <w:sz w:val="16"/>
              </w:rPr>
            </w:pPr>
          </w:p>
          <w:p>
            <w:pPr>
              <w:pStyle w:val="TableParagraph"/>
              <w:ind w:left="17"/>
              <w:jc w:val="center"/>
              <w:rPr>
                <w:rFonts w:ascii="Arial"/>
                <w:sz w:val="15"/>
              </w:rPr>
            </w:pPr>
            <w:r>
              <w:rPr>
                <w:rFonts w:ascii="Arial"/>
                <w:sz w:val="15"/>
              </w:rPr>
              <w:t>2040</w:t>
            </w:r>
          </w:p>
        </w:tc>
        <w:tc>
          <w:tcPr>
            <w:tcW w:w="427" w:type="dxa"/>
            <w:tcBorders>
              <w:top w:val="single" w:sz="6" w:space="0" w:color="000000"/>
              <w:left w:val="single" w:sz="6" w:space="0" w:color="000000"/>
              <w:bottom w:val="single" w:sz="6" w:space="0" w:color="000000"/>
              <w:right w:val="single" w:sz="6" w:space="0" w:color="000000"/>
            </w:tcBorders>
            <w:shd w:val="clear" w:color="auto" w:fill="EFEFEF"/>
          </w:tcPr>
          <w:p>
            <w:pPr>
              <w:pStyle w:val="TableParagraph"/>
              <w:spacing w:before="1"/>
              <w:jc w:val="left"/>
              <w:rPr>
                <w:rFonts w:ascii="Franklin Gothic Heavy"/>
                <w:b/>
                <w:sz w:val="16"/>
              </w:rPr>
            </w:pPr>
          </w:p>
          <w:p>
            <w:pPr>
              <w:pStyle w:val="TableParagraph"/>
              <w:ind w:left="54"/>
              <w:jc w:val="left"/>
              <w:rPr>
                <w:rFonts w:ascii="Arial"/>
                <w:sz w:val="15"/>
              </w:rPr>
            </w:pPr>
            <w:r>
              <w:rPr>
                <w:rFonts w:ascii="Arial"/>
                <w:sz w:val="15"/>
              </w:rPr>
              <w:t>2045</w:t>
            </w:r>
          </w:p>
        </w:tc>
        <w:tc>
          <w:tcPr>
            <w:tcW w:w="427" w:type="dxa"/>
            <w:tcBorders>
              <w:top w:val="single" w:sz="6" w:space="0" w:color="000000"/>
              <w:left w:val="single" w:sz="6" w:space="0" w:color="000000"/>
              <w:bottom w:val="single" w:sz="6" w:space="0" w:color="000000"/>
              <w:right w:val="single" w:sz="6" w:space="0" w:color="000000"/>
            </w:tcBorders>
            <w:shd w:val="clear" w:color="auto" w:fill="EFEFEF"/>
          </w:tcPr>
          <w:p>
            <w:pPr>
              <w:pStyle w:val="TableParagraph"/>
              <w:spacing w:before="1"/>
              <w:jc w:val="left"/>
              <w:rPr>
                <w:rFonts w:ascii="Franklin Gothic Heavy"/>
                <w:b/>
                <w:sz w:val="16"/>
              </w:rPr>
            </w:pPr>
          </w:p>
          <w:p>
            <w:pPr>
              <w:pStyle w:val="TableParagraph"/>
              <w:ind w:left="56"/>
              <w:jc w:val="left"/>
              <w:rPr>
                <w:rFonts w:ascii="Arial"/>
                <w:sz w:val="15"/>
              </w:rPr>
            </w:pPr>
            <w:r>
              <w:rPr>
                <w:rFonts w:ascii="Arial"/>
                <w:sz w:val="15"/>
              </w:rPr>
              <w:t>2050</w:t>
            </w:r>
          </w:p>
        </w:tc>
        <w:tc>
          <w:tcPr>
            <w:tcW w:w="427" w:type="dxa"/>
            <w:tcBorders>
              <w:top w:val="single" w:sz="6" w:space="0" w:color="000000"/>
              <w:left w:val="single" w:sz="6" w:space="0" w:color="000000"/>
              <w:bottom w:val="single" w:sz="6" w:space="0" w:color="000000"/>
              <w:right w:val="single" w:sz="6" w:space="0" w:color="000000"/>
            </w:tcBorders>
            <w:shd w:val="clear" w:color="auto" w:fill="EFEFEF"/>
          </w:tcPr>
          <w:p>
            <w:pPr>
              <w:pStyle w:val="TableParagraph"/>
              <w:spacing w:before="1"/>
              <w:jc w:val="left"/>
              <w:rPr>
                <w:rFonts w:ascii="Franklin Gothic Heavy"/>
                <w:b/>
                <w:sz w:val="16"/>
              </w:rPr>
            </w:pPr>
          </w:p>
          <w:p>
            <w:pPr>
              <w:pStyle w:val="TableParagraph"/>
              <w:ind w:left="29"/>
              <w:jc w:val="center"/>
              <w:rPr>
                <w:rFonts w:ascii="Arial"/>
                <w:sz w:val="15"/>
              </w:rPr>
            </w:pPr>
            <w:r>
              <w:rPr>
                <w:rFonts w:ascii="Arial"/>
                <w:sz w:val="15"/>
              </w:rPr>
              <w:t>2055</w:t>
            </w:r>
          </w:p>
        </w:tc>
        <w:tc>
          <w:tcPr>
            <w:tcW w:w="427" w:type="dxa"/>
            <w:tcBorders>
              <w:top w:val="single" w:sz="6" w:space="0" w:color="000000"/>
              <w:left w:val="single" w:sz="6" w:space="0" w:color="000000"/>
              <w:bottom w:val="single" w:sz="6" w:space="0" w:color="000000"/>
              <w:right w:val="single" w:sz="6" w:space="0" w:color="000000"/>
            </w:tcBorders>
            <w:shd w:val="clear" w:color="auto" w:fill="EFEFEF"/>
          </w:tcPr>
          <w:p>
            <w:pPr>
              <w:pStyle w:val="TableParagraph"/>
              <w:spacing w:before="1"/>
              <w:jc w:val="left"/>
              <w:rPr>
                <w:rFonts w:ascii="Franklin Gothic Heavy"/>
                <w:b/>
                <w:sz w:val="16"/>
              </w:rPr>
            </w:pPr>
          </w:p>
          <w:p>
            <w:pPr>
              <w:pStyle w:val="TableParagraph"/>
              <w:ind w:left="60"/>
              <w:jc w:val="left"/>
              <w:rPr>
                <w:rFonts w:ascii="Arial"/>
                <w:sz w:val="15"/>
              </w:rPr>
            </w:pPr>
            <w:r>
              <w:rPr>
                <w:rFonts w:ascii="Arial"/>
                <w:sz w:val="15"/>
              </w:rPr>
              <w:t>2060</w:t>
            </w:r>
          </w:p>
        </w:tc>
        <w:tc>
          <w:tcPr>
            <w:tcW w:w="427" w:type="dxa"/>
            <w:tcBorders>
              <w:top w:val="single" w:sz="6" w:space="0" w:color="000000"/>
              <w:left w:val="single" w:sz="6" w:space="0" w:color="000000"/>
              <w:bottom w:val="single" w:sz="6" w:space="0" w:color="000000"/>
              <w:right w:val="single" w:sz="6" w:space="0" w:color="000000"/>
            </w:tcBorders>
            <w:shd w:val="clear" w:color="auto" w:fill="EFEFEF"/>
          </w:tcPr>
          <w:p>
            <w:pPr>
              <w:pStyle w:val="TableParagraph"/>
              <w:spacing w:before="1"/>
              <w:jc w:val="left"/>
              <w:rPr>
                <w:rFonts w:ascii="Franklin Gothic Heavy"/>
                <w:b/>
                <w:sz w:val="16"/>
              </w:rPr>
            </w:pPr>
          </w:p>
          <w:p>
            <w:pPr>
              <w:pStyle w:val="TableParagraph"/>
              <w:ind w:right="23"/>
              <w:rPr>
                <w:rFonts w:ascii="Arial"/>
                <w:sz w:val="15"/>
              </w:rPr>
            </w:pPr>
            <w:r>
              <w:rPr>
                <w:rFonts w:ascii="Arial"/>
                <w:sz w:val="15"/>
              </w:rPr>
              <w:t>2065</w:t>
            </w:r>
          </w:p>
        </w:tc>
        <w:tc>
          <w:tcPr>
            <w:tcW w:w="427" w:type="dxa"/>
            <w:tcBorders>
              <w:top w:val="single" w:sz="6" w:space="0" w:color="000000"/>
              <w:left w:val="single" w:sz="6" w:space="0" w:color="000000"/>
              <w:bottom w:val="single" w:sz="6" w:space="0" w:color="000000"/>
              <w:right w:val="single" w:sz="6" w:space="0" w:color="000000"/>
            </w:tcBorders>
            <w:shd w:val="clear" w:color="auto" w:fill="EFEFEF"/>
          </w:tcPr>
          <w:p>
            <w:pPr>
              <w:pStyle w:val="TableParagraph"/>
              <w:spacing w:before="1"/>
              <w:jc w:val="left"/>
              <w:rPr>
                <w:rFonts w:ascii="Franklin Gothic Heavy"/>
                <w:b/>
                <w:sz w:val="16"/>
              </w:rPr>
            </w:pPr>
          </w:p>
          <w:p>
            <w:pPr>
              <w:pStyle w:val="TableParagraph"/>
              <w:ind w:left="40"/>
              <w:jc w:val="center"/>
              <w:rPr>
                <w:rFonts w:ascii="Arial"/>
                <w:sz w:val="15"/>
              </w:rPr>
            </w:pPr>
            <w:r>
              <w:rPr>
                <w:rFonts w:ascii="Arial"/>
                <w:sz w:val="15"/>
              </w:rPr>
              <w:t>2070</w:t>
            </w:r>
          </w:p>
        </w:tc>
      </w:tr>
      <w:tr>
        <w:trPr>
          <w:trHeight w:val="479" w:hRule="atLeast"/>
        </w:trPr>
        <w:tc>
          <w:tcPr>
            <w:tcW w:w="2087" w:type="dxa"/>
            <w:tcBorders>
              <w:top w:val="single" w:sz="6" w:space="0" w:color="000000"/>
              <w:left w:val="single" w:sz="6" w:space="0" w:color="000000"/>
              <w:right w:val="single" w:sz="6" w:space="0" w:color="000000"/>
            </w:tcBorders>
            <w:shd w:val="clear" w:color="auto" w:fill="EFEFEF"/>
          </w:tcPr>
          <w:p>
            <w:pPr>
              <w:pStyle w:val="TableParagraph"/>
              <w:spacing w:before="1"/>
              <w:jc w:val="left"/>
              <w:rPr>
                <w:rFonts w:ascii="Franklin Gothic Heavy"/>
                <w:b/>
                <w:sz w:val="20"/>
              </w:rPr>
            </w:pPr>
          </w:p>
          <w:p>
            <w:pPr>
              <w:pStyle w:val="TableParagraph"/>
              <w:spacing w:before="1"/>
              <w:ind w:left="27"/>
              <w:jc w:val="left"/>
              <w:rPr>
                <w:rFonts w:ascii="Arial"/>
                <w:sz w:val="15"/>
              </w:rPr>
            </w:pPr>
            <w:r>
              <w:rPr>
                <w:rFonts w:ascii="Arial"/>
                <w:sz w:val="15"/>
              </w:rPr>
              <w:t>Pensioni</w:t>
            </w:r>
          </w:p>
        </w:tc>
        <w:tc>
          <w:tcPr>
            <w:tcW w:w="429" w:type="dxa"/>
            <w:tcBorders>
              <w:top w:val="single" w:sz="6" w:space="0" w:color="000000"/>
              <w:left w:val="single" w:sz="6" w:space="0" w:color="000000"/>
            </w:tcBorders>
            <w:shd w:val="clear" w:color="auto" w:fill="EFEFEF"/>
          </w:tcPr>
          <w:p>
            <w:pPr>
              <w:pStyle w:val="TableParagraph"/>
              <w:spacing w:before="1"/>
              <w:jc w:val="left"/>
              <w:rPr>
                <w:rFonts w:ascii="Franklin Gothic Heavy"/>
                <w:b/>
                <w:sz w:val="20"/>
              </w:rPr>
            </w:pPr>
          </w:p>
          <w:p>
            <w:pPr>
              <w:pStyle w:val="TableParagraph"/>
              <w:spacing w:before="1"/>
              <w:ind w:right="65"/>
              <w:rPr>
                <w:rFonts w:ascii="Arial"/>
                <w:sz w:val="15"/>
              </w:rPr>
            </w:pPr>
            <w:r>
              <w:rPr>
                <w:rFonts w:ascii="Arial"/>
                <w:sz w:val="15"/>
              </w:rPr>
              <w:t>14,7</w:t>
            </w:r>
          </w:p>
        </w:tc>
        <w:tc>
          <w:tcPr>
            <w:tcW w:w="429" w:type="dxa"/>
            <w:tcBorders>
              <w:top w:val="single" w:sz="6" w:space="0" w:color="000000"/>
            </w:tcBorders>
            <w:shd w:val="clear" w:color="auto" w:fill="EFEFEF"/>
          </w:tcPr>
          <w:p>
            <w:pPr>
              <w:pStyle w:val="TableParagraph"/>
              <w:spacing w:before="1"/>
              <w:jc w:val="left"/>
              <w:rPr>
                <w:rFonts w:ascii="Franklin Gothic Heavy"/>
                <w:b/>
                <w:sz w:val="20"/>
              </w:rPr>
            </w:pPr>
          </w:p>
          <w:p>
            <w:pPr>
              <w:pStyle w:val="TableParagraph"/>
              <w:spacing w:before="1"/>
              <w:ind w:left="49" w:right="48"/>
              <w:jc w:val="center"/>
              <w:rPr>
                <w:rFonts w:ascii="Arial"/>
                <w:sz w:val="15"/>
              </w:rPr>
            </w:pPr>
            <w:r>
              <w:rPr>
                <w:rFonts w:ascii="Arial"/>
                <w:sz w:val="15"/>
              </w:rPr>
              <w:t>15,6</w:t>
            </w:r>
          </w:p>
        </w:tc>
        <w:tc>
          <w:tcPr>
            <w:tcW w:w="429" w:type="dxa"/>
            <w:tcBorders>
              <w:top w:val="single" w:sz="6" w:space="0" w:color="000000"/>
            </w:tcBorders>
            <w:shd w:val="clear" w:color="auto" w:fill="EFEFEF"/>
          </w:tcPr>
          <w:p>
            <w:pPr>
              <w:pStyle w:val="TableParagraph"/>
              <w:spacing w:before="1"/>
              <w:jc w:val="left"/>
              <w:rPr>
                <w:rFonts w:ascii="Franklin Gothic Heavy"/>
                <w:b/>
                <w:sz w:val="20"/>
              </w:rPr>
            </w:pPr>
          </w:p>
          <w:p>
            <w:pPr>
              <w:pStyle w:val="TableParagraph"/>
              <w:spacing w:before="1"/>
              <w:ind w:left="49" w:right="48"/>
              <w:jc w:val="center"/>
              <w:rPr>
                <w:rFonts w:ascii="Arial"/>
                <w:sz w:val="15"/>
              </w:rPr>
            </w:pPr>
            <w:r>
              <w:rPr>
                <w:rFonts w:ascii="Arial"/>
                <w:sz w:val="15"/>
              </w:rPr>
              <w:t>15,6</w:t>
            </w:r>
          </w:p>
        </w:tc>
        <w:tc>
          <w:tcPr>
            <w:tcW w:w="428" w:type="dxa"/>
            <w:tcBorders>
              <w:top w:val="single" w:sz="6" w:space="0" w:color="000000"/>
            </w:tcBorders>
            <w:shd w:val="clear" w:color="auto" w:fill="EFEFEF"/>
          </w:tcPr>
          <w:p>
            <w:pPr>
              <w:pStyle w:val="TableParagraph"/>
              <w:spacing w:before="1"/>
              <w:jc w:val="left"/>
              <w:rPr>
                <w:rFonts w:ascii="Franklin Gothic Heavy"/>
                <w:b/>
                <w:sz w:val="20"/>
              </w:rPr>
            </w:pPr>
          </w:p>
          <w:p>
            <w:pPr>
              <w:pStyle w:val="TableParagraph"/>
              <w:spacing w:before="1"/>
              <w:ind w:right="64"/>
              <w:rPr>
                <w:rFonts w:ascii="Arial"/>
                <w:sz w:val="15"/>
              </w:rPr>
            </w:pPr>
            <w:r>
              <w:rPr>
                <w:rFonts w:ascii="Arial"/>
                <w:sz w:val="15"/>
              </w:rPr>
              <w:t>15,9</w:t>
            </w:r>
          </w:p>
        </w:tc>
        <w:tc>
          <w:tcPr>
            <w:tcW w:w="428" w:type="dxa"/>
            <w:tcBorders>
              <w:top w:val="single" w:sz="6" w:space="0" w:color="000000"/>
            </w:tcBorders>
            <w:shd w:val="clear" w:color="auto" w:fill="EFEFEF"/>
          </w:tcPr>
          <w:p>
            <w:pPr>
              <w:pStyle w:val="TableParagraph"/>
              <w:spacing w:before="1"/>
              <w:jc w:val="left"/>
              <w:rPr>
                <w:rFonts w:ascii="Franklin Gothic Heavy"/>
                <w:b/>
                <w:sz w:val="20"/>
              </w:rPr>
            </w:pPr>
          </w:p>
          <w:p>
            <w:pPr>
              <w:pStyle w:val="TableParagraph"/>
              <w:spacing w:before="1"/>
              <w:ind w:left="48" w:right="45"/>
              <w:jc w:val="center"/>
              <w:rPr>
                <w:rFonts w:ascii="Arial"/>
                <w:sz w:val="15"/>
              </w:rPr>
            </w:pPr>
            <w:r>
              <w:rPr>
                <w:rFonts w:ascii="Arial"/>
                <w:sz w:val="15"/>
              </w:rPr>
              <w:t>16,9</w:t>
            </w:r>
          </w:p>
        </w:tc>
        <w:tc>
          <w:tcPr>
            <w:tcW w:w="428" w:type="dxa"/>
            <w:tcBorders>
              <w:top w:val="single" w:sz="6" w:space="0" w:color="000000"/>
            </w:tcBorders>
            <w:shd w:val="clear" w:color="auto" w:fill="EFEFEF"/>
          </w:tcPr>
          <w:p>
            <w:pPr>
              <w:pStyle w:val="TableParagraph"/>
              <w:spacing w:before="1"/>
              <w:jc w:val="left"/>
              <w:rPr>
                <w:rFonts w:ascii="Franklin Gothic Heavy"/>
                <w:b/>
                <w:sz w:val="20"/>
              </w:rPr>
            </w:pPr>
          </w:p>
          <w:p>
            <w:pPr>
              <w:pStyle w:val="TableParagraph"/>
              <w:spacing w:before="1"/>
              <w:ind w:left="49" w:right="44"/>
              <w:jc w:val="center"/>
              <w:rPr>
                <w:rFonts w:ascii="Arial"/>
                <w:sz w:val="15"/>
              </w:rPr>
            </w:pPr>
            <w:r>
              <w:rPr>
                <w:rFonts w:ascii="Arial"/>
                <w:sz w:val="15"/>
              </w:rPr>
              <w:t>17,9</w:t>
            </w:r>
          </w:p>
        </w:tc>
        <w:tc>
          <w:tcPr>
            <w:tcW w:w="427" w:type="dxa"/>
            <w:tcBorders>
              <w:top w:val="single" w:sz="6" w:space="0" w:color="000000"/>
            </w:tcBorders>
            <w:shd w:val="clear" w:color="auto" w:fill="EFEFEF"/>
          </w:tcPr>
          <w:p>
            <w:pPr>
              <w:pStyle w:val="TableParagraph"/>
              <w:spacing w:before="1"/>
              <w:jc w:val="left"/>
              <w:rPr>
                <w:rFonts w:ascii="Franklin Gothic Heavy"/>
                <w:b/>
                <w:sz w:val="20"/>
              </w:rPr>
            </w:pPr>
          </w:p>
          <w:p>
            <w:pPr>
              <w:pStyle w:val="TableParagraph"/>
              <w:spacing w:before="1"/>
              <w:ind w:left="46" w:right="37"/>
              <w:jc w:val="center"/>
              <w:rPr>
                <w:rFonts w:ascii="Arial"/>
                <w:sz w:val="15"/>
              </w:rPr>
            </w:pPr>
            <w:r>
              <w:rPr>
                <w:rFonts w:ascii="Arial"/>
                <w:sz w:val="15"/>
              </w:rPr>
              <w:t>18,3</w:t>
            </w:r>
          </w:p>
        </w:tc>
        <w:tc>
          <w:tcPr>
            <w:tcW w:w="427" w:type="dxa"/>
            <w:tcBorders>
              <w:top w:val="single" w:sz="6" w:space="0" w:color="000000"/>
            </w:tcBorders>
            <w:shd w:val="clear" w:color="auto" w:fill="EFEFEF"/>
          </w:tcPr>
          <w:p>
            <w:pPr>
              <w:pStyle w:val="TableParagraph"/>
              <w:spacing w:before="1"/>
              <w:jc w:val="left"/>
              <w:rPr>
                <w:rFonts w:ascii="Franklin Gothic Heavy"/>
                <w:b/>
                <w:sz w:val="20"/>
              </w:rPr>
            </w:pPr>
          </w:p>
          <w:p>
            <w:pPr>
              <w:pStyle w:val="TableParagraph"/>
              <w:spacing w:before="1"/>
              <w:ind w:left="73"/>
              <w:jc w:val="left"/>
              <w:rPr>
                <w:rFonts w:ascii="Arial"/>
                <w:sz w:val="15"/>
              </w:rPr>
            </w:pPr>
            <w:r>
              <w:rPr>
                <w:rFonts w:ascii="Arial"/>
                <w:sz w:val="15"/>
              </w:rPr>
              <w:t>18,1</w:t>
            </w:r>
          </w:p>
        </w:tc>
        <w:tc>
          <w:tcPr>
            <w:tcW w:w="427" w:type="dxa"/>
            <w:tcBorders>
              <w:top w:val="single" w:sz="6" w:space="0" w:color="000000"/>
            </w:tcBorders>
            <w:shd w:val="clear" w:color="auto" w:fill="EFEFEF"/>
          </w:tcPr>
          <w:p>
            <w:pPr>
              <w:pStyle w:val="TableParagraph"/>
              <w:spacing w:before="1"/>
              <w:jc w:val="left"/>
              <w:rPr>
                <w:rFonts w:ascii="Franklin Gothic Heavy"/>
                <w:b/>
                <w:sz w:val="20"/>
              </w:rPr>
            </w:pPr>
          </w:p>
          <w:p>
            <w:pPr>
              <w:pStyle w:val="TableParagraph"/>
              <w:spacing w:before="1"/>
              <w:ind w:left="75"/>
              <w:jc w:val="left"/>
              <w:rPr>
                <w:rFonts w:ascii="Arial"/>
                <w:sz w:val="15"/>
              </w:rPr>
            </w:pPr>
            <w:r>
              <w:rPr>
                <w:rFonts w:ascii="Arial"/>
                <w:sz w:val="15"/>
              </w:rPr>
              <w:t>16,9</w:t>
            </w:r>
          </w:p>
        </w:tc>
        <w:tc>
          <w:tcPr>
            <w:tcW w:w="427" w:type="dxa"/>
            <w:tcBorders>
              <w:top w:val="single" w:sz="6" w:space="0" w:color="000000"/>
            </w:tcBorders>
            <w:shd w:val="clear" w:color="auto" w:fill="EFEFEF"/>
          </w:tcPr>
          <w:p>
            <w:pPr>
              <w:pStyle w:val="TableParagraph"/>
              <w:spacing w:before="1"/>
              <w:jc w:val="left"/>
              <w:rPr>
                <w:rFonts w:ascii="Franklin Gothic Heavy"/>
                <w:b/>
                <w:sz w:val="20"/>
              </w:rPr>
            </w:pPr>
          </w:p>
          <w:p>
            <w:pPr>
              <w:pStyle w:val="TableParagraph"/>
              <w:spacing w:before="1"/>
              <w:ind w:left="52" w:right="32"/>
              <w:jc w:val="center"/>
              <w:rPr>
                <w:rFonts w:ascii="Arial"/>
                <w:sz w:val="15"/>
              </w:rPr>
            </w:pPr>
            <w:r>
              <w:rPr>
                <w:rFonts w:ascii="Arial"/>
                <w:sz w:val="15"/>
              </w:rPr>
              <w:t>15,5</w:t>
            </w:r>
          </w:p>
        </w:tc>
        <w:tc>
          <w:tcPr>
            <w:tcW w:w="427" w:type="dxa"/>
            <w:tcBorders>
              <w:top w:val="single" w:sz="6" w:space="0" w:color="000000"/>
            </w:tcBorders>
            <w:shd w:val="clear" w:color="auto" w:fill="EFEFEF"/>
          </w:tcPr>
          <w:p>
            <w:pPr>
              <w:pStyle w:val="TableParagraph"/>
              <w:spacing w:before="1"/>
              <w:jc w:val="left"/>
              <w:rPr>
                <w:rFonts w:ascii="Franklin Gothic Heavy"/>
                <w:b/>
                <w:sz w:val="20"/>
              </w:rPr>
            </w:pPr>
          </w:p>
          <w:p>
            <w:pPr>
              <w:pStyle w:val="TableParagraph"/>
              <w:spacing w:before="1"/>
              <w:ind w:left="79"/>
              <w:jc w:val="left"/>
              <w:rPr>
                <w:rFonts w:ascii="Arial"/>
                <w:sz w:val="15"/>
              </w:rPr>
            </w:pPr>
            <w:r>
              <w:rPr>
                <w:rFonts w:ascii="Arial"/>
                <w:sz w:val="15"/>
              </w:rPr>
              <w:t>14,6</w:t>
            </w:r>
          </w:p>
        </w:tc>
        <w:tc>
          <w:tcPr>
            <w:tcW w:w="427" w:type="dxa"/>
            <w:tcBorders>
              <w:top w:val="single" w:sz="6" w:space="0" w:color="000000"/>
            </w:tcBorders>
            <w:shd w:val="clear" w:color="auto" w:fill="EFEFEF"/>
          </w:tcPr>
          <w:p>
            <w:pPr>
              <w:pStyle w:val="TableParagraph"/>
              <w:spacing w:before="1"/>
              <w:jc w:val="left"/>
              <w:rPr>
                <w:rFonts w:ascii="Franklin Gothic Heavy"/>
                <w:b/>
                <w:sz w:val="20"/>
              </w:rPr>
            </w:pPr>
          </w:p>
          <w:p>
            <w:pPr>
              <w:pStyle w:val="TableParagraph"/>
              <w:spacing w:before="1"/>
              <w:ind w:right="51"/>
              <w:rPr>
                <w:rFonts w:ascii="Arial"/>
                <w:sz w:val="15"/>
              </w:rPr>
            </w:pPr>
            <w:r>
              <w:rPr>
                <w:rFonts w:ascii="Arial"/>
                <w:sz w:val="15"/>
              </w:rPr>
              <w:t>14,0</w:t>
            </w:r>
          </w:p>
        </w:tc>
        <w:tc>
          <w:tcPr>
            <w:tcW w:w="427" w:type="dxa"/>
            <w:tcBorders>
              <w:top w:val="single" w:sz="6" w:space="0" w:color="000000"/>
              <w:right w:val="single" w:sz="6" w:space="0" w:color="000000"/>
            </w:tcBorders>
            <w:shd w:val="clear" w:color="auto" w:fill="EFEFEF"/>
          </w:tcPr>
          <w:p>
            <w:pPr>
              <w:pStyle w:val="TableParagraph"/>
              <w:spacing w:before="1"/>
              <w:jc w:val="left"/>
              <w:rPr>
                <w:rFonts w:ascii="Franklin Gothic Heavy"/>
                <w:b/>
                <w:sz w:val="20"/>
              </w:rPr>
            </w:pPr>
          </w:p>
          <w:p>
            <w:pPr>
              <w:pStyle w:val="TableParagraph"/>
              <w:spacing w:before="1"/>
              <w:ind w:left="63" w:right="24"/>
              <w:jc w:val="center"/>
              <w:rPr>
                <w:rFonts w:ascii="Arial"/>
                <w:sz w:val="15"/>
              </w:rPr>
            </w:pPr>
            <w:r>
              <w:rPr>
                <w:rFonts w:ascii="Arial"/>
                <w:sz w:val="15"/>
              </w:rPr>
              <w:t>13,7</w:t>
            </w:r>
          </w:p>
        </w:tc>
      </w:tr>
      <w:tr>
        <w:trPr>
          <w:trHeight w:val="359" w:hRule="atLeast"/>
        </w:trPr>
        <w:tc>
          <w:tcPr>
            <w:tcW w:w="2087" w:type="dxa"/>
            <w:tcBorders>
              <w:left w:val="single" w:sz="6" w:space="0" w:color="000000"/>
              <w:right w:val="single" w:sz="6" w:space="0" w:color="000000"/>
            </w:tcBorders>
            <w:shd w:val="clear" w:color="auto" w:fill="EFEFEF"/>
          </w:tcPr>
          <w:p>
            <w:pPr>
              <w:pStyle w:val="TableParagraph"/>
              <w:spacing w:before="143"/>
              <w:ind w:left="27"/>
              <w:jc w:val="left"/>
              <w:rPr>
                <w:rFonts w:ascii="Arial" w:hAnsi="Arial"/>
                <w:sz w:val="15"/>
              </w:rPr>
            </w:pPr>
            <w:r>
              <w:rPr>
                <w:rFonts w:ascii="Arial" w:hAnsi="Arial"/>
                <w:sz w:val="15"/>
              </w:rPr>
              <w:t>Sanità</w:t>
            </w:r>
          </w:p>
        </w:tc>
        <w:tc>
          <w:tcPr>
            <w:tcW w:w="429" w:type="dxa"/>
            <w:tcBorders>
              <w:left w:val="single" w:sz="6" w:space="0" w:color="000000"/>
            </w:tcBorders>
            <w:shd w:val="clear" w:color="auto" w:fill="EFEFEF"/>
          </w:tcPr>
          <w:p>
            <w:pPr>
              <w:pStyle w:val="TableParagraph"/>
              <w:spacing w:before="74"/>
              <w:ind w:right="100"/>
              <w:rPr>
                <w:rFonts w:ascii="Arial"/>
                <w:sz w:val="15"/>
              </w:rPr>
            </w:pPr>
            <w:r>
              <w:rPr>
                <w:rFonts w:ascii="Arial"/>
                <w:sz w:val="15"/>
              </w:rPr>
              <w:t>7,0</w:t>
            </w:r>
          </w:p>
        </w:tc>
        <w:tc>
          <w:tcPr>
            <w:tcW w:w="429" w:type="dxa"/>
            <w:shd w:val="clear" w:color="auto" w:fill="EFEFEF"/>
          </w:tcPr>
          <w:p>
            <w:pPr>
              <w:pStyle w:val="TableParagraph"/>
              <w:spacing w:before="74"/>
              <w:ind w:left="49" w:right="37"/>
              <w:jc w:val="center"/>
              <w:rPr>
                <w:rFonts w:ascii="Arial"/>
                <w:sz w:val="15"/>
              </w:rPr>
            </w:pPr>
            <w:r>
              <w:rPr>
                <w:rFonts w:ascii="Arial"/>
                <w:sz w:val="15"/>
              </w:rPr>
              <w:t>6,7</w:t>
            </w:r>
          </w:p>
        </w:tc>
        <w:tc>
          <w:tcPr>
            <w:tcW w:w="429" w:type="dxa"/>
            <w:shd w:val="clear" w:color="auto" w:fill="EFEFEF"/>
          </w:tcPr>
          <w:p>
            <w:pPr>
              <w:pStyle w:val="TableParagraph"/>
              <w:spacing w:before="74"/>
              <w:ind w:left="49" w:right="36"/>
              <w:jc w:val="center"/>
              <w:rPr>
                <w:rFonts w:ascii="Arial"/>
                <w:sz w:val="15"/>
              </w:rPr>
            </w:pPr>
            <w:r>
              <w:rPr>
                <w:rFonts w:ascii="Arial"/>
                <w:sz w:val="15"/>
              </w:rPr>
              <w:t>6,6</w:t>
            </w:r>
          </w:p>
        </w:tc>
        <w:tc>
          <w:tcPr>
            <w:tcW w:w="428" w:type="dxa"/>
            <w:shd w:val="clear" w:color="auto" w:fill="EFEFEF"/>
          </w:tcPr>
          <w:p>
            <w:pPr>
              <w:pStyle w:val="TableParagraph"/>
              <w:spacing w:before="74"/>
              <w:ind w:right="99"/>
              <w:rPr>
                <w:rFonts w:ascii="Arial"/>
                <w:sz w:val="15"/>
              </w:rPr>
            </w:pPr>
            <w:r>
              <w:rPr>
                <w:rFonts w:ascii="Arial"/>
                <w:sz w:val="15"/>
              </w:rPr>
              <w:t>6,6</w:t>
            </w:r>
          </w:p>
        </w:tc>
        <w:tc>
          <w:tcPr>
            <w:tcW w:w="428" w:type="dxa"/>
            <w:shd w:val="clear" w:color="auto" w:fill="EFEFEF"/>
          </w:tcPr>
          <w:p>
            <w:pPr>
              <w:pStyle w:val="TableParagraph"/>
              <w:spacing w:before="74"/>
              <w:ind w:left="49" w:right="34"/>
              <w:jc w:val="center"/>
              <w:rPr>
                <w:rFonts w:ascii="Arial"/>
                <w:sz w:val="15"/>
              </w:rPr>
            </w:pPr>
            <w:r>
              <w:rPr>
                <w:rFonts w:ascii="Arial"/>
                <w:sz w:val="15"/>
              </w:rPr>
              <w:t>6,9</w:t>
            </w:r>
          </w:p>
        </w:tc>
        <w:tc>
          <w:tcPr>
            <w:tcW w:w="428" w:type="dxa"/>
            <w:shd w:val="clear" w:color="auto" w:fill="EFEFEF"/>
          </w:tcPr>
          <w:p>
            <w:pPr>
              <w:pStyle w:val="TableParagraph"/>
              <w:spacing w:before="74"/>
              <w:ind w:left="49" w:right="32"/>
              <w:jc w:val="center"/>
              <w:rPr>
                <w:rFonts w:ascii="Arial"/>
                <w:sz w:val="15"/>
              </w:rPr>
            </w:pPr>
            <w:r>
              <w:rPr>
                <w:rFonts w:ascii="Arial"/>
                <w:sz w:val="15"/>
              </w:rPr>
              <w:t>7,2</w:t>
            </w:r>
          </w:p>
        </w:tc>
        <w:tc>
          <w:tcPr>
            <w:tcW w:w="427" w:type="dxa"/>
            <w:shd w:val="clear" w:color="auto" w:fill="EFEFEF"/>
          </w:tcPr>
          <w:p>
            <w:pPr>
              <w:pStyle w:val="TableParagraph"/>
              <w:spacing w:before="74"/>
              <w:ind w:left="52" w:right="32"/>
              <w:jc w:val="center"/>
              <w:rPr>
                <w:rFonts w:ascii="Arial"/>
                <w:sz w:val="15"/>
              </w:rPr>
            </w:pPr>
            <w:r>
              <w:rPr>
                <w:rFonts w:ascii="Arial"/>
                <w:sz w:val="15"/>
              </w:rPr>
              <w:t>7,4</w:t>
            </w:r>
          </w:p>
        </w:tc>
        <w:tc>
          <w:tcPr>
            <w:tcW w:w="427" w:type="dxa"/>
            <w:shd w:val="clear" w:color="auto" w:fill="EFEFEF"/>
          </w:tcPr>
          <w:p>
            <w:pPr>
              <w:pStyle w:val="TableParagraph"/>
              <w:spacing w:before="74"/>
              <w:ind w:left="119"/>
              <w:jc w:val="left"/>
              <w:rPr>
                <w:rFonts w:ascii="Arial"/>
                <w:sz w:val="15"/>
              </w:rPr>
            </w:pPr>
            <w:r>
              <w:rPr>
                <w:rFonts w:ascii="Arial"/>
                <w:sz w:val="15"/>
              </w:rPr>
              <w:t>7,6</w:t>
            </w:r>
          </w:p>
        </w:tc>
        <w:tc>
          <w:tcPr>
            <w:tcW w:w="427" w:type="dxa"/>
            <w:shd w:val="clear" w:color="auto" w:fill="EFEFEF"/>
          </w:tcPr>
          <w:p>
            <w:pPr>
              <w:pStyle w:val="TableParagraph"/>
              <w:spacing w:before="74"/>
              <w:ind w:left="122"/>
              <w:jc w:val="left"/>
              <w:rPr>
                <w:rFonts w:ascii="Arial"/>
                <w:sz w:val="15"/>
              </w:rPr>
            </w:pPr>
            <w:r>
              <w:rPr>
                <w:rFonts w:ascii="Arial"/>
                <w:sz w:val="15"/>
              </w:rPr>
              <w:t>7,8</w:t>
            </w:r>
          </w:p>
        </w:tc>
        <w:tc>
          <w:tcPr>
            <w:tcW w:w="427" w:type="dxa"/>
            <w:shd w:val="clear" w:color="auto" w:fill="EFEFEF"/>
          </w:tcPr>
          <w:p>
            <w:pPr>
              <w:pStyle w:val="TableParagraph"/>
              <w:spacing w:before="74"/>
              <w:ind w:left="52" w:right="21"/>
              <w:jc w:val="center"/>
              <w:rPr>
                <w:rFonts w:ascii="Arial"/>
                <w:sz w:val="15"/>
              </w:rPr>
            </w:pPr>
            <w:r>
              <w:rPr>
                <w:rFonts w:ascii="Arial"/>
                <w:sz w:val="15"/>
              </w:rPr>
              <w:t>7,9</w:t>
            </w:r>
          </w:p>
        </w:tc>
        <w:tc>
          <w:tcPr>
            <w:tcW w:w="427" w:type="dxa"/>
            <w:shd w:val="clear" w:color="auto" w:fill="EFEFEF"/>
          </w:tcPr>
          <w:p>
            <w:pPr>
              <w:pStyle w:val="TableParagraph"/>
              <w:spacing w:before="74"/>
              <w:ind w:left="125"/>
              <w:jc w:val="left"/>
              <w:rPr>
                <w:rFonts w:ascii="Arial"/>
                <w:sz w:val="15"/>
              </w:rPr>
            </w:pPr>
            <w:r>
              <w:rPr>
                <w:rFonts w:ascii="Arial"/>
                <w:sz w:val="15"/>
              </w:rPr>
              <w:t>7,9</w:t>
            </w:r>
          </w:p>
        </w:tc>
        <w:tc>
          <w:tcPr>
            <w:tcW w:w="427" w:type="dxa"/>
            <w:shd w:val="clear" w:color="auto" w:fill="EFEFEF"/>
          </w:tcPr>
          <w:p>
            <w:pPr>
              <w:pStyle w:val="TableParagraph"/>
              <w:spacing w:before="74"/>
              <w:ind w:right="85"/>
              <w:rPr>
                <w:rFonts w:ascii="Arial"/>
                <w:sz w:val="15"/>
              </w:rPr>
            </w:pPr>
            <w:r>
              <w:rPr>
                <w:rFonts w:ascii="Arial"/>
                <w:sz w:val="15"/>
              </w:rPr>
              <w:t>7,8</w:t>
            </w:r>
          </w:p>
        </w:tc>
        <w:tc>
          <w:tcPr>
            <w:tcW w:w="427" w:type="dxa"/>
            <w:tcBorders>
              <w:right w:val="single" w:sz="6" w:space="0" w:color="000000"/>
            </w:tcBorders>
            <w:shd w:val="clear" w:color="auto" w:fill="EFEFEF"/>
          </w:tcPr>
          <w:p>
            <w:pPr>
              <w:pStyle w:val="TableParagraph"/>
              <w:spacing w:before="74"/>
              <w:ind w:left="63" w:right="12"/>
              <w:jc w:val="center"/>
              <w:rPr>
                <w:rFonts w:ascii="Arial"/>
                <w:sz w:val="15"/>
              </w:rPr>
            </w:pPr>
            <w:r>
              <w:rPr>
                <w:rFonts w:ascii="Arial"/>
                <w:sz w:val="15"/>
              </w:rPr>
              <w:t>7,8</w:t>
            </w:r>
          </w:p>
        </w:tc>
      </w:tr>
      <w:tr>
        <w:trPr>
          <w:trHeight w:val="289" w:hRule="atLeast"/>
        </w:trPr>
        <w:tc>
          <w:tcPr>
            <w:tcW w:w="2087" w:type="dxa"/>
            <w:tcBorders>
              <w:left w:val="single" w:sz="6" w:space="0" w:color="000000"/>
              <w:right w:val="single" w:sz="6" w:space="0" w:color="000000"/>
            </w:tcBorders>
            <w:shd w:val="clear" w:color="auto" w:fill="EFEFEF"/>
          </w:tcPr>
          <w:p>
            <w:pPr>
              <w:pStyle w:val="TableParagraph"/>
              <w:spacing w:before="39"/>
              <w:ind w:left="270"/>
              <w:jc w:val="left"/>
              <w:rPr>
                <w:rFonts w:ascii="Arial"/>
                <w:i/>
                <w:sz w:val="15"/>
              </w:rPr>
            </w:pPr>
            <w:r>
              <w:rPr>
                <w:rFonts w:ascii="Arial"/>
                <w:i/>
                <w:sz w:val="15"/>
              </w:rPr>
              <w:t>- di cui componente LTC</w:t>
            </w:r>
          </w:p>
        </w:tc>
        <w:tc>
          <w:tcPr>
            <w:tcW w:w="429" w:type="dxa"/>
            <w:tcBorders>
              <w:left w:val="single" w:sz="6" w:space="0" w:color="000000"/>
            </w:tcBorders>
            <w:shd w:val="clear" w:color="auto" w:fill="EFEFEF"/>
          </w:tcPr>
          <w:p>
            <w:pPr>
              <w:pStyle w:val="TableParagraph"/>
              <w:spacing w:before="39"/>
              <w:ind w:right="111"/>
              <w:rPr>
                <w:rFonts w:ascii="Arial"/>
                <w:i/>
                <w:sz w:val="15"/>
              </w:rPr>
            </w:pPr>
            <w:r>
              <w:rPr>
                <w:rFonts w:ascii="Arial"/>
                <w:i/>
                <w:sz w:val="15"/>
              </w:rPr>
              <w:t>0,7</w:t>
            </w:r>
          </w:p>
        </w:tc>
        <w:tc>
          <w:tcPr>
            <w:tcW w:w="429" w:type="dxa"/>
            <w:shd w:val="clear" w:color="auto" w:fill="EFEFEF"/>
          </w:tcPr>
          <w:p>
            <w:pPr>
              <w:pStyle w:val="TableParagraph"/>
              <w:spacing w:before="39"/>
              <w:ind w:left="40" w:right="48"/>
              <w:jc w:val="center"/>
              <w:rPr>
                <w:rFonts w:ascii="Arial"/>
                <w:i/>
                <w:sz w:val="15"/>
              </w:rPr>
            </w:pPr>
            <w:r>
              <w:rPr>
                <w:rFonts w:ascii="Arial"/>
                <w:i/>
                <w:sz w:val="15"/>
              </w:rPr>
              <w:t>0,7</w:t>
            </w:r>
          </w:p>
        </w:tc>
        <w:tc>
          <w:tcPr>
            <w:tcW w:w="429" w:type="dxa"/>
            <w:shd w:val="clear" w:color="auto" w:fill="EFEFEF"/>
          </w:tcPr>
          <w:p>
            <w:pPr>
              <w:pStyle w:val="TableParagraph"/>
              <w:spacing w:before="39"/>
              <w:ind w:left="41" w:right="48"/>
              <w:jc w:val="center"/>
              <w:rPr>
                <w:rFonts w:ascii="Arial"/>
                <w:i/>
                <w:sz w:val="15"/>
              </w:rPr>
            </w:pPr>
            <w:r>
              <w:rPr>
                <w:rFonts w:ascii="Arial"/>
                <w:i/>
                <w:sz w:val="15"/>
              </w:rPr>
              <w:t>0,7</w:t>
            </w:r>
          </w:p>
        </w:tc>
        <w:tc>
          <w:tcPr>
            <w:tcW w:w="428" w:type="dxa"/>
            <w:shd w:val="clear" w:color="auto" w:fill="EFEFEF"/>
          </w:tcPr>
          <w:p>
            <w:pPr>
              <w:pStyle w:val="TableParagraph"/>
              <w:spacing w:before="39"/>
              <w:ind w:right="111"/>
              <w:rPr>
                <w:rFonts w:ascii="Arial"/>
                <w:i/>
                <w:sz w:val="15"/>
              </w:rPr>
            </w:pPr>
            <w:r>
              <w:rPr>
                <w:rFonts w:ascii="Arial"/>
                <w:i/>
                <w:sz w:val="15"/>
              </w:rPr>
              <w:t>0,7</w:t>
            </w:r>
          </w:p>
        </w:tc>
        <w:tc>
          <w:tcPr>
            <w:tcW w:w="428" w:type="dxa"/>
            <w:shd w:val="clear" w:color="auto" w:fill="EFEFEF"/>
          </w:tcPr>
          <w:p>
            <w:pPr>
              <w:pStyle w:val="TableParagraph"/>
              <w:spacing w:before="39"/>
              <w:ind w:left="40" w:right="45"/>
              <w:jc w:val="center"/>
              <w:rPr>
                <w:rFonts w:ascii="Arial"/>
                <w:i/>
                <w:sz w:val="15"/>
              </w:rPr>
            </w:pPr>
            <w:r>
              <w:rPr>
                <w:rFonts w:ascii="Arial"/>
                <w:i/>
                <w:sz w:val="15"/>
              </w:rPr>
              <w:t>0,8</w:t>
            </w:r>
          </w:p>
        </w:tc>
        <w:tc>
          <w:tcPr>
            <w:tcW w:w="428" w:type="dxa"/>
            <w:shd w:val="clear" w:color="auto" w:fill="EFEFEF"/>
          </w:tcPr>
          <w:p>
            <w:pPr>
              <w:pStyle w:val="TableParagraph"/>
              <w:spacing w:before="39"/>
              <w:ind w:left="42" w:right="45"/>
              <w:jc w:val="center"/>
              <w:rPr>
                <w:rFonts w:ascii="Arial"/>
                <w:i/>
                <w:sz w:val="15"/>
              </w:rPr>
            </w:pPr>
            <w:r>
              <w:rPr>
                <w:rFonts w:ascii="Arial"/>
                <w:i/>
                <w:sz w:val="15"/>
              </w:rPr>
              <w:t>0,8</w:t>
            </w:r>
          </w:p>
        </w:tc>
        <w:tc>
          <w:tcPr>
            <w:tcW w:w="427" w:type="dxa"/>
            <w:shd w:val="clear" w:color="auto" w:fill="EFEFEF"/>
          </w:tcPr>
          <w:p>
            <w:pPr>
              <w:pStyle w:val="TableParagraph"/>
              <w:spacing w:before="39"/>
              <w:ind w:left="37" w:right="37"/>
              <w:jc w:val="center"/>
              <w:rPr>
                <w:rFonts w:ascii="Arial"/>
                <w:i/>
                <w:sz w:val="15"/>
              </w:rPr>
            </w:pPr>
            <w:r>
              <w:rPr>
                <w:rFonts w:ascii="Arial"/>
                <w:i/>
                <w:sz w:val="15"/>
              </w:rPr>
              <w:t>0,9</w:t>
            </w:r>
          </w:p>
        </w:tc>
        <w:tc>
          <w:tcPr>
            <w:tcW w:w="427" w:type="dxa"/>
            <w:shd w:val="clear" w:color="auto" w:fill="EFEFEF"/>
          </w:tcPr>
          <w:p>
            <w:pPr>
              <w:pStyle w:val="TableParagraph"/>
              <w:spacing w:before="39"/>
              <w:ind w:left="108"/>
              <w:jc w:val="left"/>
              <w:rPr>
                <w:rFonts w:ascii="Arial"/>
                <w:i/>
                <w:sz w:val="15"/>
              </w:rPr>
            </w:pPr>
            <w:r>
              <w:rPr>
                <w:rFonts w:ascii="Arial"/>
                <w:i/>
                <w:sz w:val="15"/>
              </w:rPr>
              <w:t>1,0</w:t>
            </w:r>
          </w:p>
        </w:tc>
        <w:tc>
          <w:tcPr>
            <w:tcW w:w="427" w:type="dxa"/>
            <w:shd w:val="clear" w:color="auto" w:fill="EFEFEF"/>
          </w:tcPr>
          <w:p>
            <w:pPr>
              <w:pStyle w:val="TableParagraph"/>
              <w:spacing w:before="39"/>
              <w:ind w:left="110"/>
              <w:jc w:val="left"/>
              <w:rPr>
                <w:rFonts w:ascii="Arial"/>
                <w:i/>
                <w:sz w:val="15"/>
              </w:rPr>
            </w:pPr>
            <w:r>
              <w:rPr>
                <w:rFonts w:ascii="Arial"/>
                <w:i/>
                <w:sz w:val="15"/>
              </w:rPr>
              <w:t>1,0</w:t>
            </w:r>
          </w:p>
        </w:tc>
        <w:tc>
          <w:tcPr>
            <w:tcW w:w="427" w:type="dxa"/>
            <w:shd w:val="clear" w:color="auto" w:fill="EFEFEF"/>
          </w:tcPr>
          <w:p>
            <w:pPr>
              <w:pStyle w:val="TableParagraph"/>
              <w:spacing w:before="39"/>
              <w:ind w:left="46" w:right="37"/>
              <w:jc w:val="center"/>
              <w:rPr>
                <w:rFonts w:ascii="Arial"/>
                <w:i/>
                <w:sz w:val="15"/>
              </w:rPr>
            </w:pPr>
            <w:r>
              <w:rPr>
                <w:rFonts w:ascii="Arial"/>
                <w:i/>
                <w:sz w:val="15"/>
              </w:rPr>
              <w:t>1,1</w:t>
            </w:r>
          </w:p>
        </w:tc>
        <w:tc>
          <w:tcPr>
            <w:tcW w:w="427" w:type="dxa"/>
            <w:shd w:val="clear" w:color="auto" w:fill="EFEFEF"/>
          </w:tcPr>
          <w:p>
            <w:pPr>
              <w:pStyle w:val="TableParagraph"/>
              <w:spacing w:before="39"/>
              <w:ind w:left="114"/>
              <w:jc w:val="left"/>
              <w:rPr>
                <w:rFonts w:ascii="Arial"/>
                <w:i/>
                <w:sz w:val="15"/>
              </w:rPr>
            </w:pPr>
            <w:r>
              <w:rPr>
                <w:rFonts w:ascii="Arial"/>
                <w:i/>
                <w:sz w:val="15"/>
              </w:rPr>
              <w:t>1,1</w:t>
            </w:r>
          </w:p>
        </w:tc>
        <w:tc>
          <w:tcPr>
            <w:tcW w:w="427" w:type="dxa"/>
            <w:shd w:val="clear" w:color="auto" w:fill="EFEFEF"/>
          </w:tcPr>
          <w:p>
            <w:pPr>
              <w:pStyle w:val="TableParagraph"/>
              <w:spacing w:before="39"/>
              <w:ind w:right="97"/>
              <w:rPr>
                <w:rFonts w:ascii="Arial"/>
                <w:i/>
                <w:sz w:val="15"/>
              </w:rPr>
            </w:pPr>
            <w:r>
              <w:rPr>
                <w:rFonts w:ascii="Arial"/>
                <w:i/>
                <w:sz w:val="15"/>
              </w:rPr>
              <w:t>1,1</w:t>
            </w:r>
          </w:p>
        </w:tc>
        <w:tc>
          <w:tcPr>
            <w:tcW w:w="427" w:type="dxa"/>
            <w:tcBorders>
              <w:right w:val="single" w:sz="6" w:space="0" w:color="000000"/>
            </w:tcBorders>
            <w:shd w:val="clear" w:color="auto" w:fill="EFEFEF"/>
          </w:tcPr>
          <w:p>
            <w:pPr>
              <w:pStyle w:val="TableParagraph"/>
              <w:spacing w:before="39"/>
              <w:ind w:left="52" w:right="24"/>
              <w:jc w:val="center"/>
              <w:rPr>
                <w:rFonts w:ascii="Arial"/>
                <w:i/>
                <w:sz w:val="15"/>
              </w:rPr>
            </w:pPr>
            <w:r>
              <w:rPr>
                <w:rFonts w:ascii="Arial"/>
                <w:i/>
                <w:sz w:val="15"/>
              </w:rPr>
              <w:t>1,1</w:t>
            </w:r>
          </w:p>
        </w:tc>
      </w:tr>
      <w:tr>
        <w:trPr>
          <w:trHeight w:val="324" w:hRule="atLeast"/>
        </w:trPr>
        <w:tc>
          <w:tcPr>
            <w:tcW w:w="2087" w:type="dxa"/>
            <w:tcBorders>
              <w:left w:val="single" w:sz="6" w:space="0" w:color="000000"/>
              <w:right w:val="single" w:sz="6" w:space="0" w:color="000000"/>
            </w:tcBorders>
            <w:shd w:val="clear" w:color="auto" w:fill="EFEFEF"/>
          </w:tcPr>
          <w:p>
            <w:pPr>
              <w:pStyle w:val="TableParagraph"/>
              <w:spacing w:before="74"/>
              <w:ind w:left="27" w:right="-15"/>
              <w:jc w:val="left"/>
              <w:rPr>
                <w:rFonts w:ascii="Arial"/>
                <w:sz w:val="15"/>
              </w:rPr>
            </w:pPr>
            <w:r>
              <w:rPr>
                <w:rFonts w:ascii="Arial"/>
                <w:spacing w:val="-9"/>
                <w:sz w:val="15"/>
              </w:rPr>
              <w:t>LTC </w:t>
            </w:r>
            <w:r>
              <w:rPr>
                <w:rFonts w:ascii="Arial"/>
                <w:sz w:val="15"/>
              </w:rPr>
              <w:t>- </w:t>
            </w:r>
            <w:r>
              <w:rPr>
                <w:rFonts w:ascii="Arial"/>
                <w:spacing w:val="-3"/>
                <w:sz w:val="15"/>
              </w:rPr>
              <w:t>comp.</w:t>
            </w:r>
            <w:r>
              <w:rPr>
                <w:rFonts w:ascii="Arial"/>
                <w:spacing w:val="19"/>
                <w:sz w:val="15"/>
              </w:rPr>
              <w:t> </w:t>
            </w:r>
            <w:r>
              <w:rPr>
                <w:rFonts w:ascii="Arial"/>
                <w:spacing w:val="-3"/>
                <w:sz w:val="15"/>
              </w:rPr>
              <w:t>socio-assistenziale</w:t>
            </w:r>
          </w:p>
        </w:tc>
        <w:tc>
          <w:tcPr>
            <w:tcW w:w="429" w:type="dxa"/>
            <w:tcBorders>
              <w:left w:val="single" w:sz="6" w:space="0" w:color="000000"/>
            </w:tcBorders>
            <w:shd w:val="clear" w:color="auto" w:fill="EFEFEF"/>
          </w:tcPr>
          <w:p>
            <w:pPr>
              <w:pStyle w:val="TableParagraph"/>
              <w:spacing w:before="74"/>
              <w:ind w:right="100"/>
              <w:rPr>
                <w:rFonts w:ascii="Arial"/>
                <w:sz w:val="15"/>
              </w:rPr>
            </w:pPr>
            <w:r>
              <w:rPr>
                <w:rFonts w:ascii="Arial"/>
                <w:sz w:val="15"/>
              </w:rPr>
              <w:t>1,0</w:t>
            </w:r>
          </w:p>
        </w:tc>
        <w:tc>
          <w:tcPr>
            <w:tcW w:w="429" w:type="dxa"/>
            <w:shd w:val="clear" w:color="auto" w:fill="EFEFEF"/>
          </w:tcPr>
          <w:p>
            <w:pPr>
              <w:pStyle w:val="TableParagraph"/>
              <w:spacing w:before="74"/>
              <w:ind w:left="49" w:right="37"/>
              <w:jc w:val="center"/>
              <w:rPr>
                <w:rFonts w:ascii="Arial"/>
                <w:sz w:val="15"/>
              </w:rPr>
            </w:pPr>
            <w:r>
              <w:rPr>
                <w:rFonts w:ascii="Arial"/>
                <w:sz w:val="15"/>
              </w:rPr>
              <w:t>1,0</w:t>
            </w:r>
          </w:p>
        </w:tc>
        <w:tc>
          <w:tcPr>
            <w:tcW w:w="429" w:type="dxa"/>
            <w:shd w:val="clear" w:color="auto" w:fill="EFEFEF"/>
          </w:tcPr>
          <w:p>
            <w:pPr>
              <w:pStyle w:val="TableParagraph"/>
              <w:spacing w:before="74"/>
              <w:ind w:left="49" w:right="36"/>
              <w:jc w:val="center"/>
              <w:rPr>
                <w:rFonts w:ascii="Arial"/>
                <w:sz w:val="15"/>
              </w:rPr>
            </w:pPr>
            <w:r>
              <w:rPr>
                <w:rFonts w:ascii="Arial"/>
                <w:sz w:val="15"/>
              </w:rPr>
              <w:t>1,0</w:t>
            </w:r>
          </w:p>
        </w:tc>
        <w:tc>
          <w:tcPr>
            <w:tcW w:w="428" w:type="dxa"/>
            <w:shd w:val="clear" w:color="auto" w:fill="EFEFEF"/>
          </w:tcPr>
          <w:p>
            <w:pPr>
              <w:pStyle w:val="TableParagraph"/>
              <w:spacing w:before="74"/>
              <w:ind w:right="99"/>
              <w:rPr>
                <w:rFonts w:ascii="Arial"/>
                <w:sz w:val="15"/>
              </w:rPr>
            </w:pPr>
            <w:r>
              <w:rPr>
                <w:rFonts w:ascii="Arial"/>
                <w:sz w:val="15"/>
              </w:rPr>
              <w:t>1,1</w:t>
            </w:r>
          </w:p>
        </w:tc>
        <w:tc>
          <w:tcPr>
            <w:tcW w:w="428" w:type="dxa"/>
            <w:shd w:val="clear" w:color="auto" w:fill="EFEFEF"/>
          </w:tcPr>
          <w:p>
            <w:pPr>
              <w:pStyle w:val="TableParagraph"/>
              <w:spacing w:before="74"/>
              <w:ind w:left="49" w:right="34"/>
              <w:jc w:val="center"/>
              <w:rPr>
                <w:rFonts w:ascii="Arial"/>
                <w:sz w:val="15"/>
              </w:rPr>
            </w:pPr>
            <w:r>
              <w:rPr>
                <w:rFonts w:ascii="Arial"/>
                <w:sz w:val="15"/>
              </w:rPr>
              <w:t>1,1</w:t>
            </w:r>
          </w:p>
        </w:tc>
        <w:tc>
          <w:tcPr>
            <w:tcW w:w="428" w:type="dxa"/>
            <w:shd w:val="clear" w:color="auto" w:fill="EFEFEF"/>
          </w:tcPr>
          <w:p>
            <w:pPr>
              <w:pStyle w:val="TableParagraph"/>
              <w:spacing w:before="74"/>
              <w:ind w:left="49" w:right="32"/>
              <w:jc w:val="center"/>
              <w:rPr>
                <w:rFonts w:ascii="Arial"/>
                <w:sz w:val="15"/>
              </w:rPr>
            </w:pPr>
            <w:r>
              <w:rPr>
                <w:rFonts w:ascii="Arial"/>
                <w:sz w:val="15"/>
              </w:rPr>
              <w:t>1,2</w:t>
            </w:r>
          </w:p>
        </w:tc>
        <w:tc>
          <w:tcPr>
            <w:tcW w:w="427" w:type="dxa"/>
            <w:shd w:val="clear" w:color="auto" w:fill="EFEFEF"/>
          </w:tcPr>
          <w:p>
            <w:pPr>
              <w:pStyle w:val="TableParagraph"/>
              <w:spacing w:before="74"/>
              <w:ind w:left="52" w:right="32"/>
              <w:jc w:val="center"/>
              <w:rPr>
                <w:rFonts w:ascii="Arial"/>
                <w:sz w:val="15"/>
              </w:rPr>
            </w:pPr>
            <w:r>
              <w:rPr>
                <w:rFonts w:ascii="Arial"/>
                <w:sz w:val="15"/>
              </w:rPr>
              <w:t>1,2</w:t>
            </w:r>
          </w:p>
        </w:tc>
        <w:tc>
          <w:tcPr>
            <w:tcW w:w="427" w:type="dxa"/>
            <w:shd w:val="clear" w:color="auto" w:fill="EFEFEF"/>
          </w:tcPr>
          <w:p>
            <w:pPr>
              <w:pStyle w:val="TableParagraph"/>
              <w:spacing w:before="74"/>
              <w:ind w:left="119"/>
              <w:jc w:val="left"/>
              <w:rPr>
                <w:rFonts w:ascii="Arial"/>
                <w:sz w:val="15"/>
              </w:rPr>
            </w:pPr>
            <w:r>
              <w:rPr>
                <w:rFonts w:ascii="Arial"/>
                <w:sz w:val="15"/>
              </w:rPr>
              <w:t>1,3</w:t>
            </w:r>
          </w:p>
        </w:tc>
        <w:tc>
          <w:tcPr>
            <w:tcW w:w="427" w:type="dxa"/>
            <w:shd w:val="clear" w:color="auto" w:fill="EFEFEF"/>
          </w:tcPr>
          <w:p>
            <w:pPr>
              <w:pStyle w:val="TableParagraph"/>
              <w:spacing w:before="74"/>
              <w:ind w:left="122"/>
              <w:jc w:val="left"/>
              <w:rPr>
                <w:rFonts w:ascii="Arial"/>
                <w:sz w:val="15"/>
              </w:rPr>
            </w:pPr>
            <w:r>
              <w:rPr>
                <w:rFonts w:ascii="Arial"/>
                <w:sz w:val="15"/>
              </w:rPr>
              <w:t>1,4</w:t>
            </w:r>
          </w:p>
        </w:tc>
        <w:tc>
          <w:tcPr>
            <w:tcW w:w="427" w:type="dxa"/>
            <w:shd w:val="clear" w:color="auto" w:fill="EFEFEF"/>
          </w:tcPr>
          <w:p>
            <w:pPr>
              <w:pStyle w:val="TableParagraph"/>
              <w:spacing w:before="74"/>
              <w:ind w:left="52" w:right="21"/>
              <w:jc w:val="center"/>
              <w:rPr>
                <w:rFonts w:ascii="Arial"/>
                <w:sz w:val="15"/>
              </w:rPr>
            </w:pPr>
            <w:r>
              <w:rPr>
                <w:rFonts w:ascii="Arial"/>
                <w:sz w:val="15"/>
              </w:rPr>
              <w:t>1,5</w:t>
            </w:r>
          </w:p>
        </w:tc>
        <w:tc>
          <w:tcPr>
            <w:tcW w:w="427" w:type="dxa"/>
            <w:shd w:val="clear" w:color="auto" w:fill="EFEFEF"/>
          </w:tcPr>
          <w:p>
            <w:pPr>
              <w:pStyle w:val="TableParagraph"/>
              <w:spacing w:before="74"/>
              <w:ind w:left="125"/>
              <w:jc w:val="left"/>
              <w:rPr>
                <w:rFonts w:ascii="Arial"/>
                <w:sz w:val="15"/>
              </w:rPr>
            </w:pPr>
            <w:r>
              <w:rPr>
                <w:rFonts w:ascii="Arial"/>
                <w:sz w:val="15"/>
              </w:rPr>
              <w:t>1,6</w:t>
            </w:r>
          </w:p>
        </w:tc>
        <w:tc>
          <w:tcPr>
            <w:tcW w:w="427" w:type="dxa"/>
            <w:shd w:val="clear" w:color="auto" w:fill="EFEFEF"/>
          </w:tcPr>
          <w:p>
            <w:pPr>
              <w:pStyle w:val="TableParagraph"/>
              <w:spacing w:before="74"/>
              <w:ind w:right="85"/>
              <w:rPr>
                <w:rFonts w:ascii="Arial"/>
                <w:sz w:val="15"/>
              </w:rPr>
            </w:pPr>
            <w:r>
              <w:rPr>
                <w:rFonts w:ascii="Arial"/>
                <w:sz w:val="15"/>
              </w:rPr>
              <w:t>1,6</w:t>
            </w:r>
          </w:p>
        </w:tc>
        <w:tc>
          <w:tcPr>
            <w:tcW w:w="427" w:type="dxa"/>
            <w:tcBorders>
              <w:right w:val="single" w:sz="6" w:space="0" w:color="000000"/>
            </w:tcBorders>
            <w:shd w:val="clear" w:color="auto" w:fill="EFEFEF"/>
          </w:tcPr>
          <w:p>
            <w:pPr>
              <w:pStyle w:val="TableParagraph"/>
              <w:spacing w:before="74"/>
              <w:ind w:left="63" w:right="12"/>
              <w:jc w:val="center"/>
              <w:rPr>
                <w:rFonts w:ascii="Arial"/>
                <w:sz w:val="15"/>
              </w:rPr>
            </w:pPr>
            <w:r>
              <w:rPr>
                <w:rFonts w:ascii="Arial"/>
                <w:sz w:val="15"/>
              </w:rPr>
              <w:t>1,6</w:t>
            </w:r>
          </w:p>
        </w:tc>
      </w:tr>
      <w:tr>
        <w:trPr>
          <w:trHeight w:val="324" w:hRule="atLeast"/>
        </w:trPr>
        <w:tc>
          <w:tcPr>
            <w:tcW w:w="2087" w:type="dxa"/>
            <w:tcBorders>
              <w:left w:val="single" w:sz="6" w:space="0" w:color="000000"/>
              <w:right w:val="single" w:sz="6" w:space="0" w:color="000000"/>
            </w:tcBorders>
            <w:shd w:val="clear" w:color="auto" w:fill="EFEFEF"/>
          </w:tcPr>
          <w:p>
            <w:pPr>
              <w:pStyle w:val="TableParagraph"/>
              <w:spacing w:before="73"/>
              <w:ind w:left="27"/>
              <w:jc w:val="left"/>
              <w:rPr>
                <w:rFonts w:ascii="Arial"/>
                <w:sz w:val="15"/>
              </w:rPr>
            </w:pPr>
            <w:r>
              <w:rPr>
                <w:rFonts w:ascii="Arial"/>
                <w:sz w:val="15"/>
              </w:rPr>
              <w:t>Scuola</w:t>
            </w:r>
          </w:p>
        </w:tc>
        <w:tc>
          <w:tcPr>
            <w:tcW w:w="429" w:type="dxa"/>
            <w:tcBorders>
              <w:left w:val="single" w:sz="6" w:space="0" w:color="000000"/>
            </w:tcBorders>
            <w:shd w:val="clear" w:color="auto" w:fill="EFEFEF"/>
          </w:tcPr>
          <w:p>
            <w:pPr>
              <w:pStyle w:val="TableParagraph"/>
              <w:spacing w:before="73"/>
              <w:ind w:right="100"/>
              <w:rPr>
                <w:rFonts w:ascii="Arial"/>
                <w:sz w:val="15"/>
              </w:rPr>
            </w:pPr>
            <w:r>
              <w:rPr>
                <w:rFonts w:ascii="Arial"/>
                <w:sz w:val="15"/>
              </w:rPr>
              <w:t>3,9</w:t>
            </w:r>
          </w:p>
        </w:tc>
        <w:tc>
          <w:tcPr>
            <w:tcW w:w="429" w:type="dxa"/>
            <w:shd w:val="clear" w:color="auto" w:fill="EFEFEF"/>
          </w:tcPr>
          <w:p>
            <w:pPr>
              <w:pStyle w:val="TableParagraph"/>
              <w:spacing w:before="73"/>
              <w:ind w:left="49" w:right="37"/>
              <w:jc w:val="center"/>
              <w:rPr>
                <w:rFonts w:ascii="Arial"/>
                <w:sz w:val="15"/>
              </w:rPr>
            </w:pPr>
            <w:r>
              <w:rPr>
                <w:rFonts w:ascii="Arial"/>
                <w:sz w:val="15"/>
              </w:rPr>
              <w:t>3,6</w:t>
            </w:r>
          </w:p>
        </w:tc>
        <w:tc>
          <w:tcPr>
            <w:tcW w:w="429" w:type="dxa"/>
            <w:shd w:val="clear" w:color="auto" w:fill="EFEFEF"/>
          </w:tcPr>
          <w:p>
            <w:pPr>
              <w:pStyle w:val="TableParagraph"/>
              <w:spacing w:before="73"/>
              <w:ind w:left="49" w:right="36"/>
              <w:jc w:val="center"/>
              <w:rPr>
                <w:rFonts w:ascii="Arial"/>
                <w:sz w:val="15"/>
              </w:rPr>
            </w:pPr>
            <w:r>
              <w:rPr>
                <w:rFonts w:ascii="Arial"/>
                <w:sz w:val="15"/>
              </w:rPr>
              <w:t>3,4</w:t>
            </w:r>
          </w:p>
        </w:tc>
        <w:tc>
          <w:tcPr>
            <w:tcW w:w="428" w:type="dxa"/>
            <w:shd w:val="clear" w:color="auto" w:fill="EFEFEF"/>
          </w:tcPr>
          <w:p>
            <w:pPr>
              <w:pStyle w:val="TableParagraph"/>
              <w:spacing w:before="73"/>
              <w:ind w:right="99"/>
              <w:rPr>
                <w:rFonts w:ascii="Arial"/>
                <w:sz w:val="15"/>
              </w:rPr>
            </w:pPr>
            <w:r>
              <w:rPr>
                <w:rFonts w:ascii="Arial"/>
                <w:sz w:val="15"/>
              </w:rPr>
              <w:t>3,2</w:t>
            </w:r>
          </w:p>
        </w:tc>
        <w:tc>
          <w:tcPr>
            <w:tcW w:w="428" w:type="dxa"/>
            <w:shd w:val="clear" w:color="auto" w:fill="EFEFEF"/>
          </w:tcPr>
          <w:p>
            <w:pPr>
              <w:pStyle w:val="TableParagraph"/>
              <w:spacing w:before="73"/>
              <w:ind w:left="49" w:right="34"/>
              <w:jc w:val="center"/>
              <w:rPr>
                <w:rFonts w:ascii="Arial"/>
                <w:sz w:val="15"/>
              </w:rPr>
            </w:pPr>
            <w:r>
              <w:rPr>
                <w:rFonts w:ascii="Arial"/>
                <w:sz w:val="15"/>
              </w:rPr>
              <w:t>3,1</w:t>
            </w:r>
          </w:p>
        </w:tc>
        <w:tc>
          <w:tcPr>
            <w:tcW w:w="428" w:type="dxa"/>
            <w:shd w:val="clear" w:color="auto" w:fill="EFEFEF"/>
          </w:tcPr>
          <w:p>
            <w:pPr>
              <w:pStyle w:val="TableParagraph"/>
              <w:spacing w:before="73"/>
              <w:ind w:left="49" w:right="32"/>
              <w:jc w:val="center"/>
              <w:rPr>
                <w:rFonts w:ascii="Arial"/>
                <w:sz w:val="15"/>
              </w:rPr>
            </w:pPr>
            <w:r>
              <w:rPr>
                <w:rFonts w:ascii="Arial"/>
                <w:sz w:val="15"/>
              </w:rPr>
              <w:t>3,0</w:t>
            </w:r>
          </w:p>
        </w:tc>
        <w:tc>
          <w:tcPr>
            <w:tcW w:w="427" w:type="dxa"/>
            <w:shd w:val="clear" w:color="auto" w:fill="EFEFEF"/>
          </w:tcPr>
          <w:p>
            <w:pPr>
              <w:pStyle w:val="TableParagraph"/>
              <w:spacing w:before="73"/>
              <w:ind w:left="52" w:right="32"/>
              <w:jc w:val="center"/>
              <w:rPr>
                <w:rFonts w:ascii="Arial"/>
                <w:sz w:val="15"/>
              </w:rPr>
            </w:pPr>
            <w:r>
              <w:rPr>
                <w:rFonts w:ascii="Arial"/>
                <w:sz w:val="15"/>
              </w:rPr>
              <w:t>3,1</w:t>
            </w:r>
          </w:p>
        </w:tc>
        <w:tc>
          <w:tcPr>
            <w:tcW w:w="427" w:type="dxa"/>
            <w:shd w:val="clear" w:color="auto" w:fill="EFEFEF"/>
          </w:tcPr>
          <w:p>
            <w:pPr>
              <w:pStyle w:val="TableParagraph"/>
              <w:spacing w:before="73"/>
              <w:ind w:left="119"/>
              <w:jc w:val="left"/>
              <w:rPr>
                <w:rFonts w:ascii="Arial"/>
                <w:sz w:val="15"/>
              </w:rPr>
            </w:pPr>
            <w:r>
              <w:rPr>
                <w:rFonts w:ascii="Arial"/>
                <w:sz w:val="15"/>
              </w:rPr>
              <w:t>3,2</w:t>
            </w:r>
          </w:p>
        </w:tc>
        <w:tc>
          <w:tcPr>
            <w:tcW w:w="427" w:type="dxa"/>
            <w:shd w:val="clear" w:color="auto" w:fill="EFEFEF"/>
          </w:tcPr>
          <w:p>
            <w:pPr>
              <w:pStyle w:val="TableParagraph"/>
              <w:spacing w:before="73"/>
              <w:ind w:left="122"/>
              <w:jc w:val="left"/>
              <w:rPr>
                <w:rFonts w:ascii="Arial"/>
                <w:sz w:val="15"/>
              </w:rPr>
            </w:pPr>
            <w:r>
              <w:rPr>
                <w:rFonts w:ascii="Arial"/>
                <w:sz w:val="15"/>
              </w:rPr>
              <w:t>3,3</w:t>
            </w:r>
          </w:p>
        </w:tc>
        <w:tc>
          <w:tcPr>
            <w:tcW w:w="427" w:type="dxa"/>
            <w:shd w:val="clear" w:color="auto" w:fill="EFEFEF"/>
          </w:tcPr>
          <w:p>
            <w:pPr>
              <w:pStyle w:val="TableParagraph"/>
              <w:spacing w:before="73"/>
              <w:ind w:left="52" w:right="21"/>
              <w:jc w:val="center"/>
              <w:rPr>
                <w:rFonts w:ascii="Arial"/>
                <w:sz w:val="15"/>
              </w:rPr>
            </w:pPr>
            <w:r>
              <w:rPr>
                <w:rFonts w:ascii="Arial"/>
                <w:sz w:val="15"/>
              </w:rPr>
              <w:t>3,3</w:t>
            </w:r>
          </w:p>
        </w:tc>
        <w:tc>
          <w:tcPr>
            <w:tcW w:w="427" w:type="dxa"/>
            <w:shd w:val="clear" w:color="auto" w:fill="EFEFEF"/>
          </w:tcPr>
          <w:p>
            <w:pPr>
              <w:pStyle w:val="TableParagraph"/>
              <w:spacing w:before="73"/>
              <w:ind w:left="125"/>
              <w:jc w:val="left"/>
              <w:rPr>
                <w:rFonts w:ascii="Arial"/>
                <w:sz w:val="15"/>
              </w:rPr>
            </w:pPr>
            <w:r>
              <w:rPr>
                <w:rFonts w:ascii="Arial"/>
                <w:sz w:val="15"/>
              </w:rPr>
              <w:t>3,3</w:t>
            </w:r>
          </w:p>
        </w:tc>
        <w:tc>
          <w:tcPr>
            <w:tcW w:w="427" w:type="dxa"/>
            <w:shd w:val="clear" w:color="auto" w:fill="EFEFEF"/>
          </w:tcPr>
          <w:p>
            <w:pPr>
              <w:pStyle w:val="TableParagraph"/>
              <w:spacing w:before="73"/>
              <w:ind w:right="85"/>
              <w:rPr>
                <w:rFonts w:ascii="Arial"/>
                <w:sz w:val="15"/>
              </w:rPr>
            </w:pPr>
            <w:r>
              <w:rPr>
                <w:rFonts w:ascii="Arial"/>
                <w:sz w:val="15"/>
              </w:rPr>
              <w:t>3,3</w:t>
            </w:r>
          </w:p>
        </w:tc>
        <w:tc>
          <w:tcPr>
            <w:tcW w:w="427" w:type="dxa"/>
            <w:tcBorders>
              <w:right w:val="single" w:sz="6" w:space="0" w:color="000000"/>
            </w:tcBorders>
            <w:shd w:val="clear" w:color="auto" w:fill="EFEFEF"/>
          </w:tcPr>
          <w:p>
            <w:pPr>
              <w:pStyle w:val="TableParagraph"/>
              <w:spacing w:before="73"/>
              <w:ind w:left="63" w:right="12"/>
              <w:jc w:val="center"/>
              <w:rPr>
                <w:rFonts w:ascii="Arial"/>
                <w:sz w:val="15"/>
              </w:rPr>
            </w:pPr>
            <w:r>
              <w:rPr>
                <w:rFonts w:ascii="Arial"/>
                <w:sz w:val="15"/>
              </w:rPr>
              <w:t>3,3</w:t>
            </w:r>
          </w:p>
        </w:tc>
      </w:tr>
      <w:tr>
        <w:trPr>
          <w:trHeight w:val="324" w:hRule="atLeast"/>
        </w:trPr>
        <w:tc>
          <w:tcPr>
            <w:tcW w:w="2087" w:type="dxa"/>
            <w:tcBorders>
              <w:left w:val="single" w:sz="6" w:space="0" w:color="000000"/>
              <w:right w:val="single" w:sz="6" w:space="0" w:color="000000"/>
            </w:tcBorders>
            <w:shd w:val="clear" w:color="auto" w:fill="EFEFEF"/>
          </w:tcPr>
          <w:p>
            <w:pPr>
              <w:pStyle w:val="TableParagraph"/>
              <w:spacing w:before="74"/>
              <w:ind w:left="27"/>
              <w:jc w:val="left"/>
              <w:rPr>
                <w:rFonts w:ascii="Arial"/>
                <w:sz w:val="15"/>
              </w:rPr>
            </w:pPr>
            <w:r>
              <w:rPr>
                <w:rFonts w:ascii="Arial"/>
                <w:sz w:val="15"/>
              </w:rPr>
              <w:t>Ammortizzatori sociali</w:t>
            </w:r>
          </w:p>
        </w:tc>
        <w:tc>
          <w:tcPr>
            <w:tcW w:w="429" w:type="dxa"/>
            <w:tcBorders>
              <w:left w:val="single" w:sz="6" w:space="0" w:color="000000"/>
            </w:tcBorders>
            <w:shd w:val="clear" w:color="auto" w:fill="EFEFEF"/>
          </w:tcPr>
          <w:p>
            <w:pPr>
              <w:pStyle w:val="TableParagraph"/>
              <w:spacing w:before="74"/>
              <w:ind w:right="100"/>
              <w:rPr>
                <w:rFonts w:ascii="Arial"/>
                <w:sz w:val="15"/>
              </w:rPr>
            </w:pPr>
            <w:r>
              <w:rPr>
                <w:rFonts w:ascii="Arial"/>
                <w:sz w:val="15"/>
              </w:rPr>
              <w:t>0,7</w:t>
            </w:r>
          </w:p>
        </w:tc>
        <w:tc>
          <w:tcPr>
            <w:tcW w:w="429" w:type="dxa"/>
            <w:shd w:val="clear" w:color="auto" w:fill="EFEFEF"/>
          </w:tcPr>
          <w:p>
            <w:pPr>
              <w:pStyle w:val="TableParagraph"/>
              <w:spacing w:before="74"/>
              <w:ind w:left="49" w:right="37"/>
              <w:jc w:val="center"/>
              <w:rPr>
                <w:rFonts w:ascii="Arial"/>
                <w:sz w:val="15"/>
              </w:rPr>
            </w:pPr>
            <w:r>
              <w:rPr>
                <w:rFonts w:ascii="Arial"/>
                <w:sz w:val="15"/>
              </w:rPr>
              <w:t>0,9</w:t>
            </w:r>
          </w:p>
        </w:tc>
        <w:tc>
          <w:tcPr>
            <w:tcW w:w="429" w:type="dxa"/>
            <w:shd w:val="clear" w:color="auto" w:fill="EFEFEF"/>
          </w:tcPr>
          <w:p>
            <w:pPr>
              <w:pStyle w:val="TableParagraph"/>
              <w:spacing w:before="74"/>
              <w:ind w:left="49" w:right="36"/>
              <w:jc w:val="center"/>
              <w:rPr>
                <w:rFonts w:ascii="Arial"/>
                <w:sz w:val="15"/>
              </w:rPr>
            </w:pPr>
            <w:r>
              <w:rPr>
                <w:rFonts w:ascii="Arial"/>
                <w:sz w:val="15"/>
              </w:rPr>
              <w:t>0,8</w:t>
            </w:r>
          </w:p>
        </w:tc>
        <w:tc>
          <w:tcPr>
            <w:tcW w:w="428" w:type="dxa"/>
            <w:shd w:val="clear" w:color="auto" w:fill="EFEFEF"/>
          </w:tcPr>
          <w:p>
            <w:pPr>
              <w:pStyle w:val="TableParagraph"/>
              <w:spacing w:before="74"/>
              <w:ind w:right="99"/>
              <w:rPr>
                <w:rFonts w:ascii="Arial"/>
                <w:sz w:val="15"/>
              </w:rPr>
            </w:pPr>
            <w:r>
              <w:rPr>
                <w:rFonts w:ascii="Arial"/>
                <w:sz w:val="15"/>
              </w:rPr>
              <w:t>0,7</w:t>
            </w:r>
          </w:p>
        </w:tc>
        <w:tc>
          <w:tcPr>
            <w:tcW w:w="428" w:type="dxa"/>
            <w:shd w:val="clear" w:color="auto" w:fill="EFEFEF"/>
          </w:tcPr>
          <w:p>
            <w:pPr>
              <w:pStyle w:val="TableParagraph"/>
              <w:spacing w:before="74"/>
              <w:ind w:left="49" w:right="34"/>
              <w:jc w:val="center"/>
              <w:rPr>
                <w:rFonts w:ascii="Arial"/>
                <w:sz w:val="15"/>
              </w:rPr>
            </w:pPr>
            <w:r>
              <w:rPr>
                <w:rFonts w:ascii="Arial"/>
                <w:sz w:val="15"/>
              </w:rPr>
              <w:t>0,7</w:t>
            </w:r>
          </w:p>
        </w:tc>
        <w:tc>
          <w:tcPr>
            <w:tcW w:w="428" w:type="dxa"/>
            <w:shd w:val="clear" w:color="auto" w:fill="EFEFEF"/>
          </w:tcPr>
          <w:p>
            <w:pPr>
              <w:pStyle w:val="TableParagraph"/>
              <w:spacing w:before="74"/>
              <w:ind w:left="49" w:right="32"/>
              <w:jc w:val="center"/>
              <w:rPr>
                <w:rFonts w:ascii="Arial"/>
                <w:sz w:val="15"/>
              </w:rPr>
            </w:pPr>
            <w:r>
              <w:rPr>
                <w:rFonts w:ascii="Arial"/>
                <w:sz w:val="15"/>
              </w:rPr>
              <w:t>0,7</w:t>
            </w:r>
          </w:p>
        </w:tc>
        <w:tc>
          <w:tcPr>
            <w:tcW w:w="427" w:type="dxa"/>
            <w:shd w:val="clear" w:color="auto" w:fill="EFEFEF"/>
          </w:tcPr>
          <w:p>
            <w:pPr>
              <w:pStyle w:val="TableParagraph"/>
              <w:spacing w:before="74"/>
              <w:ind w:left="52" w:right="32"/>
              <w:jc w:val="center"/>
              <w:rPr>
                <w:rFonts w:ascii="Arial"/>
                <w:sz w:val="15"/>
              </w:rPr>
            </w:pPr>
            <w:r>
              <w:rPr>
                <w:rFonts w:ascii="Arial"/>
                <w:sz w:val="15"/>
              </w:rPr>
              <w:t>0,6</w:t>
            </w:r>
          </w:p>
        </w:tc>
        <w:tc>
          <w:tcPr>
            <w:tcW w:w="427" w:type="dxa"/>
            <w:shd w:val="clear" w:color="auto" w:fill="EFEFEF"/>
          </w:tcPr>
          <w:p>
            <w:pPr>
              <w:pStyle w:val="TableParagraph"/>
              <w:spacing w:before="74"/>
              <w:ind w:left="119"/>
              <w:jc w:val="left"/>
              <w:rPr>
                <w:rFonts w:ascii="Arial"/>
                <w:sz w:val="15"/>
              </w:rPr>
            </w:pPr>
            <w:r>
              <w:rPr>
                <w:rFonts w:ascii="Arial"/>
                <w:sz w:val="15"/>
              </w:rPr>
              <w:t>0,6</w:t>
            </w:r>
          </w:p>
        </w:tc>
        <w:tc>
          <w:tcPr>
            <w:tcW w:w="427" w:type="dxa"/>
            <w:shd w:val="clear" w:color="auto" w:fill="EFEFEF"/>
          </w:tcPr>
          <w:p>
            <w:pPr>
              <w:pStyle w:val="TableParagraph"/>
              <w:spacing w:before="74"/>
              <w:ind w:left="122"/>
              <w:jc w:val="left"/>
              <w:rPr>
                <w:rFonts w:ascii="Arial"/>
                <w:sz w:val="15"/>
              </w:rPr>
            </w:pPr>
            <w:r>
              <w:rPr>
                <w:rFonts w:ascii="Arial"/>
                <w:sz w:val="15"/>
              </w:rPr>
              <w:t>0,6</w:t>
            </w:r>
          </w:p>
        </w:tc>
        <w:tc>
          <w:tcPr>
            <w:tcW w:w="427" w:type="dxa"/>
            <w:shd w:val="clear" w:color="auto" w:fill="EFEFEF"/>
          </w:tcPr>
          <w:p>
            <w:pPr>
              <w:pStyle w:val="TableParagraph"/>
              <w:spacing w:before="74"/>
              <w:ind w:left="52" w:right="21"/>
              <w:jc w:val="center"/>
              <w:rPr>
                <w:rFonts w:ascii="Arial"/>
                <w:sz w:val="15"/>
              </w:rPr>
            </w:pPr>
            <w:r>
              <w:rPr>
                <w:rFonts w:ascii="Arial"/>
                <w:sz w:val="15"/>
              </w:rPr>
              <w:t>0,6</w:t>
            </w:r>
          </w:p>
        </w:tc>
        <w:tc>
          <w:tcPr>
            <w:tcW w:w="427" w:type="dxa"/>
            <w:shd w:val="clear" w:color="auto" w:fill="EFEFEF"/>
          </w:tcPr>
          <w:p>
            <w:pPr>
              <w:pStyle w:val="TableParagraph"/>
              <w:spacing w:before="74"/>
              <w:ind w:left="125"/>
              <w:jc w:val="left"/>
              <w:rPr>
                <w:rFonts w:ascii="Arial"/>
                <w:sz w:val="15"/>
              </w:rPr>
            </w:pPr>
            <w:r>
              <w:rPr>
                <w:rFonts w:ascii="Arial"/>
                <w:sz w:val="15"/>
              </w:rPr>
              <w:t>0,6</w:t>
            </w:r>
          </w:p>
        </w:tc>
        <w:tc>
          <w:tcPr>
            <w:tcW w:w="427" w:type="dxa"/>
            <w:shd w:val="clear" w:color="auto" w:fill="EFEFEF"/>
          </w:tcPr>
          <w:p>
            <w:pPr>
              <w:pStyle w:val="TableParagraph"/>
              <w:spacing w:before="74"/>
              <w:ind w:right="85"/>
              <w:rPr>
                <w:rFonts w:ascii="Arial"/>
                <w:sz w:val="15"/>
              </w:rPr>
            </w:pPr>
            <w:r>
              <w:rPr>
                <w:rFonts w:ascii="Arial"/>
                <w:sz w:val="15"/>
              </w:rPr>
              <w:t>0,6</w:t>
            </w:r>
          </w:p>
        </w:tc>
        <w:tc>
          <w:tcPr>
            <w:tcW w:w="427" w:type="dxa"/>
            <w:tcBorders>
              <w:right w:val="single" w:sz="6" w:space="0" w:color="000000"/>
            </w:tcBorders>
            <w:shd w:val="clear" w:color="auto" w:fill="EFEFEF"/>
          </w:tcPr>
          <w:p>
            <w:pPr>
              <w:pStyle w:val="TableParagraph"/>
              <w:spacing w:before="74"/>
              <w:ind w:left="63" w:right="12"/>
              <w:jc w:val="center"/>
              <w:rPr>
                <w:rFonts w:ascii="Arial"/>
                <w:sz w:val="15"/>
              </w:rPr>
            </w:pPr>
            <w:r>
              <w:rPr>
                <w:rFonts w:ascii="Arial"/>
                <w:sz w:val="15"/>
              </w:rPr>
              <w:t>0,6</w:t>
            </w:r>
          </w:p>
        </w:tc>
      </w:tr>
      <w:tr>
        <w:trPr>
          <w:trHeight w:val="409" w:hRule="atLeast"/>
        </w:trPr>
        <w:tc>
          <w:tcPr>
            <w:tcW w:w="2087" w:type="dxa"/>
            <w:tcBorders>
              <w:left w:val="single" w:sz="6" w:space="0" w:color="000000"/>
              <w:bottom w:val="single" w:sz="6" w:space="0" w:color="000000"/>
              <w:right w:val="single" w:sz="6" w:space="0" w:color="000000"/>
            </w:tcBorders>
            <w:shd w:val="clear" w:color="auto" w:fill="EFEFEF"/>
          </w:tcPr>
          <w:p>
            <w:pPr>
              <w:pStyle w:val="TableParagraph"/>
              <w:spacing w:before="73"/>
              <w:ind w:left="27"/>
              <w:jc w:val="left"/>
              <w:rPr>
                <w:rFonts w:ascii="Arial"/>
                <w:sz w:val="15"/>
              </w:rPr>
            </w:pPr>
            <w:r>
              <w:rPr>
                <w:rFonts w:ascii="Arial"/>
                <w:sz w:val="15"/>
              </w:rPr>
              <w:t>Totale</w:t>
            </w:r>
          </w:p>
        </w:tc>
        <w:tc>
          <w:tcPr>
            <w:tcW w:w="429" w:type="dxa"/>
            <w:tcBorders>
              <w:left w:val="single" w:sz="6" w:space="0" w:color="000000"/>
              <w:bottom w:val="single" w:sz="6" w:space="0" w:color="000000"/>
            </w:tcBorders>
            <w:shd w:val="clear" w:color="auto" w:fill="EFEFEF"/>
          </w:tcPr>
          <w:p>
            <w:pPr>
              <w:pStyle w:val="TableParagraph"/>
              <w:spacing w:before="73"/>
              <w:ind w:right="65"/>
              <w:rPr>
                <w:rFonts w:ascii="Arial"/>
                <w:sz w:val="15"/>
              </w:rPr>
            </w:pPr>
            <w:r>
              <w:rPr>
                <w:rFonts w:ascii="Arial"/>
                <w:sz w:val="15"/>
              </w:rPr>
              <w:t>27,4</w:t>
            </w:r>
          </w:p>
        </w:tc>
        <w:tc>
          <w:tcPr>
            <w:tcW w:w="429" w:type="dxa"/>
            <w:tcBorders>
              <w:bottom w:val="single" w:sz="6" w:space="0" w:color="000000"/>
            </w:tcBorders>
            <w:shd w:val="clear" w:color="auto" w:fill="EFEFEF"/>
          </w:tcPr>
          <w:p>
            <w:pPr>
              <w:pStyle w:val="TableParagraph"/>
              <w:spacing w:before="73"/>
              <w:ind w:left="49" w:right="48"/>
              <w:jc w:val="center"/>
              <w:rPr>
                <w:rFonts w:ascii="Arial"/>
                <w:sz w:val="15"/>
              </w:rPr>
            </w:pPr>
            <w:r>
              <w:rPr>
                <w:rFonts w:ascii="Arial"/>
                <w:sz w:val="15"/>
              </w:rPr>
              <w:t>27,9</w:t>
            </w:r>
          </w:p>
        </w:tc>
        <w:tc>
          <w:tcPr>
            <w:tcW w:w="429" w:type="dxa"/>
            <w:tcBorders>
              <w:bottom w:val="single" w:sz="6" w:space="0" w:color="000000"/>
            </w:tcBorders>
            <w:shd w:val="clear" w:color="auto" w:fill="EFEFEF"/>
          </w:tcPr>
          <w:p>
            <w:pPr>
              <w:pStyle w:val="TableParagraph"/>
              <w:spacing w:before="73"/>
              <w:ind w:left="49" w:right="48"/>
              <w:jc w:val="center"/>
              <w:rPr>
                <w:rFonts w:ascii="Arial"/>
                <w:sz w:val="15"/>
              </w:rPr>
            </w:pPr>
            <w:r>
              <w:rPr>
                <w:rFonts w:ascii="Arial"/>
                <w:sz w:val="15"/>
              </w:rPr>
              <w:t>27,4</w:t>
            </w:r>
          </w:p>
        </w:tc>
        <w:tc>
          <w:tcPr>
            <w:tcW w:w="428" w:type="dxa"/>
            <w:tcBorders>
              <w:bottom w:val="single" w:sz="6" w:space="0" w:color="000000"/>
            </w:tcBorders>
            <w:shd w:val="clear" w:color="auto" w:fill="EFEFEF"/>
          </w:tcPr>
          <w:p>
            <w:pPr>
              <w:pStyle w:val="TableParagraph"/>
              <w:spacing w:before="73"/>
              <w:ind w:right="64"/>
              <w:rPr>
                <w:rFonts w:ascii="Arial"/>
                <w:sz w:val="15"/>
              </w:rPr>
            </w:pPr>
            <w:r>
              <w:rPr>
                <w:rFonts w:ascii="Arial"/>
                <w:sz w:val="15"/>
              </w:rPr>
              <w:t>27,5</w:t>
            </w:r>
          </w:p>
        </w:tc>
        <w:tc>
          <w:tcPr>
            <w:tcW w:w="428" w:type="dxa"/>
            <w:tcBorders>
              <w:bottom w:val="single" w:sz="6" w:space="0" w:color="000000"/>
            </w:tcBorders>
            <w:shd w:val="clear" w:color="auto" w:fill="EFEFEF"/>
          </w:tcPr>
          <w:p>
            <w:pPr>
              <w:pStyle w:val="TableParagraph"/>
              <w:spacing w:before="73"/>
              <w:ind w:left="48" w:right="45"/>
              <w:jc w:val="center"/>
              <w:rPr>
                <w:rFonts w:ascii="Arial"/>
                <w:sz w:val="15"/>
              </w:rPr>
            </w:pPr>
            <w:r>
              <w:rPr>
                <w:rFonts w:ascii="Arial"/>
                <w:sz w:val="15"/>
              </w:rPr>
              <w:t>28,6</w:t>
            </w:r>
          </w:p>
        </w:tc>
        <w:tc>
          <w:tcPr>
            <w:tcW w:w="428" w:type="dxa"/>
            <w:tcBorders>
              <w:bottom w:val="single" w:sz="6" w:space="0" w:color="000000"/>
            </w:tcBorders>
            <w:shd w:val="clear" w:color="auto" w:fill="EFEFEF"/>
          </w:tcPr>
          <w:p>
            <w:pPr>
              <w:pStyle w:val="TableParagraph"/>
              <w:spacing w:before="73"/>
              <w:ind w:left="49" w:right="44"/>
              <w:jc w:val="center"/>
              <w:rPr>
                <w:rFonts w:ascii="Arial"/>
                <w:sz w:val="15"/>
              </w:rPr>
            </w:pPr>
            <w:r>
              <w:rPr>
                <w:rFonts w:ascii="Arial"/>
                <w:sz w:val="15"/>
              </w:rPr>
              <w:t>29,8</w:t>
            </w:r>
          </w:p>
        </w:tc>
        <w:tc>
          <w:tcPr>
            <w:tcW w:w="427" w:type="dxa"/>
            <w:tcBorders>
              <w:bottom w:val="single" w:sz="6" w:space="0" w:color="000000"/>
            </w:tcBorders>
            <w:shd w:val="clear" w:color="auto" w:fill="EFEFEF"/>
          </w:tcPr>
          <w:p>
            <w:pPr>
              <w:pStyle w:val="TableParagraph"/>
              <w:spacing w:before="73"/>
              <w:ind w:left="46" w:right="37"/>
              <w:jc w:val="center"/>
              <w:rPr>
                <w:rFonts w:ascii="Arial"/>
                <w:sz w:val="15"/>
              </w:rPr>
            </w:pPr>
            <w:r>
              <w:rPr>
                <w:rFonts w:ascii="Arial"/>
                <w:sz w:val="15"/>
              </w:rPr>
              <w:t>30,7</w:t>
            </w:r>
          </w:p>
        </w:tc>
        <w:tc>
          <w:tcPr>
            <w:tcW w:w="427" w:type="dxa"/>
            <w:tcBorders>
              <w:bottom w:val="single" w:sz="6" w:space="0" w:color="000000"/>
            </w:tcBorders>
            <w:shd w:val="clear" w:color="auto" w:fill="EFEFEF"/>
          </w:tcPr>
          <w:p>
            <w:pPr>
              <w:pStyle w:val="TableParagraph"/>
              <w:spacing w:before="73"/>
              <w:ind w:left="73"/>
              <w:jc w:val="left"/>
              <w:rPr>
                <w:rFonts w:ascii="Arial"/>
                <w:sz w:val="15"/>
              </w:rPr>
            </w:pPr>
            <w:r>
              <w:rPr>
                <w:rFonts w:ascii="Arial"/>
                <w:sz w:val="15"/>
              </w:rPr>
              <w:t>30,8</w:t>
            </w:r>
          </w:p>
        </w:tc>
        <w:tc>
          <w:tcPr>
            <w:tcW w:w="427" w:type="dxa"/>
            <w:tcBorders>
              <w:bottom w:val="single" w:sz="6" w:space="0" w:color="000000"/>
            </w:tcBorders>
            <w:shd w:val="clear" w:color="auto" w:fill="EFEFEF"/>
          </w:tcPr>
          <w:p>
            <w:pPr>
              <w:pStyle w:val="TableParagraph"/>
              <w:spacing w:before="73"/>
              <w:ind w:left="75"/>
              <w:jc w:val="left"/>
              <w:rPr>
                <w:rFonts w:ascii="Arial"/>
                <w:sz w:val="15"/>
              </w:rPr>
            </w:pPr>
            <w:r>
              <w:rPr>
                <w:rFonts w:ascii="Arial"/>
                <w:sz w:val="15"/>
              </w:rPr>
              <w:t>30,0</w:t>
            </w:r>
          </w:p>
        </w:tc>
        <w:tc>
          <w:tcPr>
            <w:tcW w:w="427" w:type="dxa"/>
            <w:tcBorders>
              <w:bottom w:val="single" w:sz="6" w:space="0" w:color="000000"/>
            </w:tcBorders>
            <w:shd w:val="clear" w:color="auto" w:fill="EFEFEF"/>
          </w:tcPr>
          <w:p>
            <w:pPr>
              <w:pStyle w:val="TableParagraph"/>
              <w:spacing w:before="73"/>
              <w:ind w:left="52" w:right="32"/>
              <w:jc w:val="center"/>
              <w:rPr>
                <w:rFonts w:ascii="Arial"/>
                <w:sz w:val="15"/>
              </w:rPr>
            </w:pPr>
            <w:r>
              <w:rPr>
                <w:rFonts w:ascii="Arial"/>
                <w:sz w:val="15"/>
              </w:rPr>
              <w:t>28,8</w:t>
            </w:r>
          </w:p>
        </w:tc>
        <w:tc>
          <w:tcPr>
            <w:tcW w:w="427" w:type="dxa"/>
            <w:tcBorders>
              <w:bottom w:val="single" w:sz="6" w:space="0" w:color="000000"/>
            </w:tcBorders>
            <w:shd w:val="clear" w:color="auto" w:fill="EFEFEF"/>
          </w:tcPr>
          <w:p>
            <w:pPr>
              <w:pStyle w:val="TableParagraph"/>
              <w:spacing w:before="73"/>
              <w:ind w:left="79"/>
              <w:jc w:val="left"/>
              <w:rPr>
                <w:rFonts w:ascii="Arial"/>
                <w:sz w:val="15"/>
              </w:rPr>
            </w:pPr>
            <w:r>
              <w:rPr>
                <w:rFonts w:ascii="Arial"/>
                <w:sz w:val="15"/>
              </w:rPr>
              <w:t>28,0</w:t>
            </w:r>
          </w:p>
        </w:tc>
        <w:tc>
          <w:tcPr>
            <w:tcW w:w="427" w:type="dxa"/>
            <w:tcBorders>
              <w:bottom w:val="single" w:sz="6" w:space="0" w:color="000000"/>
            </w:tcBorders>
            <w:shd w:val="clear" w:color="auto" w:fill="EFEFEF"/>
          </w:tcPr>
          <w:p>
            <w:pPr>
              <w:pStyle w:val="TableParagraph"/>
              <w:spacing w:before="73"/>
              <w:ind w:right="51"/>
              <w:rPr>
                <w:rFonts w:ascii="Arial"/>
                <w:sz w:val="15"/>
              </w:rPr>
            </w:pPr>
            <w:r>
              <w:rPr>
                <w:rFonts w:ascii="Arial"/>
                <w:sz w:val="15"/>
              </w:rPr>
              <w:t>27,3</w:t>
            </w:r>
          </w:p>
        </w:tc>
        <w:tc>
          <w:tcPr>
            <w:tcW w:w="427" w:type="dxa"/>
            <w:tcBorders>
              <w:bottom w:val="single" w:sz="6" w:space="0" w:color="000000"/>
              <w:right w:val="single" w:sz="6" w:space="0" w:color="000000"/>
            </w:tcBorders>
            <w:shd w:val="clear" w:color="auto" w:fill="EFEFEF"/>
          </w:tcPr>
          <w:p>
            <w:pPr>
              <w:pStyle w:val="TableParagraph"/>
              <w:spacing w:before="73"/>
              <w:ind w:left="63" w:right="24"/>
              <w:jc w:val="center"/>
              <w:rPr>
                <w:rFonts w:ascii="Arial"/>
                <w:sz w:val="15"/>
              </w:rPr>
            </w:pPr>
            <w:r>
              <w:rPr>
                <w:rFonts w:ascii="Arial"/>
                <w:sz w:val="15"/>
              </w:rPr>
              <w:t>26,9</w:t>
            </w:r>
          </w:p>
        </w:tc>
      </w:tr>
    </w:tbl>
    <w:p>
      <w:pPr>
        <w:pStyle w:val="BodyText"/>
        <w:rPr>
          <w:rFonts w:ascii="Franklin Gothic Heavy"/>
          <w:b/>
          <w:sz w:val="18"/>
        </w:rPr>
      </w:pPr>
    </w:p>
    <w:p>
      <w:pPr>
        <w:pStyle w:val="BodyText"/>
        <w:spacing w:before="10"/>
        <w:rPr>
          <w:rFonts w:ascii="Franklin Gothic Heavy"/>
          <w:b/>
          <w:sz w:val="25"/>
        </w:rPr>
      </w:pPr>
    </w:p>
    <w:p>
      <w:pPr>
        <w:spacing w:line="254" w:lineRule="auto" w:before="0"/>
        <w:ind w:left="1630" w:right="1400" w:firstLine="0"/>
        <w:jc w:val="both"/>
        <w:rPr>
          <w:rFonts w:ascii="Franklin Gothic Book"/>
          <w:sz w:val="20"/>
        </w:rPr>
      </w:pPr>
      <w:r>
        <w:rPr>
          <w:rFonts w:ascii="Franklin Gothic Book"/>
          <w:sz w:val="20"/>
        </w:rPr>
        <w:t>La curva in grassetto della Figura 2 presenta la previsione della spesa pensionistica in rapporto al PIL a legislazione vigente, secondo lo scenario EPC-WGA, ponendola a confronto con quella che si sarebbe avuta sulla base dei regimi antecedenti i principali interventi di riforma.</w:t>
      </w:r>
      <w:r>
        <w:rPr>
          <w:rFonts w:ascii="Franklin Gothic Book"/>
          <w:spacing w:val="-7"/>
          <w:sz w:val="20"/>
        </w:rPr>
        <w:t> </w:t>
      </w:r>
      <w:r>
        <w:rPr>
          <w:rFonts w:ascii="Franklin Gothic Book"/>
          <w:sz w:val="20"/>
        </w:rPr>
        <w:t>Rispetto</w:t>
      </w:r>
      <w:r>
        <w:rPr>
          <w:rFonts w:ascii="Franklin Gothic Book"/>
          <w:spacing w:val="-8"/>
          <w:sz w:val="20"/>
        </w:rPr>
        <w:t> </w:t>
      </w:r>
      <w:r>
        <w:rPr>
          <w:rFonts w:ascii="Franklin Gothic Book"/>
          <w:sz w:val="20"/>
        </w:rPr>
        <w:t>alla</w:t>
      </w:r>
      <w:r>
        <w:rPr>
          <w:rFonts w:ascii="Franklin Gothic Book"/>
          <w:spacing w:val="-6"/>
          <w:sz w:val="20"/>
        </w:rPr>
        <w:t> </w:t>
      </w:r>
      <w:r>
        <w:rPr>
          <w:rFonts w:ascii="Franklin Gothic Book"/>
          <w:sz w:val="20"/>
        </w:rPr>
        <w:t>legislazione</w:t>
      </w:r>
      <w:r>
        <w:rPr>
          <w:rFonts w:ascii="Franklin Gothic Book"/>
          <w:spacing w:val="-8"/>
          <w:sz w:val="20"/>
        </w:rPr>
        <w:t> </w:t>
      </w:r>
      <w:r>
        <w:rPr>
          <w:rFonts w:ascii="Franklin Gothic Book"/>
          <w:sz w:val="20"/>
        </w:rPr>
        <w:t>immediatamente</w:t>
      </w:r>
      <w:r>
        <w:rPr>
          <w:rFonts w:ascii="Franklin Gothic Book"/>
          <w:spacing w:val="-8"/>
          <w:sz w:val="20"/>
        </w:rPr>
        <w:t> </w:t>
      </w:r>
      <w:r>
        <w:rPr>
          <w:rFonts w:ascii="Franklin Gothic Book"/>
          <w:sz w:val="20"/>
        </w:rPr>
        <w:t>precedente,</w:t>
      </w:r>
      <w:r>
        <w:rPr>
          <w:rFonts w:ascii="Franklin Gothic Book"/>
          <w:spacing w:val="-6"/>
          <w:sz w:val="20"/>
        </w:rPr>
        <w:t> </w:t>
      </w:r>
      <w:r>
        <w:rPr>
          <w:rFonts w:ascii="Franklin Gothic Book"/>
          <w:sz w:val="20"/>
        </w:rPr>
        <w:t>le</w:t>
      </w:r>
      <w:r>
        <w:rPr>
          <w:rFonts w:ascii="Franklin Gothic Book"/>
          <w:spacing w:val="-9"/>
          <w:sz w:val="20"/>
        </w:rPr>
        <w:t> </w:t>
      </w:r>
      <w:r>
        <w:rPr>
          <w:rFonts w:ascii="Franklin Gothic Book"/>
          <w:sz w:val="20"/>
        </w:rPr>
        <w:t>misure</w:t>
      </w:r>
      <w:r>
        <w:rPr>
          <w:rFonts w:ascii="Franklin Gothic Book"/>
          <w:spacing w:val="-8"/>
          <w:sz w:val="20"/>
        </w:rPr>
        <w:t> </w:t>
      </w:r>
      <w:r>
        <w:rPr>
          <w:rFonts w:ascii="Franklin Gothic Book"/>
          <w:sz w:val="20"/>
        </w:rPr>
        <w:t>contenute</w:t>
      </w:r>
      <w:r>
        <w:rPr>
          <w:rFonts w:ascii="Franklin Gothic Book"/>
          <w:spacing w:val="-7"/>
          <w:sz w:val="20"/>
        </w:rPr>
        <w:t> </w:t>
      </w:r>
      <w:r>
        <w:rPr>
          <w:rFonts w:ascii="Franklin Gothic Book"/>
          <w:sz w:val="20"/>
        </w:rPr>
        <w:t>nel</w:t>
      </w:r>
      <w:r>
        <w:rPr>
          <w:rFonts w:ascii="Franklin Gothic Book"/>
          <w:spacing w:val="-9"/>
          <w:sz w:val="20"/>
        </w:rPr>
        <w:t> </w:t>
      </w:r>
      <w:r>
        <w:rPr>
          <w:rFonts w:ascii="Franklin Gothic Book"/>
          <w:sz w:val="20"/>
        </w:rPr>
        <w:t>D.L.</w:t>
      </w:r>
    </w:p>
    <w:p>
      <w:pPr>
        <w:spacing w:line="254" w:lineRule="auto" w:before="0"/>
        <w:ind w:left="1630" w:right="1403" w:firstLine="0"/>
        <w:jc w:val="both"/>
        <w:rPr>
          <w:rFonts w:ascii="Franklin Gothic Book" w:hAnsi="Franklin Gothic Book"/>
          <w:sz w:val="20"/>
        </w:rPr>
      </w:pPr>
      <w:r>
        <w:rPr>
          <w:rFonts w:ascii="Franklin Gothic Book" w:hAnsi="Franklin Gothic Book"/>
          <w:sz w:val="20"/>
        </w:rPr>
        <w:t>n. 4/2019 e nella Legge di Bilancio per il 2019 (Legge n. 145/2018) incluse nello scenario a normativa vigente producono, nel periodo 2019-2036, un incremento di incidenza della spesa pensionistica in rapporto al PIL pari in media a circa 0,2 punti annui, con profilo progressivamente decrescente a partire dai primi anni di previsione, ove è più concentrata la maggiore incidenza della spesa in rapporto al PIL.</w:t>
      </w:r>
    </w:p>
    <w:p>
      <w:pPr>
        <w:spacing w:line="254" w:lineRule="auto" w:before="57"/>
        <w:ind w:left="1630" w:right="1399" w:firstLine="0"/>
        <w:jc w:val="both"/>
        <w:rPr>
          <w:rFonts w:ascii="Franklin Gothic Book" w:hAnsi="Franklin Gothic Book"/>
          <w:sz w:val="20"/>
        </w:rPr>
      </w:pPr>
      <w:r>
        <w:rPr>
          <w:rFonts w:ascii="Franklin Gothic Book" w:hAnsi="Franklin Gothic Book"/>
          <w:sz w:val="20"/>
        </w:rPr>
        <w:t>Grazie al complessivo processo di riforma attuato a partire dal 2004, l'età media al pensionamento (tenendo in considerazione sia l'età del pensionamento di vecchiaia che i requisiti per il pensionamento anticipato) aumenta da 60-61 durante il periodo 2006-2010 a circa 63 nel 2017, a 67 nel 2040 e poi a circa 68 nel 2050. Cumulativamente la minore incidenza</w:t>
      </w:r>
      <w:r>
        <w:rPr>
          <w:rFonts w:ascii="Franklin Gothic Book" w:hAnsi="Franklin Gothic Book"/>
          <w:spacing w:val="-15"/>
          <w:sz w:val="20"/>
        </w:rPr>
        <w:t> </w:t>
      </w:r>
      <w:r>
        <w:rPr>
          <w:rFonts w:ascii="Franklin Gothic Book" w:hAnsi="Franklin Gothic Book"/>
          <w:sz w:val="20"/>
        </w:rPr>
        <w:t>della</w:t>
      </w:r>
      <w:r>
        <w:rPr>
          <w:rFonts w:ascii="Franklin Gothic Book" w:hAnsi="Franklin Gothic Book"/>
          <w:spacing w:val="-15"/>
          <w:sz w:val="20"/>
        </w:rPr>
        <w:t> </w:t>
      </w:r>
      <w:r>
        <w:rPr>
          <w:rFonts w:ascii="Franklin Gothic Book" w:hAnsi="Franklin Gothic Book"/>
          <w:sz w:val="20"/>
        </w:rPr>
        <w:t>spesa</w:t>
      </w:r>
      <w:r>
        <w:rPr>
          <w:rFonts w:ascii="Franklin Gothic Book" w:hAnsi="Franklin Gothic Book"/>
          <w:spacing w:val="-15"/>
          <w:sz w:val="20"/>
        </w:rPr>
        <w:t> </w:t>
      </w:r>
      <w:r>
        <w:rPr>
          <w:rFonts w:ascii="Franklin Gothic Book" w:hAnsi="Franklin Gothic Book"/>
          <w:sz w:val="20"/>
        </w:rPr>
        <w:t>in</w:t>
      </w:r>
      <w:r>
        <w:rPr>
          <w:rFonts w:ascii="Franklin Gothic Book" w:hAnsi="Franklin Gothic Book"/>
          <w:spacing w:val="-13"/>
          <w:sz w:val="20"/>
        </w:rPr>
        <w:t> </w:t>
      </w:r>
      <w:r>
        <w:rPr>
          <w:rFonts w:ascii="Franklin Gothic Book" w:hAnsi="Franklin Gothic Book"/>
          <w:sz w:val="20"/>
        </w:rPr>
        <w:t>rapporto</w:t>
      </w:r>
      <w:r>
        <w:rPr>
          <w:rFonts w:ascii="Franklin Gothic Book" w:hAnsi="Franklin Gothic Book"/>
          <w:spacing w:val="-15"/>
          <w:sz w:val="20"/>
        </w:rPr>
        <w:t> </w:t>
      </w:r>
      <w:r>
        <w:rPr>
          <w:rFonts w:ascii="Franklin Gothic Book" w:hAnsi="Franklin Gothic Book"/>
          <w:sz w:val="20"/>
        </w:rPr>
        <w:t>al</w:t>
      </w:r>
      <w:r>
        <w:rPr>
          <w:rFonts w:ascii="Franklin Gothic Book" w:hAnsi="Franklin Gothic Book"/>
          <w:spacing w:val="-13"/>
          <w:sz w:val="20"/>
        </w:rPr>
        <w:t> </w:t>
      </w:r>
      <w:r>
        <w:rPr>
          <w:rFonts w:ascii="Franklin Gothic Book" w:hAnsi="Franklin Gothic Book"/>
          <w:sz w:val="20"/>
        </w:rPr>
        <w:t>PIL</w:t>
      </w:r>
      <w:r>
        <w:rPr>
          <w:rFonts w:ascii="Franklin Gothic Book" w:hAnsi="Franklin Gothic Book"/>
          <w:spacing w:val="-14"/>
          <w:sz w:val="20"/>
        </w:rPr>
        <w:t> </w:t>
      </w:r>
      <w:r>
        <w:rPr>
          <w:rFonts w:ascii="Franklin Gothic Book" w:hAnsi="Franklin Gothic Book"/>
          <w:sz w:val="20"/>
        </w:rPr>
        <w:t>derivante</w:t>
      </w:r>
      <w:r>
        <w:rPr>
          <w:rFonts w:ascii="Franklin Gothic Book" w:hAnsi="Franklin Gothic Book"/>
          <w:spacing w:val="-13"/>
          <w:sz w:val="20"/>
        </w:rPr>
        <w:t> </w:t>
      </w:r>
      <w:r>
        <w:rPr>
          <w:rFonts w:ascii="Franklin Gothic Book" w:hAnsi="Franklin Gothic Book"/>
          <w:sz w:val="20"/>
        </w:rPr>
        <w:t>dal</w:t>
      </w:r>
      <w:r>
        <w:rPr>
          <w:rFonts w:ascii="Franklin Gothic Book" w:hAnsi="Franklin Gothic Book"/>
          <w:spacing w:val="-15"/>
          <w:sz w:val="20"/>
        </w:rPr>
        <w:t> </w:t>
      </w:r>
      <w:r>
        <w:rPr>
          <w:rFonts w:ascii="Franklin Gothic Book" w:hAnsi="Franklin Gothic Book"/>
          <w:sz w:val="20"/>
        </w:rPr>
        <w:t>complessivo</w:t>
      </w:r>
      <w:r>
        <w:rPr>
          <w:rFonts w:ascii="Franklin Gothic Book" w:hAnsi="Franklin Gothic Book"/>
          <w:spacing w:val="-13"/>
          <w:sz w:val="20"/>
        </w:rPr>
        <w:t> </w:t>
      </w:r>
      <w:r>
        <w:rPr>
          <w:rFonts w:ascii="Franklin Gothic Book" w:hAnsi="Franklin Gothic Book"/>
          <w:sz w:val="20"/>
        </w:rPr>
        <w:t>processo</w:t>
      </w:r>
      <w:r>
        <w:rPr>
          <w:rFonts w:ascii="Franklin Gothic Book" w:hAnsi="Franklin Gothic Book"/>
          <w:spacing w:val="-15"/>
          <w:sz w:val="20"/>
        </w:rPr>
        <w:t> </w:t>
      </w:r>
      <w:r>
        <w:rPr>
          <w:rFonts w:ascii="Franklin Gothic Book" w:hAnsi="Franklin Gothic Book"/>
          <w:sz w:val="20"/>
        </w:rPr>
        <w:t>di</w:t>
      </w:r>
      <w:r>
        <w:rPr>
          <w:rFonts w:ascii="Franklin Gothic Book" w:hAnsi="Franklin Gothic Book"/>
          <w:spacing w:val="-13"/>
          <w:sz w:val="20"/>
        </w:rPr>
        <w:t> </w:t>
      </w:r>
      <w:r>
        <w:rPr>
          <w:rFonts w:ascii="Franklin Gothic Book" w:hAnsi="Franklin Gothic Book"/>
          <w:sz w:val="20"/>
        </w:rPr>
        <w:t>riforma</w:t>
      </w:r>
      <w:r>
        <w:rPr>
          <w:rFonts w:ascii="Franklin Gothic Book" w:hAnsi="Franklin Gothic Book"/>
          <w:spacing w:val="-11"/>
          <w:sz w:val="20"/>
        </w:rPr>
        <w:t> </w:t>
      </w:r>
      <w:r>
        <w:rPr>
          <w:rFonts w:ascii="Franklin Gothic Book" w:hAnsi="Franklin Gothic Book"/>
          <w:sz w:val="20"/>
        </w:rPr>
        <w:t>avviato nel 2004 ammonta a circa 60 punti percentuali di PIL al 2060.</w:t>
      </w:r>
    </w:p>
    <w:p>
      <w:pPr>
        <w:spacing w:after="0" w:line="254" w:lineRule="auto"/>
        <w:jc w:val="both"/>
        <w:rPr>
          <w:rFonts w:ascii="Franklin Gothic Book" w:hAnsi="Franklin Gothic Book"/>
          <w:sz w:val="20"/>
        </w:rPr>
        <w:sectPr>
          <w:pgSz w:w="11910" w:h="16840"/>
          <w:pgMar w:header="838" w:footer="866" w:top="1100" w:bottom="1060" w:left="1140" w:right="0"/>
        </w:sect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spacing w:before="7"/>
        <w:rPr>
          <w:rFonts w:ascii="Franklin Gothic Book"/>
          <w:sz w:val="16"/>
        </w:rPr>
      </w:pPr>
    </w:p>
    <w:p>
      <w:pPr>
        <w:pStyle w:val="BodyText"/>
        <w:ind w:left="278"/>
        <w:rPr>
          <w:rFonts w:ascii="Franklin Gothic Book"/>
          <w:sz w:val="20"/>
        </w:rPr>
      </w:pPr>
      <w:r>
        <w:rPr>
          <w:rFonts w:ascii="Franklin Gothic Book"/>
          <w:sz w:val="20"/>
        </w:rPr>
        <w:pict>
          <v:group style="width:414.75pt;height:261.6500pt;mso-position-horizontal-relative:char;mso-position-vertical-relative:line" coordorigin="0,0" coordsize="8295,5233">
            <v:rect style="position:absolute;left:28;top:0;width:22;height:5233" filled="true" fillcolor="#efefef" stroked="false">
              <v:fill type="solid"/>
            </v:rect>
            <v:rect style="position:absolute;left:50;top:0;width:8188;height:5233" filled="true" fillcolor="#efefef" stroked="false">
              <v:fill type="solid"/>
            </v:rect>
            <v:rect style="position:absolute;left:50;top:0;width:454;height:476" filled="true" fillcolor="#efefef" stroked="false">
              <v:fill type="solid"/>
            </v:rect>
            <v:rect style="position:absolute;left:50;top:475;width:454;height:4297" filled="true" fillcolor="#efefef" stroked="false">
              <v:fill type="solid"/>
            </v:rect>
            <v:rect style="position:absolute;left:8202;top:473;width:70;height:4299" filled="true" fillcolor="#efefef" stroked="false">
              <v:fill type="solid"/>
            </v:rect>
            <v:rect style="position:absolute;left:504;top:473;width:70;height:4299" filled="true" fillcolor="#efefef" stroked="false">
              <v:fill type="solid"/>
            </v:rect>
            <v:rect style="position:absolute;left:573;top:497;width:7629;height:4251" filled="true" fillcolor="#efefef" stroked="false">
              <v:fill type="solid"/>
            </v:rect>
            <v:line style="position:absolute" from="504,487" to="8274,487" stroked="true" strokeweight="1.2pt" strokecolor="#efefef">
              <v:stroke dashstyle="solid"/>
            </v:line>
            <v:rect style="position:absolute;left:50;top:4771;width:454;height:461" filled="true" fillcolor="#efefef" stroked="false">
              <v:fill type="solid"/>
            </v:rect>
            <v:rect style="position:absolute;left:504;top:4776;width:7768;height:24" filled="true" fillcolor="#efefef" stroked="false">
              <v:fill type="solid"/>
            </v:rect>
            <v:rect style="position:absolute;left:504;top:5179;width:7768;height:24" filled="true" fillcolor="#efefef" stroked="false">
              <v:fill type="solid"/>
            </v:rect>
            <v:rect style="position:absolute;left:504;top:4800;width:7768;height:190" filled="true" fillcolor="#efefef" stroked="false">
              <v:fill type="solid"/>
            </v:rect>
            <v:rect style="position:absolute;left:504;top:4990;width:7768;height:190" filled="true" fillcolor="#efefef" stroked="false">
              <v:fill type="solid"/>
            </v:rect>
            <v:line style="position:absolute" from="504,4774" to="8274,4774" stroked="true" strokeweight=".24002pt" strokecolor="#000000">
              <v:stroke dashstyle="solid"/>
            </v:line>
            <v:rect style="position:absolute;left:504;top:4776;width:7771;height:24" filled="true" fillcolor="#efefef" stroked="false">
              <v:fill type="solid"/>
            </v:rect>
            <v:rect style="position:absolute;left:489;top:5203;width:7785;height:29" filled="true" fillcolor="#086d44" stroked="false">
              <v:fill type="solid"/>
            </v:rect>
            <v:rect style="position:absolute;left:0;top:0;width:29;height:5233" filled="true" fillcolor="#086d44" stroked="false">
              <v:fill type="solid"/>
            </v:rect>
            <v:rect style="position:absolute;left:1008;top:596;width:6944;height:3772" filled="false" stroked="true" strokeweight=".25pt" strokecolor="#000000">
              <v:stroke dashstyle="solid"/>
            </v:rect>
            <v:line style="position:absolute" from="1008,4368" to="1008,597" stroked="true" strokeweight=".5pt" strokecolor="#000000">
              <v:stroke dashstyle="solid"/>
            </v:line>
            <v:line style="position:absolute" from="1008,4368" to="1059,4368" stroked="true" strokeweight=".5pt" strokecolor="#000000">
              <v:stroke dashstyle="solid"/>
            </v:line>
            <v:line style="position:absolute" from="1008,3950" to="1059,3950" stroked="true" strokeweight=".5pt" strokecolor="#000000">
              <v:stroke dashstyle="solid"/>
            </v:line>
            <v:line style="position:absolute" from="1008,3530" to="1059,3530" stroked="true" strokeweight=".5pt" strokecolor="#000000">
              <v:stroke dashstyle="solid"/>
            </v:line>
            <v:line style="position:absolute" from="1008,3110" to="1059,3110" stroked="true" strokeweight=".5pt" strokecolor="#000000">
              <v:stroke dashstyle="solid"/>
            </v:line>
            <v:line style="position:absolute" from="1008,2692" to="1059,2692" stroked="true" strokeweight=".5pt" strokecolor="#000000">
              <v:stroke dashstyle="solid"/>
            </v:line>
            <v:line style="position:absolute" from="1008,2272" to="1059,2272" stroked="true" strokeweight=".5pt" strokecolor="#000000">
              <v:stroke dashstyle="solid"/>
            </v:line>
            <v:line style="position:absolute" from="1008,1855" to="1059,1855" stroked="true" strokeweight=".5pt" strokecolor="#000000">
              <v:stroke dashstyle="solid"/>
            </v:line>
            <v:line style="position:absolute" from="1008,1435" to="1059,1435" stroked="true" strokeweight=".5pt" strokecolor="#000000">
              <v:stroke dashstyle="solid"/>
            </v:line>
            <v:line style="position:absolute" from="1008,1015" to="1059,1015" stroked="true" strokeweight=".5pt" strokecolor="#000000">
              <v:stroke dashstyle="solid"/>
            </v:line>
            <v:line style="position:absolute" from="1008,597" to="1059,597" stroked="true" strokeweight=".5pt" strokecolor="#000000">
              <v:stroke dashstyle="solid"/>
            </v:line>
            <v:line style="position:absolute" from="1008,4368" to="7952,4368" stroked="true" strokeweight=".5pt" strokecolor="#000000">
              <v:stroke dashstyle="solid"/>
            </v:line>
            <v:line style="position:absolute" from="1008,4368" to="1008,4419" stroked="true" strokeweight=".5pt" strokecolor="#000000">
              <v:stroke dashstyle="solid"/>
            </v:line>
            <v:line style="position:absolute" from="1260,4368" to="1260,4419" stroked="true" strokeweight=".5pt" strokecolor="#000000">
              <v:stroke dashstyle="solid"/>
            </v:line>
            <v:line style="position:absolute" from="1514,4368" to="1514,4419" stroked="true" strokeweight=".5pt" strokecolor="#000000">
              <v:stroke dashstyle="solid"/>
            </v:line>
            <v:line style="position:absolute" from="1766,4368" to="1766,4419" stroked="true" strokeweight=".5pt" strokecolor="#000000">
              <v:stroke dashstyle="solid"/>
            </v:line>
            <v:line style="position:absolute" from="2018,4368" to="2018,4419" stroked="true" strokeweight=".5pt" strokecolor="#000000">
              <v:stroke dashstyle="solid"/>
            </v:line>
            <v:line style="position:absolute" from="2270,4368" to="2270,4419" stroked="true" strokeweight=".5pt" strokecolor="#000000">
              <v:stroke dashstyle="solid"/>
            </v:line>
            <v:line style="position:absolute" from="2522,4368" to="2522,4419" stroked="true" strokeweight=".5pt" strokecolor="#000000">
              <v:stroke dashstyle="solid"/>
            </v:line>
            <v:line style="position:absolute" from="2776,4368" to="2776,4419" stroked="true" strokeweight=".5pt" strokecolor="#000000">
              <v:stroke dashstyle="solid"/>
            </v:line>
            <v:line style="position:absolute" from="3028,4368" to="3028,4419" stroked="true" strokeweight=".5pt" strokecolor="#000000">
              <v:stroke dashstyle="solid"/>
            </v:line>
            <v:line style="position:absolute" from="3280,4368" to="3280,4419" stroked="true" strokeweight=".5pt" strokecolor="#000000">
              <v:stroke dashstyle="solid"/>
            </v:line>
            <v:line style="position:absolute" from="3532,4368" to="3532,4419" stroked="true" strokeweight=".5pt" strokecolor="#000000">
              <v:stroke dashstyle="solid"/>
            </v:line>
            <v:line style="position:absolute" from="3787,4368" to="3787,4419" stroked="true" strokeweight=".5pt" strokecolor="#000000">
              <v:stroke dashstyle="solid"/>
            </v:line>
            <v:line style="position:absolute" from="4039,4368" to="4039,4419" stroked="true" strokeweight=".5pt" strokecolor="#000000">
              <v:stroke dashstyle="solid"/>
            </v:line>
            <v:line style="position:absolute" from="4291,4368" to="4291,4419" stroked="true" strokeweight=".5pt" strokecolor="#000000">
              <v:stroke dashstyle="solid"/>
            </v:line>
            <v:line style="position:absolute" from="4543,4368" to="4543,4419" stroked="true" strokeweight=".5pt" strokecolor="#000000">
              <v:stroke dashstyle="solid"/>
            </v:line>
            <v:line style="position:absolute" from="4795,4368" to="4795,4419" stroked="true" strokeweight=".5pt" strokecolor="#000000">
              <v:stroke dashstyle="solid"/>
            </v:line>
            <v:line style="position:absolute" from="5049,4368" to="5049,4419" stroked="true" strokeweight=".5pt" strokecolor="#000000">
              <v:stroke dashstyle="solid"/>
            </v:line>
            <v:line style="position:absolute" from="5301,4368" to="5301,4419" stroked="true" strokeweight=".5pt" strokecolor="#000000">
              <v:stroke dashstyle="solid"/>
            </v:line>
            <v:line style="position:absolute" from="5553,4368" to="5553,4419" stroked="true" strokeweight=".5pt" strokecolor="#000000">
              <v:stroke dashstyle="solid"/>
            </v:line>
            <v:line style="position:absolute" from="5805,4368" to="5805,4419" stroked="true" strokeweight=".5pt" strokecolor="#000000">
              <v:stroke dashstyle="solid"/>
            </v:line>
            <v:line style="position:absolute" from="6057,4368" to="6057,4419" stroked="true" strokeweight=".5pt" strokecolor="#000000">
              <v:stroke dashstyle="solid"/>
            </v:line>
            <v:line style="position:absolute" from="6312,4368" to="6312,4419" stroked="true" strokeweight=".5pt" strokecolor="#000000">
              <v:stroke dashstyle="solid"/>
            </v:line>
            <v:line style="position:absolute" from="6564,4368" to="6564,4419" stroked="true" strokeweight=".5pt" strokecolor="#000000">
              <v:stroke dashstyle="solid"/>
            </v:line>
            <v:line style="position:absolute" from="6816,4368" to="6816,4419" stroked="true" strokeweight=".5pt" strokecolor="#000000">
              <v:stroke dashstyle="solid"/>
            </v:line>
            <v:line style="position:absolute" from="7068,4368" to="7068,4419" stroked="true" strokeweight=".5pt" strokecolor="#000000">
              <v:stroke dashstyle="solid"/>
            </v:line>
            <v:line style="position:absolute" from="7320,4368" to="7320,4419" stroked="true" strokeweight=".5pt" strokecolor="#000000">
              <v:stroke dashstyle="solid"/>
            </v:line>
            <v:line style="position:absolute" from="7574,4368" to="7574,4419" stroked="true" strokeweight=".5pt" strokecolor="#000000">
              <v:stroke dashstyle="solid"/>
            </v:line>
            <v:line style="position:absolute" from="7826,4368" to="7826,4419" stroked="true" strokeweight=".5pt" strokecolor="#000000">
              <v:stroke dashstyle="solid"/>
            </v:line>
            <v:shape style="position:absolute;left:1197;top:973;width:6692;height:2868" coordorigin="1197,973" coordsize="6692,2868" path="m1197,3840l1324,3681,1449,3153,1576,3074,1704,2983,1828,2553,1956,2200,2080,2109,2208,2025,2335,2037,2460,2037,2587,1941,2712,1855,2839,1888,2966,1826,3091,1838,3218,1836,3343,1744,3470,1677,3597,1557,3722,1468,3849,1329,3974,1224,4101,1140,4228,1056,4353,973,4480,996,4605,979,4732,1024,4860,1041,4984,1135,5112,1200,5236,1279,5364,1336,5491,1411,5616,1452,5743,1540,5868,1660,5995,1812,6122,1936,6247,2085,6374,2205,6501,2354,6626,2488,6753,2640,6878,2762,7005,2865,7132,2916,7257,2992,7384,3079,7509,3120,7636,3163,7764,3228,7889,3261e" filled="false" stroked="true" strokeweight="2pt" strokecolor="#054616">
              <v:path arrowok="t"/>
              <v:stroke dashstyle="solid"/>
            </v:shape>
            <v:shape style="position:absolute;left:1197;top:1252;width:6692;height:2588" coordorigin="1197,1252" coordsize="6692,2588" path="m1197,3840l1324,3696,1449,3252,1576,3220,1704,3194,1828,2827,1956,2512,2080,2455,2208,2392,2335,2397,2460,2385,2587,2272,2712,2167,2839,2181,2966,2112,3091,2124,3218,2128,3343,2052,3470,1999,3597,1896,3722,1809,3849,1668,3974,1552,4101,1461,4228,1375,4353,1288,4480,1300,4605,1269,4732,1284,4860,1252,4984,1276,5112,1269,5236,1281,5364,1286,5491,1320,5616,1332,5743,1396,5868,1500,5995,1646,6122,1768,6247,1917,6374,2037,6501,2193,6626,2330,6753,2488,6878,2618,7005,2728,7132,2784,7257,2865,7384,2959,7509,3007,7636,3055,7764,3127,7889,3163e" filled="false" stroked="true" strokeweight="2.0pt" strokecolor="#9f0d00">
              <v:path arrowok="t"/>
              <v:stroke dashstyle="solid"/>
            </v:shape>
            <v:shape style="position:absolute;left:1197;top:1468;width:6692;height:2372" coordorigin="1197,1469" coordsize="6692,2372" path="m1197,3840l1324,3696,1449,3252,1576,3220,1704,3204,1828,2894,1956,2606,2080,2546,2208,2486,2335,2517,2460,2512,2587,2392,2712,2287,2839,2311,2966,2260,3091,2270,3218,2292,3343,2234,3470,2184,3597,2112,3722,2028,3849,1876,3974,1788,4101,1704,4228,1610,4353,1550,4480,1552,4605,1507,4732,1533,4860,1507,4984,1502,5112,1497,5236,1492,5364,1469,5491,1490,5616,1480,5743,1528,5868,1617,5995,1716,6122,1802,6247,1934,6374,2042,6501,2164,6626,2292,6753,2440,6878,2563,7005,2685,7132,2760,7257,2844,7384,2940,7509,3009,7636,3060,7764,3139,7889,3187e" filled="false" stroked="true" strokeweight="2pt" strokecolor="#c74b0e">
              <v:path arrowok="t"/>
              <v:stroke dashstyle="solid"/>
            </v:shape>
            <v:shape style="position:absolute;left:1197;top:1620;width:6692;height:2220" coordorigin="1197,1620" coordsize="6692,2220" path="m1197,3840l1324,3696,1449,3252,1576,3220,1704,3204,1828,2913,1956,2652,2080,2606,2208,2572,2335,2606,2460,2606,2587,2512,2712,2414,2839,2460,2966,2428,3091,2479,3218,2481,3343,2438,3470,2404,3597,2347,3722,2313,3849,2176,3974,2080,4101,1987,4228,1891,4353,1819,4480,1792,4605,1732,4732,1740,4860,1716,4984,1704,5112,1687,5236,1675,5364,1648,5491,1656,5616,1620,5743,1639,5868,1699,5995,1788,6122,1850,6247,1958,6374,2047,6501,2150,6626,2263,6753,2404,6878,2529,7005,2644,7132,2714,7257,2791,7384,2872,7509,2961,7636,3019,7764,3098,7889,3151e" filled="false" stroked="true" strokeweight="2pt" strokecolor="#086939">
              <v:path arrowok="t"/>
              <v:stroke dashstyle="solid"/>
            </v:shape>
            <v:shape style="position:absolute;left:1197;top:1718;width:6692;height:2122" coordorigin="1197,1718" coordsize="6692,2122" path="m1197,3840l1324,3696,1449,3252,1576,3220,1704,3204,1828,2971,1956,2779,2080,2788,2208,2844,2335,2952,2460,3062,2587,3060,2712,3045,2839,3103,2966,3038,3091,3004,3218,2980,3343,2918,3470,2868,3597,2791,3722,2726,3849,2623,3974,2539,4101,2428,4228,2347,4353,2222,4480,2143,4605,2044,4732,1972,4860,1888,4984,1843,5112,1785,5236,1766,5364,1735,5491,1735,5616,1718,5743,1744,5868,1752,5995,1819,6122,1886,6247,1975,6374,2049,6501,2164,6626,2277,6753,2409,6878,2532,7005,2666,7132,2776,7257,2894,7384,2978,7509,3079,7636,3148,7764,3225,7889,3273e" filled="false" stroked="true" strokeweight="2pt" strokecolor="#d6c700">
              <v:path arrowok="t"/>
              <v:stroke dashstyle="solid"/>
            </v:shape>
            <v:shape style="position:absolute;left:1197;top:1668;width:6692;height:2173" coordorigin="1197,1668" coordsize="6692,2173" path="m1197,3840l1324,3696,1449,3252,1576,3220,1704,3204,1828,2971,1956,2779,2080,2788,2208,2844,2335,2952,2460,3038,2587,3019,2712,2990,2839,3045,2966,2980,3091,2947,3218,2923,3343,2858,3470,2805,3597,2731,3722,2671,3849,2568,3974,2484,4101,2373,4228,2289,4353,2164,4480,2085,4605,1984,4732,1917,4860,1833,4984,1792,5112,1732,5236,1713,5364,1682,5491,1682,5616,1668,5743,1694,5868,1706,5995,1773,6122,1836,6247,1924,6374,2001,6501,2114,6626,2227,6753,2361,6878,2484,7005,2620,7132,2728,7257,2848,7384,2932,7509,3033,7636,3103,7764,3180,7889,3228e" filled="false" stroked="true" strokeweight="2.25pt" strokecolor="#77923b">
              <v:path arrowok="t"/>
              <v:stroke dashstyle="solid"/>
            </v:shape>
            <v:shape style="position:absolute;left:1197;top:1699;width:6692;height:2142" coordorigin="1197,1699" coordsize="6692,2142" path="m1197,3840l1324,3696,1449,3252,1576,3220,1704,3204,1828,2971,1956,2779,2080,2788,2208,2844,2335,2952,2460,3038,2587,3019,2712,2911,2839,2856,2966,2762,3091,2738,3218,2760,3343,2757,3470,2736,3597,2680,3722,2625,3849,2527,3974,2445,4101,2332,4228,2251,4353,2133,4480,2059,4605,1968,4732,1917,4860,1852,4984,1824,5112,1771,5236,1752,5364,1713,5491,1708,5616,1699,5743,1735,5868,1752,5995,1821,6122,1884,6247,1982,6374,2078,6501,2198,6626,2313,6753,2440,6878,2546,7005,2671,7132,2779,7257,2899,7384,2985,7509,3084,7636,3151,7764,3225,7889,3268e" filled="false" stroked="true" strokeweight="2pt" strokecolor="#000000">
              <v:path arrowok="t"/>
              <v:stroke dashstyle="solid"/>
            </v:shape>
            <v:line style="position:absolute" from="3789,2908" to="4173,2908" stroked="true" strokeweight="2pt" strokecolor="#054616">
              <v:stroke dashstyle="solid"/>
            </v:line>
            <v:line style="position:absolute" from="3789,3124" to="4173,3124" stroked="true" strokeweight="2pt" strokecolor="#9f0d00">
              <v:stroke dashstyle="solid"/>
            </v:line>
            <v:line style="position:absolute" from="3789,3340" to="4173,3340" stroked="true" strokeweight="2pt" strokecolor="#c74b0e">
              <v:stroke dashstyle="solid"/>
            </v:line>
            <v:line style="position:absolute" from="3789,3556" to="4173,3556" stroked="true" strokeweight="2pt" strokecolor="#086939">
              <v:stroke dashstyle="solid"/>
            </v:line>
            <v:line style="position:absolute" from="3789,3772" to="4173,3772" stroked="true" strokeweight="2pt" strokecolor="#d6c700">
              <v:stroke dashstyle="solid"/>
            </v:line>
            <v:line style="position:absolute" from="3789,3988" to="4173,3988" stroked="true" strokeweight="2.25pt" strokecolor="#77923b">
              <v:stroke dashstyle="solid"/>
            </v:line>
            <v:line style="position:absolute" from="3789,4204" to="4173,4204" stroked="true" strokeweight="2pt" strokecolor="#000000">
              <v:stroke dashstyle="solid"/>
            </v:line>
            <v:shape style="position:absolute;left:697;top:521;width:184;height:3514" type="#_x0000_t202" filled="false" stroked="false">
              <v:textbox inset="0,0,0,0">
                <w:txbxContent>
                  <w:p>
                    <w:pPr>
                      <w:spacing w:line="164" w:lineRule="exact" w:before="0"/>
                      <w:ind w:left="0" w:right="0" w:firstLine="0"/>
                      <w:jc w:val="left"/>
                      <w:rPr>
                        <w:rFonts w:ascii="Calibri"/>
                        <w:sz w:val="16"/>
                      </w:rPr>
                    </w:pPr>
                    <w:r>
                      <w:rPr>
                        <w:rFonts w:ascii="Calibri"/>
                        <w:sz w:val="16"/>
                      </w:rPr>
                      <w:t>21</w:t>
                    </w:r>
                  </w:p>
                  <w:p>
                    <w:pPr>
                      <w:spacing w:line="240" w:lineRule="auto" w:before="8"/>
                      <w:rPr>
                        <w:rFonts w:ascii="Franklin Gothic Book"/>
                        <w:sz w:val="19"/>
                      </w:rPr>
                    </w:pPr>
                  </w:p>
                  <w:p>
                    <w:pPr>
                      <w:spacing w:before="0"/>
                      <w:ind w:left="0" w:right="0" w:firstLine="0"/>
                      <w:jc w:val="left"/>
                      <w:rPr>
                        <w:rFonts w:ascii="Calibri"/>
                        <w:sz w:val="16"/>
                      </w:rPr>
                    </w:pPr>
                    <w:r>
                      <w:rPr>
                        <w:rFonts w:ascii="Calibri"/>
                        <w:sz w:val="16"/>
                      </w:rPr>
                      <w:t>20</w:t>
                    </w:r>
                  </w:p>
                  <w:p>
                    <w:pPr>
                      <w:spacing w:line="240" w:lineRule="auto" w:before="8"/>
                      <w:rPr>
                        <w:rFonts w:ascii="Franklin Gothic Book"/>
                        <w:sz w:val="19"/>
                      </w:rPr>
                    </w:pPr>
                  </w:p>
                  <w:p>
                    <w:pPr>
                      <w:spacing w:before="0"/>
                      <w:ind w:left="0" w:right="0" w:firstLine="0"/>
                      <w:jc w:val="left"/>
                      <w:rPr>
                        <w:rFonts w:ascii="Calibri"/>
                        <w:sz w:val="16"/>
                      </w:rPr>
                    </w:pPr>
                    <w:r>
                      <w:rPr>
                        <w:rFonts w:ascii="Calibri"/>
                        <w:sz w:val="16"/>
                      </w:rPr>
                      <w:t>19</w:t>
                    </w:r>
                  </w:p>
                  <w:p>
                    <w:pPr>
                      <w:spacing w:line="240" w:lineRule="auto" w:before="9"/>
                      <w:rPr>
                        <w:rFonts w:ascii="Franklin Gothic Book"/>
                        <w:sz w:val="19"/>
                      </w:rPr>
                    </w:pPr>
                  </w:p>
                  <w:p>
                    <w:pPr>
                      <w:spacing w:before="0"/>
                      <w:ind w:left="0" w:right="0" w:firstLine="0"/>
                      <w:jc w:val="left"/>
                      <w:rPr>
                        <w:rFonts w:ascii="Calibri"/>
                        <w:sz w:val="16"/>
                      </w:rPr>
                    </w:pPr>
                    <w:r>
                      <w:rPr>
                        <w:rFonts w:ascii="Calibri"/>
                        <w:sz w:val="16"/>
                      </w:rPr>
                      <w:t>18</w:t>
                    </w:r>
                  </w:p>
                  <w:p>
                    <w:pPr>
                      <w:spacing w:line="240" w:lineRule="auto" w:before="8"/>
                      <w:rPr>
                        <w:rFonts w:ascii="Franklin Gothic Book"/>
                        <w:sz w:val="19"/>
                      </w:rPr>
                    </w:pPr>
                  </w:p>
                  <w:p>
                    <w:pPr>
                      <w:spacing w:before="0"/>
                      <w:ind w:left="0" w:right="0" w:firstLine="0"/>
                      <w:jc w:val="left"/>
                      <w:rPr>
                        <w:rFonts w:ascii="Calibri"/>
                        <w:sz w:val="16"/>
                      </w:rPr>
                    </w:pPr>
                    <w:r>
                      <w:rPr>
                        <w:rFonts w:ascii="Calibri"/>
                        <w:sz w:val="16"/>
                      </w:rPr>
                      <w:t>17</w:t>
                    </w:r>
                  </w:p>
                  <w:p>
                    <w:pPr>
                      <w:spacing w:line="240" w:lineRule="auto" w:before="9"/>
                      <w:rPr>
                        <w:rFonts w:ascii="Franklin Gothic Book"/>
                        <w:sz w:val="19"/>
                      </w:rPr>
                    </w:pPr>
                  </w:p>
                  <w:p>
                    <w:pPr>
                      <w:spacing w:before="0"/>
                      <w:ind w:left="0" w:right="0" w:firstLine="0"/>
                      <w:jc w:val="left"/>
                      <w:rPr>
                        <w:rFonts w:ascii="Calibri"/>
                        <w:sz w:val="16"/>
                      </w:rPr>
                    </w:pPr>
                    <w:r>
                      <w:rPr>
                        <w:rFonts w:ascii="Calibri"/>
                        <w:sz w:val="16"/>
                      </w:rPr>
                      <w:t>16</w:t>
                    </w:r>
                  </w:p>
                  <w:p>
                    <w:pPr>
                      <w:spacing w:line="240" w:lineRule="auto" w:before="8"/>
                      <w:rPr>
                        <w:rFonts w:ascii="Franklin Gothic Book"/>
                        <w:sz w:val="19"/>
                      </w:rPr>
                    </w:pPr>
                  </w:p>
                  <w:p>
                    <w:pPr>
                      <w:spacing w:before="0"/>
                      <w:ind w:left="0" w:right="0" w:firstLine="0"/>
                      <w:jc w:val="left"/>
                      <w:rPr>
                        <w:rFonts w:ascii="Calibri"/>
                        <w:sz w:val="16"/>
                      </w:rPr>
                    </w:pPr>
                    <w:r>
                      <w:rPr>
                        <w:rFonts w:ascii="Calibri"/>
                        <w:sz w:val="16"/>
                      </w:rPr>
                      <w:t>15</w:t>
                    </w:r>
                  </w:p>
                  <w:p>
                    <w:pPr>
                      <w:spacing w:line="240" w:lineRule="auto" w:before="8"/>
                      <w:rPr>
                        <w:rFonts w:ascii="Franklin Gothic Book"/>
                        <w:sz w:val="19"/>
                      </w:rPr>
                    </w:pPr>
                  </w:p>
                  <w:p>
                    <w:pPr>
                      <w:spacing w:before="0"/>
                      <w:ind w:left="0" w:right="0" w:firstLine="0"/>
                      <w:jc w:val="left"/>
                      <w:rPr>
                        <w:rFonts w:ascii="Calibri"/>
                        <w:sz w:val="16"/>
                      </w:rPr>
                    </w:pPr>
                    <w:r>
                      <w:rPr>
                        <w:rFonts w:ascii="Calibri"/>
                        <w:sz w:val="16"/>
                      </w:rPr>
                      <w:t>14</w:t>
                    </w:r>
                  </w:p>
                  <w:p>
                    <w:pPr>
                      <w:spacing w:line="240" w:lineRule="auto" w:before="8"/>
                      <w:rPr>
                        <w:rFonts w:ascii="Franklin Gothic Book"/>
                        <w:sz w:val="19"/>
                      </w:rPr>
                    </w:pPr>
                  </w:p>
                  <w:p>
                    <w:pPr>
                      <w:spacing w:line="193" w:lineRule="exact" w:before="1"/>
                      <w:ind w:left="0" w:right="0" w:firstLine="0"/>
                      <w:jc w:val="left"/>
                      <w:rPr>
                        <w:rFonts w:ascii="Calibri"/>
                        <w:sz w:val="16"/>
                      </w:rPr>
                    </w:pPr>
                    <w:r>
                      <w:rPr>
                        <w:rFonts w:ascii="Calibri"/>
                        <w:sz w:val="16"/>
                      </w:rPr>
                      <w:t>13</w:t>
                    </w:r>
                  </w:p>
                </w:txbxContent>
              </v:textbox>
              <w10:wrap type="none"/>
            </v:shape>
            <v:shape style="position:absolute;left:4214;top:2833;width:2578;height:1458" type="#_x0000_t202" filled="false" stroked="false">
              <v:textbox inset="0,0,0,0">
                <w:txbxContent>
                  <w:p>
                    <w:pPr>
                      <w:spacing w:line="164" w:lineRule="exact" w:before="0"/>
                      <w:ind w:left="0" w:right="0" w:firstLine="0"/>
                      <w:jc w:val="left"/>
                      <w:rPr>
                        <w:rFonts w:ascii="Calibri"/>
                        <w:sz w:val="16"/>
                      </w:rPr>
                    </w:pPr>
                    <w:r>
                      <w:rPr>
                        <w:rFonts w:ascii="Calibri"/>
                        <w:sz w:val="16"/>
                      </w:rPr>
                      <w:t>Normativa antecedente la L 243/2004</w:t>
                    </w:r>
                  </w:p>
                  <w:p>
                    <w:pPr>
                      <w:spacing w:line="266" w:lineRule="auto" w:before="20"/>
                      <w:ind w:left="0" w:right="0" w:firstLine="0"/>
                      <w:jc w:val="left"/>
                      <w:rPr>
                        <w:rFonts w:ascii="Calibri"/>
                        <w:sz w:val="16"/>
                      </w:rPr>
                    </w:pPr>
                    <w:r>
                      <w:rPr>
                        <w:rFonts w:ascii="Calibri"/>
                        <w:sz w:val="16"/>
                      </w:rPr>
                      <w:t>Normativa antecedente il DL 78/2010 Normativa antecedente il DL98/2011 Normativa antecedente il DL 201/2011 Normativa antecedente la L 232/2016 Normativa antecedente il DL 4/2019 Normativa vigente</w:t>
                    </w:r>
                  </w:p>
                </w:txbxContent>
              </v:textbox>
              <w10:wrap type="none"/>
            </v:shape>
            <v:shape style="position:absolute;left:504;top:4293;width:7791;height:862" type="#_x0000_t202" filled="false" stroked="false">
              <v:textbox inset="0,0,0,0">
                <w:txbxContent>
                  <w:p>
                    <w:pPr>
                      <w:spacing w:line="164" w:lineRule="exact" w:before="0"/>
                      <w:ind w:left="193" w:right="0" w:firstLine="0"/>
                      <w:jc w:val="left"/>
                      <w:rPr>
                        <w:rFonts w:ascii="Calibri"/>
                        <w:sz w:val="16"/>
                      </w:rPr>
                    </w:pPr>
                    <w:r>
                      <w:rPr>
                        <w:rFonts w:ascii="Calibri"/>
                        <w:sz w:val="16"/>
                      </w:rPr>
                      <w:t>12</w:t>
                    </w:r>
                  </w:p>
                  <w:p>
                    <w:pPr>
                      <w:spacing w:before="12"/>
                      <w:ind w:left="405" w:right="0" w:firstLine="0"/>
                      <w:jc w:val="left"/>
                      <w:rPr>
                        <w:rFonts w:ascii="Calibri"/>
                        <w:sz w:val="16"/>
                      </w:rPr>
                    </w:pPr>
                    <w:r>
                      <w:rPr>
                        <w:rFonts w:ascii="Calibri"/>
                        <w:sz w:val="16"/>
                      </w:rPr>
                      <w:t>2006 2009 2012 2015 2018 2021 2024 2027 2030 2033 2036 2039 2042 2045 2048 2051 2054 2057 2060</w:t>
                    </w:r>
                  </w:p>
                  <w:p>
                    <w:pPr>
                      <w:spacing w:line="252" w:lineRule="auto" w:before="119"/>
                      <w:ind w:left="0" w:right="0" w:firstLine="0"/>
                      <w:jc w:val="left"/>
                      <w:rPr>
                        <w:rFonts w:ascii="Franklin Gothic Book"/>
                        <w:sz w:val="16"/>
                      </w:rPr>
                    </w:pPr>
                    <w:r>
                      <w:rPr>
                        <w:rFonts w:ascii="Franklin Gothic Book"/>
                        <w:sz w:val="16"/>
                      </w:rPr>
                      <w:t>Nota: Lo scenario EPC-WGA Baseline recepisce, nel breve periodo, le indicazioni del quadro tendenziale della Nota di Aggiornamento DEF 2019. Fonte: Modello di previsione di lungo periodo della Ragioneria Generale dello Stato.</w:t>
                    </w:r>
                  </w:p>
                </w:txbxContent>
              </v:textbox>
              <w10:wrap type="none"/>
            </v:shape>
            <v:shape style="position:absolute;left:504;top:0;width:7771;height:473" type="#_x0000_t202" filled="true" fillcolor="#086d44" stroked="false">
              <v:textbox inset="0,0,0,0">
                <w:txbxContent>
                  <w:p>
                    <w:pPr>
                      <w:spacing w:line="223" w:lineRule="auto" w:before="56"/>
                      <w:ind w:left="28" w:right="0" w:firstLine="43"/>
                      <w:jc w:val="left"/>
                      <w:rPr>
                        <w:rFonts w:ascii="Franklin Gothic Heavy"/>
                        <w:b/>
                        <w:sz w:val="17"/>
                      </w:rPr>
                    </w:pPr>
                    <w:r>
                      <w:rPr>
                        <w:rFonts w:ascii="Franklin Gothic Heavy"/>
                        <w:b/>
                        <w:color w:val="EFEFEF"/>
                        <w:sz w:val="17"/>
                      </w:rPr>
                      <w:t>FIGURA R2: SPESA PUBBLICA PER PENSIONI IN RAPPORTO AL PIL SOTTO DIFFERENTI IPOTESI NORMATIVE (scenario EPC-WGA 2018)</w:t>
                    </w:r>
                  </w:p>
                </w:txbxContent>
              </v:textbox>
              <v:fill type="solid"/>
              <w10:wrap type="none"/>
            </v:shape>
          </v:group>
        </w:pict>
      </w:r>
      <w:r>
        <w:rPr>
          <w:rFonts w:ascii="Franklin Gothic Book"/>
          <w:sz w:val="20"/>
        </w:rPr>
      </w:r>
    </w:p>
    <w:p>
      <w:pPr>
        <w:pStyle w:val="BodyText"/>
        <w:rPr>
          <w:rFonts w:ascii="Franklin Gothic Book"/>
          <w:sz w:val="20"/>
        </w:rPr>
      </w:pPr>
    </w:p>
    <w:p>
      <w:pPr>
        <w:pStyle w:val="BodyText"/>
        <w:spacing w:before="7"/>
        <w:rPr>
          <w:rFonts w:ascii="Franklin Gothic Book"/>
          <w:sz w:val="23"/>
        </w:rPr>
      </w:pPr>
    </w:p>
    <w:p>
      <w:pPr>
        <w:pStyle w:val="Heading2"/>
        <w:numPr>
          <w:ilvl w:val="1"/>
          <w:numId w:val="2"/>
        </w:numPr>
        <w:tabs>
          <w:tab w:pos="819" w:val="left" w:leader="none"/>
        </w:tabs>
        <w:spacing w:line="240" w:lineRule="auto" w:before="0" w:after="0"/>
        <w:ind w:left="818" w:right="0" w:hanging="541"/>
        <w:jc w:val="left"/>
      </w:pPr>
      <w:r>
        <w:rPr>
          <w:color w:val="086D44"/>
        </w:rPr>
        <w:t>PERCORSO PROGRAMMATICO DI FINANZA PUBBLICA</w:t>
      </w:r>
    </w:p>
    <w:p>
      <w:pPr>
        <w:pStyle w:val="BodyText"/>
        <w:spacing w:before="1"/>
        <w:rPr>
          <w:rFonts w:ascii="Franklin Gothic Heavy"/>
          <w:b/>
          <w:sz w:val="33"/>
        </w:rPr>
      </w:pPr>
    </w:p>
    <w:p>
      <w:pPr>
        <w:pStyle w:val="Heading3"/>
      </w:pPr>
      <w:r>
        <w:rPr>
          <w:color w:val="585858"/>
        </w:rPr>
        <w:t>La programmazione di bilancio per i prossimi anni</w:t>
      </w:r>
    </w:p>
    <w:p>
      <w:pPr>
        <w:pStyle w:val="BodyText"/>
        <w:spacing w:line="252" w:lineRule="auto" w:before="155"/>
        <w:ind w:left="278" w:right="2260" w:firstLine="453"/>
        <w:jc w:val="both"/>
      </w:pPr>
      <w:r>
        <w:rPr/>
        <w:t>La manovra per il triennio 2020-2022 punta a preservare la sostenibilità della finanza pubblica e a creare al contempo spazi fiscali per completare l’attuazione delle</w:t>
      </w:r>
      <w:r>
        <w:rPr>
          <w:spacing w:val="-4"/>
        </w:rPr>
        <w:t> </w:t>
      </w:r>
      <w:r>
        <w:rPr/>
        <w:t>politiche</w:t>
      </w:r>
      <w:r>
        <w:rPr>
          <w:spacing w:val="-4"/>
        </w:rPr>
        <w:t> </w:t>
      </w:r>
      <w:r>
        <w:rPr/>
        <w:t>di</w:t>
      </w:r>
      <w:r>
        <w:rPr>
          <w:spacing w:val="-4"/>
        </w:rPr>
        <w:t> </w:t>
      </w:r>
      <w:r>
        <w:rPr/>
        <w:t>inclusione</w:t>
      </w:r>
      <w:r>
        <w:rPr>
          <w:spacing w:val="-5"/>
        </w:rPr>
        <w:t> </w:t>
      </w:r>
      <w:r>
        <w:rPr/>
        <w:t>e</w:t>
      </w:r>
      <w:r>
        <w:rPr>
          <w:spacing w:val="-4"/>
        </w:rPr>
        <w:t> </w:t>
      </w:r>
      <w:r>
        <w:rPr/>
        <w:t>attivazione</w:t>
      </w:r>
      <w:r>
        <w:rPr>
          <w:spacing w:val="-4"/>
        </w:rPr>
        <w:t> </w:t>
      </w:r>
      <w:r>
        <w:rPr/>
        <w:t>del</w:t>
      </w:r>
      <w:r>
        <w:rPr>
          <w:spacing w:val="-4"/>
        </w:rPr>
        <w:t> </w:t>
      </w:r>
      <w:r>
        <w:rPr/>
        <w:t>lavoro</w:t>
      </w:r>
      <w:r>
        <w:rPr>
          <w:spacing w:val="-4"/>
        </w:rPr>
        <w:t> </w:t>
      </w:r>
      <w:r>
        <w:rPr/>
        <w:t>già</w:t>
      </w:r>
      <w:r>
        <w:rPr>
          <w:spacing w:val="-4"/>
        </w:rPr>
        <w:t> </w:t>
      </w:r>
      <w:r>
        <w:rPr/>
        <w:t>in</w:t>
      </w:r>
      <w:r>
        <w:rPr>
          <w:spacing w:val="-5"/>
        </w:rPr>
        <w:t> </w:t>
      </w:r>
      <w:r>
        <w:rPr/>
        <w:t>vigore</w:t>
      </w:r>
      <w:r>
        <w:rPr>
          <w:spacing w:val="-4"/>
        </w:rPr>
        <w:t> </w:t>
      </w:r>
      <w:r>
        <w:rPr/>
        <w:t>e</w:t>
      </w:r>
      <w:r>
        <w:rPr>
          <w:spacing w:val="-3"/>
        </w:rPr>
        <w:t> </w:t>
      </w:r>
      <w:r>
        <w:rPr/>
        <w:t>per</w:t>
      </w:r>
      <w:r>
        <w:rPr>
          <w:spacing w:val="-3"/>
        </w:rPr>
        <w:t> </w:t>
      </w:r>
      <w:r>
        <w:rPr/>
        <w:t>rilanciare</w:t>
      </w:r>
      <w:r>
        <w:rPr>
          <w:spacing w:val="-4"/>
        </w:rPr>
        <w:t> </w:t>
      </w:r>
      <w:r>
        <w:rPr/>
        <w:t>la crescita economica nel segno della sostenibilità ambientale e sociale e dello sviluppo delle</w:t>
      </w:r>
      <w:r>
        <w:rPr>
          <w:spacing w:val="-2"/>
        </w:rPr>
        <w:t> </w:t>
      </w:r>
      <w:r>
        <w:rPr/>
        <w:t>competenze.</w:t>
      </w:r>
    </w:p>
    <w:p>
      <w:pPr>
        <w:pStyle w:val="BodyText"/>
        <w:spacing w:line="252" w:lineRule="auto" w:before="1"/>
        <w:ind w:left="278" w:right="2260" w:firstLine="453"/>
        <w:jc w:val="both"/>
      </w:pPr>
      <w:r>
        <w:rPr/>
        <w:t>Nella risoluzione che ha approvato il DEF 2019, il Parlamento ha impegnato il Governo ad annullare l’aumento dell’IVA previsto per gennaio 2020. Il nuovo Governo</w:t>
      </w:r>
      <w:r>
        <w:rPr>
          <w:spacing w:val="-7"/>
        </w:rPr>
        <w:t> </w:t>
      </w:r>
      <w:r>
        <w:rPr/>
        <w:t>ha</w:t>
      </w:r>
      <w:r>
        <w:rPr>
          <w:spacing w:val="-7"/>
        </w:rPr>
        <w:t> </w:t>
      </w:r>
      <w:r>
        <w:rPr/>
        <w:t>confermato</w:t>
      </w:r>
      <w:r>
        <w:rPr>
          <w:spacing w:val="-9"/>
        </w:rPr>
        <w:t> </w:t>
      </w:r>
      <w:r>
        <w:rPr/>
        <w:t>questo</w:t>
      </w:r>
      <w:r>
        <w:rPr>
          <w:spacing w:val="-6"/>
        </w:rPr>
        <w:t> </w:t>
      </w:r>
      <w:r>
        <w:rPr/>
        <w:t>impegno.</w:t>
      </w:r>
      <w:r>
        <w:rPr>
          <w:spacing w:val="-5"/>
        </w:rPr>
        <w:t> </w:t>
      </w:r>
      <w:r>
        <w:rPr/>
        <w:t>Insieme</w:t>
      </w:r>
      <w:r>
        <w:rPr>
          <w:spacing w:val="-6"/>
        </w:rPr>
        <w:t> </w:t>
      </w:r>
      <w:r>
        <w:rPr/>
        <w:t>al</w:t>
      </w:r>
      <w:r>
        <w:rPr>
          <w:spacing w:val="-6"/>
        </w:rPr>
        <w:t> </w:t>
      </w:r>
      <w:r>
        <w:rPr/>
        <w:t>finanziamento</w:t>
      </w:r>
      <w:r>
        <w:rPr>
          <w:spacing w:val="-7"/>
        </w:rPr>
        <w:t> </w:t>
      </w:r>
      <w:r>
        <w:rPr/>
        <w:t>delle</w:t>
      </w:r>
      <w:r>
        <w:rPr>
          <w:spacing w:val="-6"/>
        </w:rPr>
        <w:t> </w:t>
      </w:r>
      <w:r>
        <w:rPr/>
        <w:t>cosiddette politiche invariate, la cancellazione dell’aumento IVA conduce la stima di indebitamento netto della PA al 2,7 per cento del PIL nel 2020. Un tale livello di deficit nominale in rapporto al PIL corrisponderebbe ad un significativo peggioramento del saldo strutturale, che è uno degli indicatori considerati ai fini dell’osservanza delle regole fiscali interne ed</w:t>
      </w:r>
      <w:r>
        <w:rPr>
          <w:spacing w:val="-8"/>
        </w:rPr>
        <w:t> </w:t>
      </w:r>
      <w:r>
        <w:rPr/>
        <w:t>europee.</w:t>
      </w:r>
    </w:p>
    <w:p>
      <w:pPr>
        <w:pStyle w:val="BodyText"/>
        <w:spacing w:line="252" w:lineRule="auto"/>
        <w:ind w:left="278" w:right="2259" w:firstLine="453"/>
        <w:jc w:val="both"/>
      </w:pPr>
      <w:r>
        <w:rPr/>
        <w:t>L’orientamento espresso dalla Commissione Europea e da altre organizzazioni internazionali si è chiaramente spostato verso l’opportunità di una </w:t>
      </w:r>
      <w:r>
        <w:rPr>
          <w:i/>
        </w:rPr>
        <w:t>stance </w:t>
      </w:r>
      <w:r>
        <w:rPr/>
        <w:t>fiscale espansiva</w:t>
      </w:r>
      <w:r>
        <w:rPr>
          <w:spacing w:val="-8"/>
        </w:rPr>
        <w:t> </w:t>
      </w:r>
      <w:r>
        <w:rPr/>
        <w:t>per</w:t>
      </w:r>
      <w:r>
        <w:rPr>
          <w:spacing w:val="-6"/>
        </w:rPr>
        <w:t> </w:t>
      </w:r>
      <w:r>
        <w:rPr/>
        <w:t>l’area</w:t>
      </w:r>
      <w:r>
        <w:rPr>
          <w:spacing w:val="-8"/>
        </w:rPr>
        <w:t> </w:t>
      </w:r>
      <w:r>
        <w:rPr/>
        <w:t>dell’euro,</w:t>
      </w:r>
      <w:r>
        <w:rPr>
          <w:spacing w:val="-8"/>
        </w:rPr>
        <w:t> </w:t>
      </w:r>
      <w:r>
        <w:rPr/>
        <w:t>che</w:t>
      </w:r>
      <w:r>
        <w:rPr>
          <w:spacing w:val="-11"/>
        </w:rPr>
        <w:t> </w:t>
      </w:r>
      <w:r>
        <w:rPr/>
        <w:t>dovrebbe</w:t>
      </w:r>
      <w:r>
        <w:rPr>
          <w:spacing w:val="-9"/>
        </w:rPr>
        <w:t> </w:t>
      </w:r>
      <w:r>
        <w:rPr/>
        <w:t>essere</w:t>
      </w:r>
      <w:r>
        <w:rPr>
          <w:spacing w:val="-6"/>
        </w:rPr>
        <w:t> </w:t>
      </w:r>
      <w:r>
        <w:rPr/>
        <w:t>frutto</w:t>
      </w:r>
      <w:r>
        <w:rPr>
          <w:spacing w:val="-8"/>
        </w:rPr>
        <w:t> </w:t>
      </w:r>
      <w:r>
        <w:rPr/>
        <w:t>di</w:t>
      </w:r>
      <w:r>
        <w:rPr>
          <w:spacing w:val="-7"/>
        </w:rPr>
        <w:t> </w:t>
      </w:r>
      <w:r>
        <w:rPr/>
        <w:t>una</w:t>
      </w:r>
      <w:r>
        <w:rPr>
          <w:spacing w:val="-8"/>
        </w:rPr>
        <w:t> </w:t>
      </w:r>
      <w:r>
        <w:rPr/>
        <w:t>politica</w:t>
      </w:r>
      <w:r>
        <w:rPr>
          <w:spacing w:val="-9"/>
        </w:rPr>
        <w:t> </w:t>
      </w:r>
      <w:r>
        <w:rPr/>
        <w:t>di</w:t>
      </w:r>
      <w:r>
        <w:rPr>
          <w:spacing w:val="-8"/>
        </w:rPr>
        <w:t> </w:t>
      </w:r>
      <w:r>
        <w:rPr/>
        <w:t>stimolo da parte dei Paesi membri in surplus e di un graduale consolidamento fiscale da parte degli Stati più indebitati. La politica di bilancio dell’Italia delineata nel presente</w:t>
      </w:r>
      <w:r>
        <w:rPr>
          <w:spacing w:val="-11"/>
        </w:rPr>
        <w:t> </w:t>
      </w:r>
      <w:r>
        <w:rPr/>
        <w:t>documento</w:t>
      </w:r>
      <w:r>
        <w:rPr>
          <w:spacing w:val="-10"/>
        </w:rPr>
        <w:t> </w:t>
      </w:r>
      <w:r>
        <w:rPr/>
        <w:t>contribuirà</w:t>
      </w:r>
      <w:r>
        <w:rPr>
          <w:spacing w:val="-11"/>
        </w:rPr>
        <w:t> </w:t>
      </w:r>
      <w:r>
        <w:rPr/>
        <w:t>al</w:t>
      </w:r>
      <w:r>
        <w:rPr>
          <w:spacing w:val="-13"/>
        </w:rPr>
        <w:t> </w:t>
      </w:r>
      <w:r>
        <w:rPr/>
        <w:t>conseguimento</w:t>
      </w:r>
      <w:r>
        <w:rPr>
          <w:spacing w:val="-12"/>
        </w:rPr>
        <w:t> </w:t>
      </w:r>
      <w:r>
        <w:rPr/>
        <w:t>di</w:t>
      </w:r>
      <w:r>
        <w:rPr>
          <w:spacing w:val="-11"/>
        </w:rPr>
        <w:t> </w:t>
      </w:r>
      <w:r>
        <w:rPr/>
        <w:t>tale</w:t>
      </w:r>
      <w:r>
        <w:rPr>
          <w:spacing w:val="-11"/>
        </w:rPr>
        <w:t> </w:t>
      </w:r>
      <w:r>
        <w:rPr/>
        <w:t>obiettivo</w:t>
      </w:r>
      <w:r>
        <w:rPr>
          <w:spacing w:val="-11"/>
        </w:rPr>
        <w:t> </w:t>
      </w:r>
      <w:r>
        <w:rPr/>
        <w:t>per</w:t>
      </w:r>
      <w:r>
        <w:rPr>
          <w:spacing w:val="-12"/>
        </w:rPr>
        <w:t> </w:t>
      </w:r>
      <w:r>
        <w:rPr/>
        <w:t>il</w:t>
      </w:r>
      <w:r>
        <w:rPr>
          <w:spacing w:val="-14"/>
        </w:rPr>
        <w:t> </w:t>
      </w:r>
      <w:r>
        <w:rPr/>
        <w:t>complesso dell’area euro, con l’auspicio che i Paesi membri che attualmente godono di ampi spazi di bilancio li utilizzino per contrastare l’affievolimento della loro crescita economica. Inoltre, il Governo si impegnerà a favore della rapida attuazione di</w:t>
      </w:r>
      <w:r>
        <w:rPr>
          <w:spacing w:val="46"/>
        </w:rPr>
        <w:t> </w:t>
      </w:r>
      <w:r>
        <w:rPr/>
        <w:t>un</w:t>
      </w:r>
    </w:p>
    <w:p>
      <w:pPr>
        <w:spacing w:after="0" w:line="252" w:lineRule="auto"/>
        <w:jc w:val="both"/>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before="101"/>
        <w:ind w:left="1128"/>
        <w:jc w:val="both"/>
      </w:pPr>
      <w:r>
        <w:rPr/>
        <w:t>‘</w:t>
      </w:r>
      <w:r>
        <w:rPr>
          <w:i/>
        </w:rPr>
        <w:t>Green new deal</w:t>
      </w:r>
      <w:r>
        <w:rPr/>
        <w:t>’ europeo finanziato con risorse comuni e lo sviluppo di appositi</w:t>
      </w:r>
    </w:p>
    <w:p>
      <w:pPr>
        <w:pStyle w:val="BodyText"/>
        <w:spacing w:before="14"/>
        <w:ind w:left="1128"/>
        <w:jc w:val="both"/>
      </w:pPr>
      <w:r>
        <w:rPr/>
        <w:t>strumenti finanziari.</w:t>
      </w:r>
    </w:p>
    <w:p>
      <w:pPr>
        <w:pStyle w:val="BodyText"/>
        <w:spacing w:line="252" w:lineRule="auto" w:before="13"/>
        <w:ind w:left="1128" w:right="1410" w:firstLine="453"/>
        <w:jc w:val="both"/>
      </w:pPr>
      <w:r>
        <w:rPr/>
        <w:t>Pertanto, nell’ottica di un auspicabile orientamento della politica di bilancio dell’area euro verso uno stimolo alla crescita, ma tenuto conto della necessità di invertire l’aumento del rapporto debito/PIL dell’Italia, il Governo ha deciso di puntare ad un saldo strutturale in rapporto al PIL quasi invariato nel 2020. Si ribadisce altresì l’impegno a migliorare il saldo strutturale negli anni successivi.</w:t>
      </w:r>
    </w:p>
    <w:p>
      <w:pPr>
        <w:pStyle w:val="BodyText"/>
        <w:spacing w:line="252" w:lineRule="auto"/>
        <w:ind w:left="1128" w:right="1412" w:firstLine="453"/>
        <w:jc w:val="both"/>
      </w:pPr>
      <w:r>
        <w:rPr/>
        <w:t>L’obiettivo</w:t>
      </w:r>
      <w:r>
        <w:rPr>
          <w:spacing w:val="-18"/>
        </w:rPr>
        <w:t> </w:t>
      </w:r>
      <w:r>
        <w:rPr/>
        <w:t>di</w:t>
      </w:r>
      <w:r>
        <w:rPr>
          <w:spacing w:val="-17"/>
        </w:rPr>
        <w:t> </w:t>
      </w:r>
      <w:r>
        <w:rPr/>
        <w:t>indebitamento</w:t>
      </w:r>
      <w:r>
        <w:rPr>
          <w:spacing w:val="-18"/>
        </w:rPr>
        <w:t> </w:t>
      </w:r>
      <w:r>
        <w:rPr/>
        <w:t>netto</w:t>
      </w:r>
      <w:r>
        <w:rPr>
          <w:spacing w:val="-17"/>
        </w:rPr>
        <w:t> </w:t>
      </w:r>
      <w:r>
        <w:rPr/>
        <w:t>nominale</w:t>
      </w:r>
      <w:r>
        <w:rPr>
          <w:spacing w:val="-17"/>
        </w:rPr>
        <w:t> </w:t>
      </w:r>
      <w:r>
        <w:rPr/>
        <w:t>per</w:t>
      </w:r>
      <w:r>
        <w:rPr>
          <w:spacing w:val="-16"/>
        </w:rPr>
        <w:t> </w:t>
      </w:r>
      <w:r>
        <w:rPr/>
        <w:t>il</w:t>
      </w:r>
      <w:r>
        <w:rPr>
          <w:spacing w:val="-17"/>
        </w:rPr>
        <w:t> </w:t>
      </w:r>
      <w:r>
        <w:rPr/>
        <w:t>2020</w:t>
      </w:r>
      <w:r>
        <w:rPr>
          <w:spacing w:val="-17"/>
        </w:rPr>
        <w:t> </w:t>
      </w:r>
      <w:r>
        <w:rPr/>
        <w:t>è</w:t>
      </w:r>
      <w:r>
        <w:rPr>
          <w:spacing w:val="-17"/>
        </w:rPr>
        <w:t> </w:t>
      </w:r>
      <w:r>
        <w:rPr/>
        <w:t>posto</w:t>
      </w:r>
      <w:r>
        <w:rPr>
          <w:spacing w:val="-17"/>
        </w:rPr>
        <w:t> </w:t>
      </w:r>
      <w:r>
        <w:rPr/>
        <w:t>al</w:t>
      </w:r>
      <w:r>
        <w:rPr>
          <w:spacing w:val="-17"/>
        </w:rPr>
        <w:t> </w:t>
      </w:r>
      <w:r>
        <w:rPr/>
        <w:t>2,2</w:t>
      </w:r>
      <w:r>
        <w:rPr>
          <w:spacing w:val="-17"/>
        </w:rPr>
        <w:t> </w:t>
      </w:r>
      <w:r>
        <w:rPr/>
        <w:t>per</w:t>
      </w:r>
      <w:r>
        <w:rPr>
          <w:spacing w:val="-18"/>
        </w:rPr>
        <w:t> </w:t>
      </w:r>
      <w:r>
        <w:rPr/>
        <w:t>cento del</w:t>
      </w:r>
      <w:r>
        <w:rPr>
          <w:spacing w:val="-6"/>
        </w:rPr>
        <w:t> </w:t>
      </w:r>
      <w:r>
        <w:rPr/>
        <w:t>PIL,</w:t>
      </w:r>
      <w:r>
        <w:rPr>
          <w:spacing w:val="-4"/>
        </w:rPr>
        <w:t> </w:t>
      </w:r>
      <w:r>
        <w:rPr/>
        <w:t>invariato</w:t>
      </w:r>
      <w:r>
        <w:rPr>
          <w:spacing w:val="-6"/>
        </w:rPr>
        <w:t> </w:t>
      </w:r>
      <w:r>
        <w:rPr/>
        <w:t>in</w:t>
      </w:r>
      <w:r>
        <w:rPr>
          <w:spacing w:val="-6"/>
        </w:rPr>
        <w:t> </w:t>
      </w:r>
      <w:r>
        <w:rPr/>
        <w:t>confronto</w:t>
      </w:r>
      <w:r>
        <w:rPr>
          <w:spacing w:val="-6"/>
        </w:rPr>
        <w:t> </w:t>
      </w:r>
      <w:r>
        <w:rPr/>
        <w:t>al</w:t>
      </w:r>
      <w:r>
        <w:rPr>
          <w:spacing w:val="-5"/>
        </w:rPr>
        <w:t> </w:t>
      </w:r>
      <w:r>
        <w:rPr/>
        <w:t>livello</w:t>
      </w:r>
      <w:r>
        <w:rPr>
          <w:spacing w:val="-7"/>
        </w:rPr>
        <w:t> </w:t>
      </w:r>
      <w:r>
        <w:rPr/>
        <w:t>stimato</w:t>
      </w:r>
      <w:r>
        <w:rPr>
          <w:spacing w:val="-6"/>
        </w:rPr>
        <w:t> </w:t>
      </w:r>
      <w:r>
        <w:rPr/>
        <w:t>per</w:t>
      </w:r>
      <w:r>
        <w:rPr>
          <w:spacing w:val="-4"/>
        </w:rPr>
        <w:t> </w:t>
      </w:r>
      <w:r>
        <w:rPr/>
        <w:t>quest’anno.</w:t>
      </w:r>
      <w:r>
        <w:rPr>
          <w:spacing w:val="-4"/>
        </w:rPr>
        <w:t> </w:t>
      </w:r>
      <w:r>
        <w:rPr/>
        <w:t>Tenuto</w:t>
      </w:r>
      <w:r>
        <w:rPr>
          <w:spacing w:val="-6"/>
        </w:rPr>
        <w:t> </w:t>
      </w:r>
      <w:r>
        <w:rPr/>
        <w:t>conto</w:t>
      </w:r>
      <w:r>
        <w:rPr>
          <w:spacing w:val="-6"/>
        </w:rPr>
        <w:t> </w:t>
      </w:r>
      <w:r>
        <w:rPr/>
        <w:t>della stima</w:t>
      </w:r>
      <w:r>
        <w:rPr>
          <w:spacing w:val="-9"/>
        </w:rPr>
        <w:t> </w:t>
      </w:r>
      <w:r>
        <w:rPr/>
        <w:t>di</w:t>
      </w:r>
      <w:r>
        <w:rPr>
          <w:spacing w:val="-10"/>
        </w:rPr>
        <w:t> </w:t>
      </w:r>
      <w:r>
        <w:rPr>
          <w:i/>
        </w:rPr>
        <w:t>output</w:t>
      </w:r>
      <w:r>
        <w:rPr>
          <w:i/>
          <w:spacing w:val="-7"/>
        </w:rPr>
        <w:t> </w:t>
      </w:r>
      <w:r>
        <w:rPr>
          <w:i/>
        </w:rPr>
        <w:t>gap</w:t>
      </w:r>
      <w:r>
        <w:rPr>
          <w:i/>
          <w:spacing w:val="-9"/>
        </w:rPr>
        <w:t> </w:t>
      </w:r>
      <w:r>
        <w:rPr/>
        <w:t>e</w:t>
      </w:r>
      <w:r>
        <w:rPr>
          <w:spacing w:val="-9"/>
        </w:rPr>
        <w:t> </w:t>
      </w:r>
      <w:r>
        <w:rPr/>
        <w:t>delle</w:t>
      </w:r>
      <w:r>
        <w:rPr>
          <w:spacing w:val="-8"/>
        </w:rPr>
        <w:t> </w:t>
      </w:r>
      <w:r>
        <w:rPr/>
        <w:t>componenti</w:t>
      </w:r>
      <w:r>
        <w:rPr>
          <w:spacing w:val="-9"/>
        </w:rPr>
        <w:t> </w:t>
      </w:r>
      <w:r>
        <w:rPr/>
        <w:t>temporanee</w:t>
      </w:r>
      <w:r>
        <w:rPr>
          <w:spacing w:val="-9"/>
        </w:rPr>
        <w:t> </w:t>
      </w:r>
      <w:r>
        <w:rPr/>
        <w:t>del</w:t>
      </w:r>
      <w:r>
        <w:rPr>
          <w:spacing w:val="-8"/>
        </w:rPr>
        <w:t> </w:t>
      </w:r>
      <w:r>
        <w:rPr/>
        <w:t>bilancio,</w:t>
      </w:r>
      <w:r>
        <w:rPr>
          <w:spacing w:val="-8"/>
        </w:rPr>
        <w:t> </w:t>
      </w:r>
      <w:r>
        <w:rPr/>
        <w:t>ciò</w:t>
      </w:r>
      <w:r>
        <w:rPr>
          <w:spacing w:val="-10"/>
        </w:rPr>
        <w:t> </w:t>
      </w:r>
      <w:r>
        <w:rPr/>
        <w:t>porterebbe</w:t>
      </w:r>
      <w:r>
        <w:rPr>
          <w:spacing w:val="-8"/>
        </w:rPr>
        <w:t> </w:t>
      </w:r>
      <w:r>
        <w:rPr/>
        <w:t>ad un lieve deterioramento del saldo strutturale (0,1 punti percentuali). La politica di bilancio programmata per l’anno prossimo, infatti, incrementa in modo strutturale le coperture finanziarie per le politiche di inclusione introdotte nel</w:t>
      </w:r>
      <w:r>
        <w:rPr>
          <w:spacing w:val="-18"/>
        </w:rPr>
        <w:t> </w:t>
      </w:r>
      <w:r>
        <w:rPr/>
        <w:t>2019.</w:t>
      </w:r>
    </w:p>
    <w:p>
      <w:pPr>
        <w:pStyle w:val="BodyText"/>
        <w:spacing w:line="252" w:lineRule="auto"/>
        <w:ind w:left="1128" w:right="1411" w:firstLine="453"/>
        <w:jc w:val="both"/>
      </w:pPr>
      <w:r>
        <w:rPr/>
        <w:t>Per il biennio 2021-2022 si punta a un miglioramento strutturale di 0,2 punti percentuali</w:t>
      </w:r>
      <w:r>
        <w:rPr>
          <w:spacing w:val="-13"/>
        </w:rPr>
        <w:t> </w:t>
      </w:r>
      <w:r>
        <w:rPr/>
        <w:t>all’anno,</w:t>
      </w:r>
      <w:r>
        <w:rPr>
          <w:spacing w:val="-11"/>
        </w:rPr>
        <w:t> </w:t>
      </w:r>
      <w:r>
        <w:rPr/>
        <w:t>con</w:t>
      </w:r>
      <w:r>
        <w:rPr>
          <w:spacing w:val="-12"/>
        </w:rPr>
        <w:t> </w:t>
      </w:r>
      <w:r>
        <w:rPr/>
        <w:t>un</w:t>
      </w:r>
      <w:r>
        <w:rPr>
          <w:spacing w:val="-12"/>
        </w:rPr>
        <w:t> </w:t>
      </w:r>
      <w:r>
        <w:rPr/>
        <w:t>livello</w:t>
      </w:r>
      <w:r>
        <w:rPr>
          <w:spacing w:val="-12"/>
        </w:rPr>
        <w:t> </w:t>
      </w:r>
      <w:r>
        <w:rPr/>
        <w:t>finale</w:t>
      </w:r>
      <w:r>
        <w:rPr>
          <w:spacing w:val="-12"/>
        </w:rPr>
        <w:t> </w:t>
      </w:r>
      <w:r>
        <w:rPr/>
        <w:t>del</w:t>
      </w:r>
      <w:r>
        <w:rPr>
          <w:spacing w:val="-12"/>
        </w:rPr>
        <w:t> </w:t>
      </w:r>
      <w:r>
        <w:rPr/>
        <w:t>saldo</w:t>
      </w:r>
      <w:r>
        <w:rPr>
          <w:spacing w:val="-13"/>
        </w:rPr>
        <w:t> </w:t>
      </w:r>
      <w:r>
        <w:rPr/>
        <w:t>strutturale</w:t>
      </w:r>
      <w:r>
        <w:rPr>
          <w:spacing w:val="-12"/>
        </w:rPr>
        <w:t> </w:t>
      </w:r>
      <w:r>
        <w:rPr/>
        <w:t>pari</w:t>
      </w:r>
      <w:r>
        <w:rPr>
          <w:spacing w:val="-11"/>
        </w:rPr>
        <w:t> </w:t>
      </w:r>
      <w:r>
        <w:rPr/>
        <w:t>al</w:t>
      </w:r>
      <w:r>
        <w:rPr>
          <w:spacing w:val="-13"/>
        </w:rPr>
        <w:t> </w:t>
      </w:r>
      <w:r>
        <w:rPr/>
        <w:t>-1,0</w:t>
      </w:r>
      <w:r>
        <w:rPr>
          <w:spacing w:val="-12"/>
        </w:rPr>
        <w:t> </w:t>
      </w:r>
      <w:r>
        <w:rPr/>
        <w:t>per</w:t>
      </w:r>
      <w:r>
        <w:rPr>
          <w:spacing w:val="-13"/>
        </w:rPr>
        <w:t> </w:t>
      </w:r>
      <w:r>
        <w:rPr/>
        <w:t>cento del PIL nel 2022. Il Governo conferma l’impegno a raggiungere l’OMT negli anni successivi.</w:t>
      </w:r>
    </w:p>
    <w:p>
      <w:pPr>
        <w:pStyle w:val="BodyText"/>
        <w:spacing w:line="252" w:lineRule="auto"/>
        <w:ind w:left="1128" w:right="1411" w:firstLine="453"/>
        <w:jc w:val="both"/>
      </w:pPr>
      <w:r>
        <w:rPr/>
        <w:t>La manovra di finanza pubblica per il 2020 comprende la completa cancellazione dell’aumento dell’IVA, il finanziamento delle politiche invariate per circa un decimo di punto di PIL e il rinnovo di alcune politiche in scadenza (fra cui gli incentivi Industria 4.0).</w:t>
      </w:r>
    </w:p>
    <w:p>
      <w:pPr>
        <w:pStyle w:val="BodyText"/>
        <w:spacing w:line="252" w:lineRule="auto"/>
        <w:ind w:left="1128" w:right="1414" w:firstLine="453"/>
        <w:jc w:val="both"/>
      </w:pPr>
      <w:r>
        <w:rPr/>
        <w:t>Il Governo intende inoltre adottare nuove politiche che costituiranno il primo passo di un programma più vasto volto a rilanciare la crescita, lo sviluppo del Mezzogiorno e la sostenibilità ambientale. Tra queste, il Governo si è impegnato a ridurre il cuneo fiscale sul lavoro, a rilanciare gli investimenti pubblici, ad aumentare</w:t>
      </w:r>
      <w:r>
        <w:rPr>
          <w:spacing w:val="-5"/>
        </w:rPr>
        <w:t> </w:t>
      </w:r>
      <w:r>
        <w:rPr/>
        <w:t>le</w:t>
      </w:r>
      <w:r>
        <w:rPr>
          <w:spacing w:val="-5"/>
        </w:rPr>
        <w:t> </w:t>
      </w:r>
      <w:r>
        <w:rPr/>
        <w:t>risorse</w:t>
      </w:r>
      <w:r>
        <w:rPr>
          <w:spacing w:val="-8"/>
        </w:rPr>
        <w:t> </w:t>
      </w:r>
      <w:r>
        <w:rPr/>
        <w:t>per</w:t>
      </w:r>
      <w:r>
        <w:rPr>
          <w:spacing w:val="-6"/>
        </w:rPr>
        <w:t> </w:t>
      </w:r>
      <w:r>
        <w:rPr/>
        <w:t>istruzione</w:t>
      </w:r>
      <w:r>
        <w:rPr>
          <w:spacing w:val="-6"/>
        </w:rPr>
        <w:t> </w:t>
      </w:r>
      <w:r>
        <w:rPr/>
        <w:t>e</w:t>
      </w:r>
      <w:r>
        <w:rPr>
          <w:spacing w:val="-7"/>
        </w:rPr>
        <w:t> </w:t>
      </w:r>
      <w:r>
        <w:rPr/>
        <w:t>ricerca</w:t>
      </w:r>
      <w:r>
        <w:rPr>
          <w:spacing w:val="-7"/>
        </w:rPr>
        <w:t> </w:t>
      </w:r>
      <w:r>
        <w:rPr/>
        <w:t>scientifica</w:t>
      </w:r>
      <w:r>
        <w:rPr>
          <w:spacing w:val="-6"/>
        </w:rPr>
        <w:t> </w:t>
      </w:r>
      <w:r>
        <w:rPr/>
        <w:t>e</w:t>
      </w:r>
      <w:r>
        <w:rPr>
          <w:spacing w:val="-4"/>
        </w:rPr>
        <w:t> </w:t>
      </w:r>
      <w:r>
        <w:rPr/>
        <w:t>tecnologica</w:t>
      </w:r>
      <w:r>
        <w:rPr>
          <w:spacing w:val="-6"/>
        </w:rPr>
        <w:t> </w:t>
      </w:r>
      <w:r>
        <w:rPr/>
        <w:t>e</w:t>
      </w:r>
      <w:r>
        <w:rPr>
          <w:spacing w:val="-7"/>
        </w:rPr>
        <w:t> </w:t>
      </w:r>
      <w:r>
        <w:rPr/>
        <w:t>a</w:t>
      </w:r>
      <w:r>
        <w:rPr>
          <w:spacing w:val="-10"/>
        </w:rPr>
        <w:t> </w:t>
      </w:r>
      <w:r>
        <w:rPr/>
        <w:t>sostenere e rafforzare il sistema sanitario universale. L’impegno aggiuntivo necessario alla riduzione</w:t>
      </w:r>
      <w:r>
        <w:rPr>
          <w:spacing w:val="-5"/>
        </w:rPr>
        <w:t> </w:t>
      </w:r>
      <w:r>
        <w:rPr/>
        <w:t>del</w:t>
      </w:r>
      <w:r>
        <w:rPr>
          <w:spacing w:val="-4"/>
        </w:rPr>
        <w:t> </w:t>
      </w:r>
      <w:r>
        <w:rPr/>
        <w:t>cuneo</w:t>
      </w:r>
      <w:r>
        <w:rPr>
          <w:spacing w:val="-4"/>
        </w:rPr>
        <w:t> </w:t>
      </w:r>
      <w:r>
        <w:rPr/>
        <w:t>fiscale</w:t>
      </w:r>
      <w:r>
        <w:rPr>
          <w:spacing w:val="-5"/>
        </w:rPr>
        <w:t> </w:t>
      </w:r>
      <w:r>
        <w:rPr/>
        <w:t>nel</w:t>
      </w:r>
      <w:r>
        <w:rPr>
          <w:spacing w:val="-3"/>
        </w:rPr>
        <w:t> </w:t>
      </w:r>
      <w:r>
        <w:rPr/>
        <w:t>2020</w:t>
      </w:r>
      <w:r>
        <w:rPr>
          <w:spacing w:val="-5"/>
        </w:rPr>
        <w:t> </w:t>
      </w:r>
      <w:r>
        <w:rPr/>
        <w:t>è</w:t>
      </w:r>
      <w:r>
        <w:rPr>
          <w:spacing w:val="-4"/>
        </w:rPr>
        <w:t> </w:t>
      </w:r>
      <w:r>
        <w:rPr/>
        <w:t>valutato</w:t>
      </w:r>
      <w:r>
        <w:rPr>
          <w:spacing w:val="-4"/>
        </w:rPr>
        <w:t> </w:t>
      </w:r>
      <w:r>
        <w:rPr/>
        <w:t>in</w:t>
      </w:r>
      <w:r>
        <w:rPr>
          <w:spacing w:val="-5"/>
        </w:rPr>
        <w:t> </w:t>
      </w:r>
      <w:r>
        <w:rPr/>
        <w:t>0,15</w:t>
      </w:r>
      <w:r>
        <w:rPr>
          <w:spacing w:val="-4"/>
        </w:rPr>
        <w:t> </w:t>
      </w:r>
      <w:r>
        <w:rPr/>
        <w:t>punti</w:t>
      </w:r>
      <w:r>
        <w:rPr>
          <w:spacing w:val="-5"/>
        </w:rPr>
        <w:t> </w:t>
      </w:r>
      <w:r>
        <w:rPr/>
        <w:t>percentuali</w:t>
      </w:r>
      <w:r>
        <w:rPr>
          <w:spacing w:val="-5"/>
        </w:rPr>
        <w:t> </w:t>
      </w:r>
      <w:r>
        <w:rPr/>
        <w:t>di</w:t>
      </w:r>
      <w:r>
        <w:rPr>
          <w:spacing w:val="-4"/>
        </w:rPr>
        <w:t> </w:t>
      </w:r>
      <w:r>
        <w:rPr/>
        <w:t>PIL,</w:t>
      </w:r>
      <w:r>
        <w:rPr>
          <w:spacing w:val="-6"/>
        </w:rPr>
        <w:t> </w:t>
      </w:r>
      <w:r>
        <w:rPr/>
        <w:t>che saliranno a 0,3 punti nel</w:t>
      </w:r>
      <w:r>
        <w:rPr>
          <w:spacing w:val="-3"/>
        </w:rPr>
        <w:t> </w:t>
      </w:r>
      <w:r>
        <w:rPr/>
        <w:t>2021.</w:t>
      </w:r>
    </w:p>
    <w:p>
      <w:pPr>
        <w:pStyle w:val="BodyText"/>
        <w:spacing w:line="252" w:lineRule="auto"/>
        <w:ind w:left="1128" w:right="1412" w:firstLine="453"/>
        <w:jc w:val="both"/>
      </w:pPr>
      <w:r>
        <w:rPr/>
        <w:t>Le risorse per il finanziamento degli interventi previsti dalla manovra di bilancio per il 2020 sono pari a quasi 0,8 per cento del PIL e saranno assicurate dai seguenti ambiti di intervento:</w:t>
      </w:r>
    </w:p>
    <w:p>
      <w:pPr>
        <w:pStyle w:val="ListParagraph"/>
        <w:numPr>
          <w:ilvl w:val="2"/>
          <w:numId w:val="2"/>
        </w:numPr>
        <w:tabs>
          <w:tab w:pos="1582" w:val="left" w:leader="none"/>
        </w:tabs>
        <w:spacing w:line="252" w:lineRule="auto" w:before="0" w:after="0"/>
        <w:ind w:left="1582" w:right="1412" w:hanging="454"/>
        <w:jc w:val="both"/>
        <w:rPr>
          <w:sz w:val="22"/>
        </w:rPr>
      </w:pPr>
      <w:r>
        <w:rPr>
          <w:sz w:val="22"/>
        </w:rPr>
        <w:t>Misure di efficientamento della spesa pubblica e di revisione o soppressione di disposizioni normative vigenti in relazione alla loro efficacia o priorità, per un risparmio di oltre 0,1 punti percentuali di</w:t>
      </w:r>
      <w:r>
        <w:rPr>
          <w:spacing w:val="-6"/>
          <w:sz w:val="22"/>
        </w:rPr>
        <w:t> </w:t>
      </w:r>
      <w:r>
        <w:rPr>
          <w:sz w:val="22"/>
        </w:rPr>
        <w:t>PIL.</w:t>
      </w:r>
    </w:p>
    <w:p>
      <w:pPr>
        <w:pStyle w:val="ListParagraph"/>
        <w:numPr>
          <w:ilvl w:val="2"/>
          <w:numId w:val="2"/>
        </w:numPr>
        <w:tabs>
          <w:tab w:pos="1582" w:val="left" w:leader="none"/>
        </w:tabs>
        <w:spacing w:line="252" w:lineRule="auto" w:before="0" w:after="0"/>
        <w:ind w:left="1582" w:right="1413" w:hanging="454"/>
        <w:jc w:val="both"/>
        <w:rPr>
          <w:sz w:val="22"/>
        </w:rPr>
      </w:pPr>
      <w:r>
        <w:rPr>
          <w:sz w:val="22"/>
        </w:rPr>
        <w:t>Nuove misure di contrasto all’evasione e alle frodi fiscali, nonché interventi per il recupero del gettito tributario anche attraverso una maggiore diffusione dell’utilizzo di strumenti di pagamento tracciabili, per un incremento totale del gettito pari a 0,4 per cento del</w:t>
      </w:r>
      <w:r>
        <w:rPr>
          <w:spacing w:val="-7"/>
          <w:sz w:val="22"/>
        </w:rPr>
        <w:t> </w:t>
      </w:r>
      <w:r>
        <w:rPr>
          <w:sz w:val="22"/>
        </w:rPr>
        <w:t>PIL.</w:t>
      </w:r>
    </w:p>
    <w:p>
      <w:pPr>
        <w:pStyle w:val="ListParagraph"/>
        <w:numPr>
          <w:ilvl w:val="2"/>
          <w:numId w:val="2"/>
        </w:numPr>
        <w:tabs>
          <w:tab w:pos="1582" w:val="left" w:leader="none"/>
        </w:tabs>
        <w:spacing w:line="252" w:lineRule="auto" w:before="0" w:after="0"/>
        <w:ind w:left="1582" w:right="1415" w:hanging="454"/>
        <w:jc w:val="both"/>
        <w:rPr>
          <w:sz w:val="22"/>
        </w:rPr>
      </w:pPr>
      <w:r>
        <w:rPr>
          <w:sz w:val="22"/>
        </w:rPr>
        <w:t>Riduzione delle spese fiscali e dei sussidi dannosi per l’ambiente e nuove imposte ambientali, che nel complesso aumenterebbero il gettito di circa lo 0,1 per cento del</w:t>
      </w:r>
      <w:r>
        <w:rPr>
          <w:spacing w:val="-4"/>
          <w:sz w:val="22"/>
        </w:rPr>
        <w:t> </w:t>
      </w:r>
      <w:r>
        <w:rPr>
          <w:sz w:val="22"/>
        </w:rPr>
        <w:t>PIL.</w:t>
      </w:r>
    </w:p>
    <w:p>
      <w:pPr>
        <w:pStyle w:val="ListParagraph"/>
        <w:numPr>
          <w:ilvl w:val="2"/>
          <w:numId w:val="2"/>
        </w:numPr>
        <w:tabs>
          <w:tab w:pos="1582" w:val="left" w:leader="none"/>
        </w:tabs>
        <w:spacing w:line="269" w:lineRule="exact" w:before="0" w:after="0"/>
        <w:ind w:left="1582" w:right="0" w:hanging="454"/>
        <w:jc w:val="both"/>
        <w:rPr>
          <w:sz w:val="22"/>
        </w:rPr>
      </w:pPr>
      <w:r>
        <w:rPr>
          <w:sz w:val="22"/>
        </w:rPr>
        <w:t>Altre misure fiscali, fra cui la proroga dell’imposta sostitutiva</w:t>
      </w:r>
      <w:r>
        <w:rPr>
          <w:spacing w:val="57"/>
          <w:sz w:val="22"/>
        </w:rPr>
        <w:t> </w:t>
      </w:r>
      <w:r>
        <w:rPr>
          <w:sz w:val="22"/>
        </w:rPr>
        <w:t>sulla</w:t>
      </w:r>
    </w:p>
    <w:p>
      <w:pPr>
        <w:pStyle w:val="BodyText"/>
        <w:spacing w:before="12"/>
        <w:ind w:left="1582"/>
        <w:jc w:val="both"/>
      </w:pPr>
      <w:r>
        <w:rPr/>
        <w:t>rivalutazione di terreni e partecipazioni, per oltre 0,1 punti percentuali.</w:t>
      </w:r>
    </w:p>
    <w:p>
      <w:pPr>
        <w:pStyle w:val="BodyText"/>
        <w:spacing w:line="252" w:lineRule="auto" w:before="134"/>
        <w:ind w:left="1128" w:right="1414" w:firstLine="453"/>
        <w:jc w:val="both"/>
      </w:pPr>
      <w:r>
        <w:rPr/>
        <w:t>Il sentiero dell’indebitamento netto programmatico in rapporto al PIL prevede una</w:t>
      </w:r>
      <w:r>
        <w:rPr>
          <w:spacing w:val="-20"/>
        </w:rPr>
        <w:t> </w:t>
      </w:r>
      <w:r>
        <w:rPr/>
        <w:t>discesa</w:t>
      </w:r>
      <w:r>
        <w:rPr>
          <w:spacing w:val="-19"/>
        </w:rPr>
        <w:t> </w:t>
      </w:r>
      <w:r>
        <w:rPr/>
        <w:t>all’1,8</w:t>
      </w:r>
      <w:r>
        <w:rPr>
          <w:spacing w:val="-18"/>
        </w:rPr>
        <w:t> </w:t>
      </w:r>
      <w:r>
        <w:rPr/>
        <w:t>per</w:t>
      </w:r>
      <w:r>
        <w:rPr>
          <w:spacing w:val="-18"/>
        </w:rPr>
        <w:t> </w:t>
      </w:r>
      <w:r>
        <w:rPr/>
        <w:t>cento</w:t>
      </w:r>
      <w:r>
        <w:rPr>
          <w:spacing w:val="-19"/>
        </w:rPr>
        <w:t> </w:t>
      </w:r>
      <w:r>
        <w:rPr/>
        <w:t>nel</w:t>
      </w:r>
      <w:r>
        <w:rPr>
          <w:spacing w:val="-19"/>
        </w:rPr>
        <w:t> </w:t>
      </w:r>
      <w:r>
        <w:rPr/>
        <w:t>2021</w:t>
      </w:r>
      <w:r>
        <w:rPr>
          <w:spacing w:val="-20"/>
        </w:rPr>
        <w:t> </w:t>
      </w:r>
      <w:r>
        <w:rPr/>
        <w:t>e</w:t>
      </w:r>
      <w:r>
        <w:rPr>
          <w:spacing w:val="-16"/>
        </w:rPr>
        <w:t> </w:t>
      </w:r>
      <w:r>
        <w:rPr/>
        <w:t>all’1,4</w:t>
      </w:r>
      <w:r>
        <w:rPr>
          <w:spacing w:val="-18"/>
        </w:rPr>
        <w:t> </w:t>
      </w:r>
      <w:r>
        <w:rPr/>
        <w:t>per</w:t>
      </w:r>
      <w:r>
        <w:rPr>
          <w:spacing w:val="-18"/>
        </w:rPr>
        <w:t> </w:t>
      </w:r>
      <w:r>
        <w:rPr/>
        <w:t>cento</w:t>
      </w:r>
      <w:r>
        <w:rPr>
          <w:spacing w:val="-19"/>
        </w:rPr>
        <w:t> </w:t>
      </w:r>
      <w:r>
        <w:rPr/>
        <w:t>nel</w:t>
      </w:r>
      <w:r>
        <w:rPr>
          <w:spacing w:val="-19"/>
        </w:rPr>
        <w:t> </w:t>
      </w:r>
      <w:r>
        <w:rPr/>
        <w:t>2022.</w:t>
      </w:r>
      <w:r>
        <w:rPr>
          <w:spacing w:val="-18"/>
        </w:rPr>
        <w:t> </w:t>
      </w:r>
      <w:r>
        <w:rPr/>
        <w:t>In</w:t>
      </w:r>
      <w:r>
        <w:rPr>
          <w:spacing w:val="-19"/>
        </w:rPr>
        <w:t> </w:t>
      </w:r>
      <w:r>
        <w:rPr/>
        <w:t>corrispondenza di</w:t>
      </w:r>
      <w:r>
        <w:rPr>
          <w:spacing w:val="14"/>
        </w:rPr>
        <w:t> </w:t>
      </w:r>
      <w:r>
        <w:rPr/>
        <w:t>tali</w:t>
      </w:r>
      <w:r>
        <w:rPr>
          <w:spacing w:val="14"/>
        </w:rPr>
        <w:t> </w:t>
      </w:r>
      <w:r>
        <w:rPr/>
        <w:t>saldi,</w:t>
      </w:r>
      <w:r>
        <w:rPr>
          <w:spacing w:val="15"/>
        </w:rPr>
        <w:t> </w:t>
      </w:r>
      <w:r>
        <w:rPr/>
        <w:t>l’avanzo</w:t>
      </w:r>
      <w:r>
        <w:rPr>
          <w:spacing w:val="14"/>
        </w:rPr>
        <w:t> </w:t>
      </w:r>
      <w:r>
        <w:rPr/>
        <w:t>primario</w:t>
      </w:r>
      <w:r>
        <w:rPr>
          <w:spacing w:val="14"/>
        </w:rPr>
        <w:t> </w:t>
      </w:r>
      <w:r>
        <w:rPr/>
        <w:t>(ovvero</w:t>
      </w:r>
      <w:r>
        <w:rPr>
          <w:spacing w:val="14"/>
        </w:rPr>
        <w:t> </w:t>
      </w:r>
      <w:r>
        <w:rPr/>
        <w:t>il</w:t>
      </w:r>
      <w:r>
        <w:rPr>
          <w:spacing w:val="14"/>
        </w:rPr>
        <w:t> </w:t>
      </w:r>
      <w:r>
        <w:rPr/>
        <w:t>saldo</w:t>
      </w:r>
      <w:r>
        <w:rPr>
          <w:spacing w:val="14"/>
        </w:rPr>
        <w:t> </w:t>
      </w:r>
      <w:r>
        <w:rPr/>
        <w:t>di</w:t>
      </w:r>
      <w:r>
        <w:rPr>
          <w:spacing w:val="14"/>
        </w:rPr>
        <w:t> </w:t>
      </w:r>
      <w:r>
        <w:rPr/>
        <w:t>bilancio</w:t>
      </w:r>
      <w:r>
        <w:rPr>
          <w:spacing w:val="14"/>
        </w:rPr>
        <w:t> </w:t>
      </w:r>
      <w:r>
        <w:rPr/>
        <w:t>esclusi</w:t>
      </w:r>
      <w:r>
        <w:rPr>
          <w:spacing w:val="14"/>
        </w:rPr>
        <w:t> </w:t>
      </w:r>
      <w:r>
        <w:rPr/>
        <w:t>i</w:t>
      </w:r>
      <w:r>
        <w:rPr>
          <w:spacing w:val="15"/>
        </w:rPr>
        <w:t> </w:t>
      </w:r>
      <w:r>
        <w:rPr/>
        <w:t>pagamenti</w:t>
      </w:r>
      <w:r>
        <w:rPr>
          <w:spacing w:val="14"/>
        </w:rPr>
        <w:t> </w:t>
      </w:r>
      <w:r>
        <w:rPr/>
        <w:t>per</w:t>
      </w:r>
    </w:p>
    <w:p>
      <w:pPr>
        <w:spacing w:after="0" w:line="252" w:lineRule="auto"/>
        <w:jc w:val="both"/>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before="101"/>
        <w:ind w:left="278"/>
        <w:jc w:val="both"/>
      </w:pPr>
      <w:r>
        <w:rPr/>
        <w:t>interessi) passerebbe dall’1,3 per cento di quest’anno all’1,1 per cento nel 2020,</w:t>
      </w:r>
    </w:p>
    <w:p>
      <w:pPr>
        <w:pStyle w:val="BodyText"/>
        <w:spacing w:before="14"/>
        <w:ind w:left="278"/>
        <w:jc w:val="both"/>
      </w:pPr>
      <w:r>
        <w:rPr/>
        <w:t>per poi migliorare nei due anni successivi, fino all’1,6 per cento nel 2022.</w:t>
      </w:r>
    </w:p>
    <w:p>
      <w:pPr>
        <w:pStyle w:val="BodyText"/>
        <w:spacing w:line="252" w:lineRule="auto" w:before="13"/>
        <w:ind w:left="278" w:right="2261" w:firstLine="453"/>
        <w:jc w:val="both"/>
      </w:pPr>
      <w:r>
        <w:rPr/>
        <w:t>Il profilo dei conti pubblici testé illustrato modifica leggermente il sentiero dell’indebitamento</w:t>
      </w:r>
      <w:r>
        <w:rPr>
          <w:spacing w:val="-9"/>
        </w:rPr>
        <w:t> </w:t>
      </w:r>
      <w:r>
        <w:rPr/>
        <w:t>netto</w:t>
      </w:r>
      <w:r>
        <w:rPr>
          <w:spacing w:val="-8"/>
        </w:rPr>
        <w:t> </w:t>
      </w:r>
      <w:r>
        <w:rPr/>
        <w:t>rispetto</w:t>
      </w:r>
      <w:r>
        <w:rPr>
          <w:spacing w:val="-8"/>
        </w:rPr>
        <w:t> </w:t>
      </w:r>
      <w:r>
        <w:rPr/>
        <w:t>a</w:t>
      </w:r>
      <w:r>
        <w:rPr>
          <w:spacing w:val="-8"/>
        </w:rPr>
        <w:t> </w:t>
      </w:r>
      <w:r>
        <w:rPr/>
        <w:t>quanto</w:t>
      </w:r>
      <w:r>
        <w:rPr>
          <w:spacing w:val="-8"/>
        </w:rPr>
        <w:t> </w:t>
      </w:r>
      <w:r>
        <w:rPr/>
        <w:t>indicato</w:t>
      </w:r>
      <w:r>
        <w:rPr>
          <w:spacing w:val="-9"/>
        </w:rPr>
        <w:t> </w:t>
      </w:r>
      <w:r>
        <w:rPr/>
        <w:t>nel</w:t>
      </w:r>
      <w:r>
        <w:rPr>
          <w:spacing w:val="-8"/>
        </w:rPr>
        <w:t> </w:t>
      </w:r>
      <w:r>
        <w:rPr/>
        <w:t>DEF.</w:t>
      </w:r>
      <w:r>
        <w:rPr>
          <w:spacing w:val="-7"/>
        </w:rPr>
        <w:t> </w:t>
      </w:r>
      <w:r>
        <w:rPr/>
        <w:t>L’obiettivo</w:t>
      </w:r>
      <w:r>
        <w:rPr>
          <w:spacing w:val="-11"/>
        </w:rPr>
        <w:t> </w:t>
      </w:r>
      <w:r>
        <w:rPr/>
        <w:t>per</w:t>
      </w:r>
      <w:r>
        <w:rPr>
          <w:spacing w:val="-7"/>
        </w:rPr>
        <w:t> </w:t>
      </w:r>
      <w:r>
        <w:rPr/>
        <w:t>il</w:t>
      </w:r>
      <w:r>
        <w:rPr>
          <w:spacing w:val="-9"/>
        </w:rPr>
        <w:t> </w:t>
      </w:r>
      <w:r>
        <w:rPr/>
        <w:t>2020 è rivisto al rialzo di un decimo di punto di PIL, quello per il 2021 rimane invariato, mentre quello atteso alla fine dell’orizzonte previsionale migliorerebbe di un decimo di punto di</w:t>
      </w:r>
      <w:r>
        <w:rPr>
          <w:spacing w:val="-3"/>
        </w:rPr>
        <w:t> </w:t>
      </w:r>
      <w:r>
        <w:rPr/>
        <w:t>PIL.</w:t>
      </w:r>
    </w:p>
    <w:p>
      <w:pPr>
        <w:pStyle w:val="BodyText"/>
        <w:spacing w:line="252" w:lineRule="auto"/>
        <w:ind w:left="278" w:right="2258" w:firstLine="453"/>
        <w:jc w:val="both"/>
        <w:rPr>
          <w:b/>
        </w:rPr>
      </w:pPr>
      <w:r>
        <w:rPr/>
        <w:t>Come rappresentato nella Relazione al Parlamento allegata alla presente Nota di</w:t>
      </w:r>
      <w:r>
        <w:rPr>
          <w:spacing w:val="-13"/>
        </w:rPr>
        <w:t> </w:t>
      </w:r>
      <w:r>
        <w:rPr/>
        <w:t>Aggiornamento,</w:t>
      </w:r>
      <w:r>
        <w:rPr>
          <w:spacing w:val="-11"/>
        </w:rPr>
        <w:t> </w:t>
      </w:r>
      <w:r>
        <w:rPr/>
        <w:t>le</w:t>
      </w:r>
      <w:r>
        <w:rPr>
          <w:spacing w:val="-12"/>
        </w:rPr>
        <w:t> </w:t>
      </w:r>
      <w:r>
        <w:rPr/>
        <w:t>lievi</w:t>
      </w:r>
      <w:r>
        <w:rPr>
          <w:spacing w:val="-12"/>
        </w:rPr>
        <w:t> </w:t>
      </w:r>
      <w:r>
        <w:rPr/>
        <w:t>modifiche</w:t>
      </w:r>
      <w:r>
        <w:rPr>
          <w:spacing w:val="-11"/>
        </w:rPr>
        <w:t> </w:t>
      </w:r>
      <w:r>
        <w:rPr/>
        <w:t>apportate</w:t>
      </w:r>
      <w:r>
        <w:rPr>
          <w:spacing w:val="-12"/>
        </w:rPr>
        <w:t> </w:t>
      </w:r>
      <w:r>
        <w:rPr/>
        <w:t>al</w:t>
      </w:r>
      <w:r>
        <w:rPr>
          <w:spacing w:val="-14"/>
        </w:rPr>
        <w:t> </w:t>
      </w:r>
      <w:r>
        <w:rPr/>
        <w:t>sentiero</w:t>
      </w:r>
      <w:r>
        <w:rPr>
          <w:spacing w:val="-11"/>
        </w:rPr>
        <w:t> </w:t>
      </w:r>
      <w:r>
        <w:rPr/>
        <w:t>di</w:t>
      </w:r>
      <w:r>
        <w:rPr>
          <w:spacing w:val="-12"/>
        </w:rPr>
        <w:t> </w:t>
      </w:r>
      <w:r>
        <w:rPr/>
        <w:t>rientro</w:t>
      </w:r>
      <w:r>
        <w:rPr>
          <w:spacing w:val="-12"/>
        </w:rPr>
        <w:t> </w:t>
      </w:r>
      <w:r>
        <w:rPr/>
        <w:t>del</w:t>
      </w:r>
      <w:r>
        <w:rPr>
          <w:spacing w:val="-14"/>
        </w:rPr>
        <w:t> </w:t>
      </w:r>
      <w:r>
        <w:rPr/>
        <w:t>deficit</w:t>
      </w:r>
      <w:r>
        <w:rPr>
          <w:spacing w:val="-12"/>
        </w:rPr>
        <w:t> </w:t>
      </w:r>
      <w:r>
        <w:rPr/>
        <w:t>sono motivate dal mutato clima economico e dai crescenti consensi a favore di un orientamento più espansivo della politica fiscale dell’area euro. In tale contesto, come già rilevato, l’apporto dell’Italia consiste nel modulare il consolidamento di bilancio in chiave lievemente meno restrittiva, confermando che l’obiettivo di migliorare il saldo strutturale nel medio termine rimane</w:t>
      </w:r>
      <w:r>
        <w:rPr>
          <w:spacing w:val="-10"/>
        </w:rPr>
        <w:t> </w:t>
      </w:r>
      <w:r>
        <w:rPr/>
        <w:t>prioritario</w:t>
      </w:r>
      <w:r>
        <w:rPr>
          <w:b/>
        </w:rPr>
        <w:t>.</w:t>
      </w:r>
    </w:p>
    <w:p>
      <w:pPr>
        <w:pStyle w:val="BodyText"/>
        <w:spacing w:before="5"/>
        <w:rPr>
          <w:b/>
          <w:sz w:val="20"/>
        </w:rPr>
      </w:pPr>
      <w:r>
        <w:rPr/>
        <w:pict>
          <v:group style="position:absolute;margin-left:70.944pt;margin-top:13.845254pt;width:411.1pt;height:4.1pt;mso-position-horizontal-relative:page;mso-position-vertical-relative:paragraph;z-index:-251505664;mso-wrap-distance-left:0;mso-wrap-distance-right:0" coordorigin="1419,277" coordsize="8222,82">
            <v:rect style="position:absolute;left:1418;top:276;width:8222;height:82" filled="true" fillcolor="#086d44" stroked="false">
              <v:fill type="solid"/>
            </v:rect>
            <v:rect style="position:absolute;left:1418;top:276;width:8222;height:58" filled="true" fillcolor="#086d44" stroked="false">
              <v:fill type="solid"/>
            </v:rect>
            <w10:wrap type="topAndBottom"/>
          </v:group>
        </w:pict>
      </w:r>
    </w:p>
    <w:p>
      <w:pPr>
        <w:tabs>
          <w:tab w:pos="8473" w:val="left" w:leader="none"/>
        </w:tabs>
        <w:spacing w:line="152" w:lineRule="exact" w:before="0" w:after="40"/>
        <w:ind w:left="305" w:right="0" w:firstLine="0"/>
        <w:jc w:val="left"/>
        <w:rPr>
          <w:rFonts w:ascii="Franklin Gothic Heavy"/>
          <w:b/>
          <w:sz w:val="17"/>
        </w:rPr>
      </w:pPr>
      <w:r>
        <w:rPr>
          <w:rFonts w:ascii="Franklin Gothic Heavy"/>
          <w:b/>
          <w:color w:val="EFEFEF"/>
          <w:spacing w:val="-14"/>
          <w:w w:val="100"/>
          <w:sz w:val="17"/>
          <w:shd w:fill="086D44" w:color="auto" w:val="clear"/>
        </w:rPr>
        <w:t> </w:t>
      </w:r>
      <w:r>
        <w:rPr>
          <w:rFonts w:ascii="Franklin Gothic Heavy"/>
          <w:b/>
          <w:color w:val="EFEFEF"/>
          <w:sz w:val="17"/>
          <w:shd w:fill="086D44" w:color="auto" w:val="clear"/>
        </w:rPr>
        <w:t>TAVOLA</w:t>
      </w:r>
      <w:r>
        <w:rPr>
          <w:rFonts w:ascii="Franklin Gothic Heavy"/>
          <w:b/>
          <w:color w:val="EFEFEF"/>
          <w:spacing w:val="-4"/>
          <w:sz w:val="17"/>
          <w:shd w:fill="086D44" w:color="auto" w:val="clear"/>
        </w:rPr>
        <w:t> </w:t>
      </w:r>
      <w:r>
        <w:rPr>
          <w:rFonts w:ascii="Franklin Gothic Heavy"/>
          <w:b/>
          <w:color w:val="EFEFEF"/>
          <w:sz w:val="17"/>
          <w:shd w:fill="086D44" w:color="auto" w:val="clear"/>
        </w:rPr>
        <w:t>III.2:</w:t>
      </w:r>
      <w:r>
        <w:rPr>
          <w:rFonts w:ascii="Franklin Gothic Heavy"/>
          <w:b/>
          <w:color w:val="EFEFEF"/>
          <w:spacing w:val="-2"/>
          <w:sz w:val="17"/>
          <w:shd w:fill="086D44" w:color="auto" w:val="clear"/>
        </w:rPr>
        <w:t> </w:t>
      </w:r>
      <w:r>
        <w:rPr>
          <w:rFonts w:ascii="Franklin Gothic Heavy"/>
          <w:b/>
          <w:color w:val="EFEFEF"/>
          <w:sz w:val="17"/>
          <w:shd w:fill="086D44" w:color="auto" w:val="clear"/>
        </w:rPr>
        <w:t>QUADRO</w:t>
      </w:r>
      <w:r>
        <w:rPr>
          <w:rFonts w:ascii="Franklin Gothic Heavy"/>
          <w:b/>
          <w:color w:val="EFEFEF"/>
          <w:spacing w:val="-5"/>
          <w:sz w:val="17"/>
          <w:shd w:fill="086D44" w:color="auto" w:val="clear"/>
        </w:rPr>
        <w:t> </w:t>
      </w:r>
      <w:r>
        <w:rPr>
          <w:rFonts w:ascii="Franklin Gothic Heavy"/>
          <w:b/>
          <w:color w:val="EFEFEF"/>
          <w:sz w:val="17"/>
          <w:shd w:fill="086D44" w:color="auto" w:val="clear"/>
        </w:rPr>
        <w:t>PROGRAMMATICO</w:t>
      </w:r>
      <w:r>
        <w:rPr>
          <w:rFonts w:ascii="Franklin Gothic Heavy"/>
          <w:b/>
          <w:color w:val="EFEFEF"/>
          <w:spacing w:val="-3"/>
          <w:sz w:val="17"/>
          <w:shd w:fill="086D44" w:color="auto" w:val="clear"/>
        </w:rPr>
        <w:t> </w:t>
      </w:r>
      <w:r>
        <w:rPr>
          <w:rFonts w:ascii="Franklin Gothic Heavy"/>
          <w:b/>
          <w:color w:val="EFEFEF"/>
          <w:sz w:val="17"/>
          <w:shd w:fill="086D44" w:color="auto" w:val="clear"/>
        </w:rPr>
        <w:t>SINTETICO</w:t>
      </w:r>
      <w:r>
        <w:rPr>
          <w:rFonts w:ascii="Franklin Gothic Heavy"/>
          <w:b/>
          <w:color w:val="EFEFEF"/>
          <w:spacing w:val="-3"/>
          <w:sz w:val="17"/>
          <w:shd w:fill="086D44" w:color="auto" w:val="clear"/>
        </w:rPr>
        <w:t> </w:t>
      </w:r>
      <w:r>
        <w:rPr>
          <w:rFonts w:ascii="Franklin Gothic Heavy"/>
          <w:b/>
          <w:color w:val="EFEFEF"/>
          <w:sz w:val="17"/>
          <w:shd w:fill="086D44" w:color="auto" w:val="clear"/>
        </w:rPr>
        <w:t>DI</w:t>
      </w:r>
      <w:r>
        <w:rPr>
          <w:rFonts w:ascii="Franklin Gothic Heavy"/>
          <w:b/>
          <w:color w:val="EFEFEF"/>
          <w:spacing w:val="-4"/>
          <w:sz w:val="17"/>
          <w:shd w:fill="086D44" w:color="auto" w:val="clear"/>
        </w:rPr>
        <w:t> </w:t>
      </w:r>
      <w:r>
        <w:rPr>
          <w:rFonts w:ascii="Franklin Gothic Heavy"/>
          <w:b/>
          <w:color w:val="EFEFEF"/>
          <w:sz w:val="17"/>
          <w:shd w:fill="086D44" w:color="auto" w:val="clear"/>
        </w:rPr>
        <w:t>FINANZA</w:t>
      </w:r>
      <w:r>
        <w:rPr>
          <w:rFonts w:ascii="Franklin Gothic Heavy"/>
          <w:b/>
          <w:color w:val="EFEFEF"/>
          <w:spacing w:val="-4"/>
          <w:sz w:val="17"/>
          <w:shd w:fill="086D44" w:color="auto" w:val="clear"/>
        </w:rPr>
        <w:t> </w:t>
      </w:r>
      <w:r>
        <w:rPr>
          <w:rFonts w:ascii="Franklin Gothic Heavy"/>
          <w:b/>
          <w:color w:val="EFEFEF"/>
          <w:sz w:val="17"/>
          <w:shd w:fill="086D44" w:color="auto" w:val="clear"/>
        </w:rPr>
        <w:t>PUBBLICA</w:t>
      </w:r>
      <w:r>
        <w:rPr>
          <w:rFonts w:ascii="Franklin Gothic Heavy"/>
          <w:b/>
          <w:color w:val="EFEFEF"/>
          <w:spacing w:val="-4"/>
          <w:sz w:val="17"/>
          <w:shd w:fill="086D44" w:color="auto" w:val="clear"/>
        </w:rPr>
        <w:t> </w:t>
      </w:r>
      <w:r>
        <w:rPr>
          <w:rFonts w:ascii="Franklin Gothic Heavy"/>
          <w:b/>
          <w:color w:val="EFEFEF"/>
          <w:sz w:val="17"/>
          <w:shd w:fill="086D44" w:color="auto" w:val="clear"/>
        </w:rPr>
        <w:t>(in</w:t>
      </w:r>
      <w:r>
        <w:rPr>
          <w:rFonts w:ascii="Franklin Gothic Heavy"/>
          <w:b/>
          <w:color w:val="EFEFEF"/>
          <w:spacing w:val="-2"/>
          <w:sz w:val="17"/>
          <w:shd w:fill="086D44" w:color="auto" w:val="clear"/>
        </w:rPr>
        <w:t> </w:t>
      </w:r>
      <w:r>
        <w:rPr>
          <w:rFonts w:ascii="Franklin Gothic Heavy"/>
          <w:b/>
          <w:color w:val="EFEFEF"/>
          <w:sz w:val="17"/>
          <w:shd w:fill="086D44" w:color="auto" w:val="clear"/>
        </w:rPr>
        <w:t>percentuale</w:t>
      </w:r>
      <w:r>
        <w:rPr>
          <w:rFonts w:ascii="Franklin Gothic Heavy"/>
          <w:b/>
          <w:color w:val="EFEFEF"/>
          <w:spacing w:val="-4"/>
          <w:sz w:val="17"/>
          <w:shd w:fill="086D44" w:color="auto" w:val="clear"/>
        </w:rPr>
        <w:t> </w:t>
      </w:r>
      <w:r>
        <w:rPr>
          <w:rFonts w:ascii="Franklin Gothic Heavy"/>
          <w:b/>
          <w:color w:val="EFEFEF"/>
          <w:sz w:val="17"/>
          <w:shd w:fill="086D44" w:color="auto" w:val="clear"/>
        </w:rPr>
        <w:t>del</w:t>
      </w:r>
      <w:r>
        <w:rPr>
          <w:rFonts w:ascii="Franklin Gothic Heavy"/>
          <w:b/>
          <w:color w:val="EFEFEF"/>
          <w:spacing w:val="-4"/>
          <w:sz w:val="17"/>
          <w:shd w:fill="086D44" w:color="auto" w:val="clear"/>
        </w:rPr>
        <w:t> </w:t>
      </w:r>
      <w:r>
        <w:rPr>
          <w:rFonts w:ascii="Franklin Gothic Heavy"/>
          <w:b/>
          <w:color w:val="EFEFEF"/>
          <w:sz w:val="17"/>
          <w:shd w:fill="086D44" w:color="auto" w:val="clear"/>
        </w:rPr>
        <w:t>PIL)</w:t>
        <w:tab/>
      </w:r>
    </w:p>
    <w:tbl>
      <w:tblPr>
        <w:tblW w:w="0" w:type="auto"/>
        <w:jc w:val="left"/>
        <w:tblInd w:w="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48"/>
        <w:gridCol w:w="812"/>
        <w:gridCol w:w="680"/>
        <w:gridCol w:w="681"/>
        <w:gridCol w:w="684"/>
        <w:gridCol w:w="615"/>
      </w:tblGrid>
      <w:tr>
        <w:trPr>
          <w:trHeight w:val="223" w:hRule="atLeast"/>
        </w:trPr>
        <w:tc>
          <w:tcPr>
            <w:tcW w:w="4748" w:type="dxa"/>
            <w:tcBorders>
              <w:top w:val="single" w:sz="34" w:space="0" w:color="086D44"/>
              <w:bottom w:val="single" w:sz="2" w:space="0" w:color="000000"/>
            </w:tcBorders>
          </w:tcPr>
          <w:p>
            <w:pPr>
              <w:pStyle w:val="TableParagraph"/>
              <w:jc w:val="left"/>
              <w:rPr>
                <w:rFonts w:ascii="Times New Roman"/>
                <w:sz w:val="14"/>
              </w:rPr>
            </w:pPr>
          </w:p>
        </w:tc>
        <w:tc>
          <w:tcPr>
            <w:tcW w:w="812" w:type="dxa"/>
            <w:tcBorders>
              <w:top w:val="single" w:sz="34" w:space="0" w:color="086D44"/>
              <w:bottom w:val="single" w:sz="2" w:space="0" w:color="000000"/>
            </w:tcBorders>
          </w:tcPr>
          <w:p>
            <w:pPr>
              <w:pStyle w:val="TableParagraph"/>
              <w:spacing w:before="8"/>
              <w:ind w:right="88"/>
              <w:rPr>
                <w:sz w:val="17"/>
              </w:rPr>
            </w:pPr>
            <w:r>
              <w:rPr>
                <w:sz w:val="17"/>
              </w:rPr>
              <w:t>2018</w:t>
            </w:r>
          </w:p>
        </w:tc>
        <w:tc>
          <w:tcPr>
            <w:tcW w:w="680" w:type="dxa"/>
            <w:tcBorders>
              <w:top w:val="single" w:sz="34" w:space="0" w:color="086D44"/>
              <w:bottom w:val="single" w:sz="2" w:space="0" w:color="000000"/>
            </w:tcBorders>
          </w:tcPr>
          <w:p>
            <w:pPr>
              <w:pStyle w:val="TableParagraph"/>
              <w:spacing w:before="8"/>
              <w:ind w:right="89"/>
              <w:rPr>
                <w:sz w:val="17"/>
              </w:rPr>
            </w:pPr>
            <w:r>
              <w:rPr>
                <w:sz w:val="17"/>
              </w:rPr>
              <w:t>2019</w:t>
            </w:r>
          </w:p>
        </w:tc>
        <w:tc>
          <w:tcPr>
            <w:tcW w:w="681" w:type="dxa"/>
            <w:tcBorders>
              <w:top w:val="single" w:sz="34" w:space="0" w:color="086D44"/>
              <w:bottom w:val="single" w:sz="2" w:space="0" w:color="000000"/>
            </w:tcBorders>
          </w:tcPr>
          <w:p>
            <w:pPr>
              <w:pStyle w:val="TableParagraph"/>
              <w:spacing w:before="8"/>
              <w:ind w:right="90"/>
              <w:rPr>
                <w:sz w:val="17"/>
              </w:rPr>
            </w:pPr>
            <w:r>
              <w:rPr>
                <w:sz w:val="17"/>
              </w:rPr>
              <w:t>2020</w:t>
            </w:r>
          </w:p>
        </w:tc>
        <w:tc>
          <w:tcPr>
            <w:tcW w:w="684" w:type="dxa"/>
            <w:tcBorders>
              <w:top w:val="single" w:sz="34" w:space="0" w:color="086D44"/>
              <w:bottom w:val="single" w:sz="2" w:space="0" w:color="000000"/>
            </w:tcBorders>
          </w:tcPr>
          <w:p>
            <w:pPr>
              <w:pStyle w:val="TableParagraph"/>
              <w:spacing w:before="8"/>
              <w:ind w:left="171" w:right="73"/>
              <w:jc w:val="center"/>
              <w:rPr>
                <w:sz w:val="17"/>
              </w:rPr>
            </w:pPr>
            <w:r>
              <w:rPr>
                <w:sz w:val="17"/>
              </w:rPr>
              <w:t>2021</w:t>
            </w:r>
          </w:p>
        </w:tc>
        <w:tc>
          <w:tcPr>
            <w:tcW w:w="615" w:type="dxa"/>
            <w:tcBorders>
              <w:top w:val="single" w:sz="34" w:space="0" w:color="086D44"/>
              <w:bottom w:val="single" w:sz="2" w:space="0" w:color="000000"/>
            </w:tcBorders>
          </w:tcPr>
          <w:p>
            <w:pPr>
              <w:pStyle w:val="TableParagraph"/>
              <w:spacing w:before="8"/>
              <w:ind w:right="21"/>
              <w:rPr>
                <w:sz w:val="17"/>
              </w:rPr>
            </w:pPr>
            <w:r>
              <w:rPr>
                <w:sz w:val="17"/>
              </w:rPr>
              <w:t>2022</w:t>
            </w:r>
          </w:p>
        </w:tc>
      </w:tr>
      <w:tr>
        <w:trPr>
          <w:trHeight w:val="224" w:hRule="atLeast"/>
        </w:trPr>
        <w:tc>
          <w:tcPr>
            <w:tcW w:w="4748" w:type="dxa"/>
            <w:tcBorders>
              <w:top w:val="single" w:sz="2" w:space="0" w:color="000000"/>
            </w:tcBorders>
          </w:tcPr>
          <w:p>
            <w:pPr>
              <w:pStyle w:val="TableParagraph"/>
              <w:tabs>
                <w:tab w:pos="3379" w:val="left" w:leader="none"/>
              </w:tabs>
              <w:spacing w:line="200" w:lineRule="exact" w:before="5"/>
              <w:ind w:right="222"/>
              <w:rPr>
                <w:sz w:val="17"/>
              </w:rPr>
            </w:pPr>
            <w:r>
              <w:rPr>
                <w:sz w:val="17"/>
              </w:rPr>
              <w:t>INDEBITAMENTO</w:t>
            </w:r>
            <w:r>
              <w:rPr>
                <w:spacing w:val="-4"/>
                <w:sz w:val="17"/>
              </w:rPr>
              <w:t> </w:t>
            </w:r>
            <w:r>
              <w:rPr>
                <w:sz w:val="17"/>
              </w:rPr>
              <w:t>NETTO</w:t>
              <w:tab/>
            </w:r>
            <w:r>
              <w:rPr>
                <w:position w:val="12"/>
                <w:sz w:val="17"/>
              </w:rPr>
              <w:t>(Nota agg.</w:t>
            </w:r>
            <w:r>
              <w:rPr>
                <w:spacing w:val="-3"/>
                <w:position w:val="12"/>
                <w:sz w:val="17"/>
              </w:rPr>
              <w:t> </w:t>
            </w:r>
            <w:r>
              <w:rPr>
                <w:position w:val="12"/>
                <w:sz w:val="17"/>
              </w:rPr>
              <w:t>DEF)</w:t>
            </w:r>
          </w:p>
        </w:tc>
        <w:tc>
          <w:tcPr>
            <w:tcW w:w="812" w:type="dxa"/>
            <w:tcBorders>
              <w:top w:val="single" w:sz="2" w:space="0" w:color="000000"/>
            </w:tcBorders>
          </w:tcPr>
          <w:p>
            <w:pPr>
              <w:pStyle w:val="TableParagraph"/>
              <w:spacing w:line="203" w:lineRule="exact" w:before="1"/>
              <w:ind w:right="89"/>
              <w:rPr>
                <w:rFonts w:ascii="MS Reference Sans Serif"/>
                <w:sz w:val="17"/>
              </w:rPr>
            </w:pPr>
            <w:r>
              <w:rPr>
                <w:rFonts w:ascii="MS Reference Sans Serif"/>
                <w:sz w:val="17"/>
              </w:rPr>
              <w:t>-2,2</w:t>
            </w:r>
          </w:p>
        </w:tc>
        <w:tc>
          <w:tcPr>
            <w:tcW w:w="680" w:type="dxa"/>
            <w:tcBorders>
              <w:top w:val="single" w:sz="2" w:space="0" w:color="000000"/>
            </w:tcBorders>
          </w:tcPr>
          <w:p>
            <w:pPr>
              <w:pStyle w:val="TableParagraph"/>
              <w:spacing w:line="203" w:lineRule="exact" w:before="1"/>
              <w:ind w:right="90"/>
              <w:rPr>
                <w:rFonts w:ascii="MS Reference Sans Serif"/>
                <w:sz w:val="17"/>
              </w:rPr>
            </w:pPr>
            <w:r>
              <w:rPr>
                <w:rFonts w:ascii="MS Reference Sans Serif"/>
                <w:sz w:val="17"/>
              </w:rPr>
              <w:t>-2,2</w:t>
            </w:r>
          </w:p>
        </w:tc>
        <w:tc>
          <w:tcPr>
            <w:tcW w:w="681" w:type="dxa"/>
            <w:tcBorders>
              <w:top w:val="single" w:sz="2" w:space="0" w:color="000000"/>
            </w:tcBorders>
          </w:tcPr>
          <w:p>
            <w:pPr>
              <w:pStyle w:val="TableParagraph"/>
              <w:spacing w:line="203" w:lineRule="exact" w:before="1"/>
              <w:ind w:right="89"/>
              <w:rPr>
                <w:rFonts w:ascii="MS Reference Sans Serif"/>
                <w:sz w:val="17"/>
              </w:rPr>
            </w:pPr>
            <w:r>
              <w:rPr>
                <w:rFonts w:ascii="MS Reference Sans Serif"/>
                <w:sz w:val="17"/>
              </w:rPr>
              <w:t>-2,2</w:t>
            </w:r>
          </w:p>
        </w:tc>
        <w:tc>
          <w:tcPr>
            <w:tcW w:w="684" w:type="dxa"/>
            <w:tcBorders>
              <w:top w:val="single" w:sz="2" w:space="0" w:color="000000"/>
            </w:tcBorders>
          </w:tcPr>
          <w:p>
            <w:pPr>
              <w:pStyle w:val="TableParagraph"/>
              <w:spacing w:line="203" w:lineRule="exact" w:before="1"/>
              <w:ind w:left="171" w:right="31"/>
              <w:jc w:val="center"/>
              <w:rPr>
                <w:rFonts w:ascii="MS Reference Sans Serif"/>
                <w:sz w:val="17"/>
              </w:rPr>
            </w:pPr>
            <w:r>
              <w:rPr>
                <w:rFonts w:ascii="MS Reference Sans Serif"/>
                <w:sz w:val="17"/>
              </w:rPr>
              <w:t>-1,8</w:t>
            </w:r>
          </w:p>
        </w:tc>
        <w:tc>
          <w:tcPr>
            <w:tcW w:w="615" w:type="dxa"/>
            <w:tcBorders>
              <w:top w:val="single" w:sz="2" w:space="0" w:color="000000"/>
            </w:tcBorders>
          </w:tcPr>
          <w:p>
            <w:pPr>
              <w:pStyle w:val="TableParagraph"/>
              <w:spacing w:line="203" w:lineRule="exact" w:before="1"/>
              <w:ind w:right="22"/>
              <w:rPr>
                <w:rFonts w:ascii="MS Reference Sans Serif"/>
                <w:sz w:val="17"/>
              </w:rPr>
            </w:pPr>
            <w:r>
              <w:rPr>
                <w:rFonts w:ascii="MS Reference Sans Serif"/>
                <w:sz w:val="17"/>
              </w:rPr>
              <w:t>-1,4</w:t>
            </w:r>
          </w:p>
        </w:tc>
      </w:tr>
      <w:tr>
        <w:trPr>
          <w:trHeight w:val="238" w:hRule="atLeast"/>
        </w:trPr>
        <w:tc>
          <w:tcPr>
            <w:tcW w:w="4748" w:type="dxa"/>
          </w:tcPr>
          <w:p>
            <w:pPr>
              <w:pStyle w:val="TableParagraph"/>
              <w:spacing w:before="20"/>
              <w:ind w:right="363"/>
              <w:rPr>
                <w:sz w:val="17"/>
              </w:rPr>
            </w:pPr>
            <w:r>
              <w:rPr>
                <w:sz w:val="17"/>
              </w:rPr>
              <w:t>(DEF 2019)</w:t>
            </w:r>
          </w:p>
        </w:tc>
        <w:tc>
          <w:tcPr>
            <w:tcW w:w="812" w:type="dxa"/>
          </w:tcPr>
          <w:p>
            <w:pPr>
              <w:pStyle w:val="TableParagraph"/>
              <w:spacing w:line="202" w:lineRule="exact" w:before="17"/>
              <w:ind w:right="89"/>
              <w:rPr>
                <w:rFonts w:ascii="MS Reference Sans Serif"/>
                <w:sz w:val="17"/>
              </w:rPr>
            </w:pPr>
            <w:r>
              <w:rPr>
                <w:rFonts w:ascii="MS Reference Sans Serif"/>
                <w:sz w:val="17"/>
              </w:rPr>
              <w:t>-2,1</w:t>
            </w:r>
          </w:p>
        </w:tc>
        <w:tc>
          <w:tcPr>
            <w:tcW w:w="680" w:type="dxa"/>
          </w:tcPr>
          <w:p>
            <w:pPr>
              <w:pStyle w:val="TableParagraph"/>
              <w:spacing w:line="202" w:lineRule="exact" w:before="17"/>
              <w:ind w:right="90"/>
              <w:rPr>
                <w:rFonts w:ascii="MS Reference Sans Serif"/>
                <w:sz w:val="17"/>
              </w:rPr>
            </w:pPr>
            <w:r>
              <w:rPr>
                <w:rFonts w:ascii="MS Reference Sans Serif"/>
                <w:sz w:val="17"/>
              </w:rPr>
              <w:t>-2,4</w:t>
            </w:r>
          </w:p>
        </w:tc>
        <w:tc>
          <w:tcPr>
            <w:tcW w:w="681" w:type="dxa"/>
          </w:tcPr>
          <w:p>
            <w:pPr>
              <w:pStyle w:val="TableParagraph"/>
              <w:spacing w:line="202" w:lineRule="exact" w:before="17"/>
              <w:ind w:right="89"/>
              <w:rPr>
                <w:rFonts w:ascii="MS Reference Sans Serif"/>
                <w:sz w:val="17"/>
              </w:rPr>
            </w:pPr>
            <w:r>
              <w:rPr>
                <w:rFonts w:ascii="MS Reference Sans Serif"/>
                <w:sz w:val="17"/>
              </w:rPr>
              <w:t>-2,1</w:t>
            </w:r>
          </w:p>
        </w:tc>
        <w:tc>
          <w:tcPr>
            <w:tcW w:w="684" w:type="dxa"/>
          </w:tcPr>
          <w:p>
            <w:pPr>
              <w:pStyle w:val="TableParagraph"/>
              <w:spacing w:line="202" w:lineRule="exact" w:before="17"/>
              <w:ind w:left="171" w:right="31"/>
              <w:jc w:val="center"/>
              <w:rPr>
                <w:rFonts w:ascii="MS Reference Sans Serif"/>
                <w:sz w:val="17"/>
              </w:rPr>
            </w:pPr>
            <w:r>
              <w:rPr>
                <w:rFonts w:ascii="MS Reference Sans Serif"/>
                <w:sz w:val="17"/>
              </w:rPr>
              <w:t>-1,8</w:t>
            </w:r>
          </w:p>
        </w:tc>
        <w:tc>
          <w:tcPr>
            <w:tcW w:w="615" w:type="dxa"/>
          </w:tcPr>
          <w:p>
            <w:pPr>
              <w:pStyle w:val="TableParagraph"/>
              <w:spacing w:line="202" w:lineRule="exact" w:before="17"/>
              <w:ind w:right="22"/>
              <w:rPr>
                <w:rFonts w:ascii="MS Reference Sans Serif"/>
                <w:sz w:val="17"/>
              </w:rPr>
            </w:pPr>
            <w:r>
              <w:rPr>
                <w:rFonts w:ascii="MS Reference Sans Serif"/>
                <w:sz w:val="17"/>
              </w:rPr>
              <w:t>-1,5</w:t>
            </w:r>
          </w:p>
        </w:tc>
      </w:tr>
      <w:tr>
        <w:trPr>
          <w:trHeight w:val="241" w:hRule="atLeast"/>
        </w:trPr>
        <w:tc>
          <w:tcPr>
            <w:tcW w:w="4748" w:type="dxa"/>
          </w:tcPr>
          <w:p>
            <w:pPr>
              <w:pStyle w:val="TableParagraph"/>
              <w:tabs>
                <w:tab w:pos="3379" w:val="left" w:leader="none"/>
              </w:tabs>
              <w:spacing w:line="69" w:lineRule="auto" w:before="44"/>
              <w:ind w:right="222"/>
              <w:rPr>
                <w:sz w:val="17"/>
              </w:rPr>
            </w:pPr>
            <w:r>
              <w:rPr>
                <w:position w:val="-11"/>
                <w:sz w:val="17"/>
              </w:rPr>
              <w:t>INTERESSI</w:t>
              <w:tab/>
            </w:r>
            <w:r>
              <w:rPr>
                <w:sz w:val="17"/>
              </w:rPr>
              <w:t>(Nota agg.</w:t>
            </w:r>
            <w:r>
              <w:rPr>
                <w:spacing w:val="-4"/>
                <w:sz w:val="17"/>
              </w:rPr>
              <w:t> </w:t>
            </w:r>
            <w:r>
              <w:rPr>
                <w:sz w:val="17"/>
              </w:rPr>
              <w:t>DEF)</w:t>
            </w:r>
          </w:p>
        </w:tc>
        <w:tc>
          <w:tcPr>
            <w:tcW w:w="812" w:type="dxa"/>
          </w:tcPr>
          <w:p>
            <w:pPr>
              <w:pStyle w:val="TableParagraph"/>
              <w:spacing w:line="206" w:lineRule="exact" w:before="15"/>
              <w:ind w:right="89"/>
              <w:rPr>
                <w:rFonts w:ascii="MS Reference Sans Serif"/>
                <w:sz w:val="17"/>
              </w:rPr>
            </w:pPr>
            <w:r>
              <w:rPr>
                <w:rFonts w:ascii="MS Reference Sans Serif"/>
                <w:sz w:val="17"/>
              </w:rPr>
              <w:t>3,7</w:t>
            </w:r>
          </w:p>
        </w:tc>
        <w:tc>
          <w:tcPr>
            <w:tcW w:w="680" w:type="dxa"/>
          </w:tcPr>
          <w:p>
            <w:pPr>
              <w:pStyle w:val="TableParagraph"/>
              <w:spacing w:line="198" w:lineRule="exact" w:before="23"/>
              <w:ind w:right="90"/>
              <w:rPr>
                <w:rFonts w:ascii="MS Reference Sans Serif"/>
                <w:sz w:val="17"/>
              </w:rPr>
            </w:pPr>
            <w:r>
              <w:rPr>
                <w:rFonts w:ascii="MS Reference Sans Serif"/>
                <w:sz w:val="17"/>
              </w:rPr>
              <w:t>3,4</w:t>
            </w:r>
          </w:p>
        </w:tc>
        <w:tc>
          <w:tcPr>
            <w:tcW w:w="681" w:type="dxa"/>
          </w:tcPr>
          <w:p>
            <w:pPr>
              <w:pStyle w:val="TableParagraph"/>
              <w:spacing w:line="198" w:lineRule="exact" w:before="23"/>
              <w:ind w:right="89"/>
              <w:rPr>
                <w:rFonts w:ascii="MS Reference Sans Serif"/>
                <w:sz w:val="17"/>
              </w:rPr>
            </w:pPr>
            <w:r>
              <w:rPr>
                <w:rFonts w:ascii="MS Reference Sans Serif"/>
                <w:sz w:val="17"/>
              </w:rPr>
              <w:t>3,3</w:t>
            </w:r>
          </w:p>
        </w:tc>
        <w:tc>
          <w:tcPr>
            <w:tcW w:w="684" w:type="dxa"/>
          </w:tcPr>
          <w:p>
            <w:pPr>
              <w:pStyle w:val="TableParagraph"/>
              <w:spacing w:line="198" w:lineRule="exact" w:before="23"/>
              <w:ind w:left="290" w:right="73"/>
              <w:jc w:val="center"/>
              <w:rPr>
                <w:rFonts w:ascii="MS Reference Sans Serif"/>
                <w:sz w:val="17"/>
              </w:rPr>
            </w:pPr>
            <w:r>
              <w:rPr>
                <w:rFonts w:ascii="MS Reference Sans Serif"/>
                <w:sz w:val="17"/>
              </w:rPr>
              <w:t>3,1</w:t>
            </w:r>
          </w:p>
        </w:tc>
        <w:tc>
          <w:tcPr>
            <w:tcW w:w="615" w:type="dxa"/>
          </w:tcPr>
          <w:p>
            <w:pPr>
              <w:pStyle w:val="TableParagraph"/>
              <w:spacing w:line="198" w:lineRule="exact" w:before="23"/>
              <w:ind w:right="22"/>
              <w:rPr>
                <w:rFonts w:ascii="MS Reference Sans Serif"/>
                <w:sz w:val="17"/>
              </w:rPr>
            </w:pPr>
            <w:r>
              <w:rPr>
                <w:rFonts w:ascii="MS Reference Sans Serif"/>
                <w:sz w:val="17"/>
              </w:rPr>
              <w:t>2,9</w:t>
            </w:r>
          </w:p>
        </w:tc>
      </w:tr>
      <w:tr>
        <w:trPr>
          <w:trHeight w:val="235" w:hRule="atLeast"/>
        </w:trPr>
        <w:tc>
          <w:tcPr>
            <w:tcW w:w="4748" w:type="dxa"/>
          </w:tcPr>
          <w:p>
            <w:pPr>
              <w:pStyle w:val="TableParagraph"/>
              <w:spacing w:before="17"/>
              <w:ind w:right="363"/>
              <w:rPr>
                <w:sz w:val="17"/>
              </w:rPr>
            </w:pPr>
            <w:r>
              <w:rPr>
                <w:sz w:val="17"/>
              </w:rPr>
              <w:t>(DEF 2019)</w:t>
            </w:r>
          </w:p>
        </w:tc>
        <w:tc>
          <w:tcPr>
            <w:tcW w:w="812" w:type="dxa"/>
          </w:tcPr>
          <w:p>
            <w:pPr>
              <w:pStyle w:val="TableParagraph"/>
              <w:spacing w:line="203" w:lineRule="exact" w:before="12"/>
              <w:ind w:right="89"/>
              <w:rPr>
                <w:rFonts w:ascii="MS Reference Sans Serif"/>
                <w:sz w:val="17"/>
              </w:rPr>
            </w:pPr>
            <w:r>
              <w:rPr>
                <w:rFonts w:ascii="MS Reference Sans Serif"/>
                <w:sz w:val="17"/>
              </w:rPr>
              <w:t>3,7</w:t>
            </w:r>
          </w:p>
        </w:tc>
        <w:tc>
          <w:tcPr>
            <w:tcW w:w="680" w:type="dxa"/>
          </w:tcPr>
          <w:p>
            <w:pPr>
              <w:pStyle w:val="TableParagraph"/>
              <w:spacing w:line="203" w:lineRule="exact" w:before="12"/>
              <w:ind w:right="90"/>
              <w:rPr>
                <w:rFonts w:ascii="MS Reference Sans Serif"/>
                <w:sz w:val="17"/>
              </w:rPr>
            </w:pPr>
            <w:r>
              <w:rPr>
                <w:rFonts w:ascii="MS Reference Sans Serif"/>
                <w:sz w:val="17"/>
              </w:rPr>
              <w:t>3,6</w:t>
            </w:r>
          </w:p>
        </w:tc>
        <w:tc>
          <w:tcPr>
            <w:tcW w:w="681" w:type="dxa"/>
          </w:tcPr>
          <w:p>
            <w:pPr>
              <w:pStyle w:val="TableParagraph"/>
              <w:spacing w:line="203" w:lineRule="exact" w:before="12"/>
              <w:ind w:right="89"/>
              <w:rPr>
                <w:rFonts w:ascii="MS Reference Sans Serif"/>
                <w:sz w:val="17"/>
              </w:rPr>
            </w:pPr>
            <w:r>
              <w:rPr>
                <w:rFonts w:ascii="MS Reference Sans Serif"/>
                <w:sz w:val="17"/>
              </w:rPr>
              <w:t>3,6</w:t>
            </w:r>
          </w:p>
        </w:tc>
        <w:tc>
          <w:tcPr>
            <w:tcW w:w="684" w:type="dxa"/>
          </w:tcPr>
          <w:p>
            <w:pPr>
              <w:pStyle w:val="TableParagraph"/>
              <w:spacing w:line="203" w:lineRule="exact" w:before="12"/>
              <w:ind w:left="290" w:right="73"/>
              <w:jc w:val="center"/>
              <w:rPr>
                <w:rFonts w:ascii="MS Reference Sans Serif"/>
                <w:sz w:val="17"/>
              </w:rPr>
            </w:pPr>
            <w:r>
              <w:rPr>
                <w:rFonts w:ascii="MS Reference Sans Serif"/>
                <w:sz w:val="17"/>
              </w:rPr>
              <w:t>3,7</w:t>
            </w:r>
          </w:p>
        </w:tc>
        <w:tc>
          <w:tcPr>
            <w:tcW w:w="615" w:type="dxa"/>
          </w:tcPr>
          <w:p>
            <w:pPr>
              <w:pStyle w:val="TableParagraph"/>
              <w:spacing w:line="203" w:lineRule="exact" w:before="12"/>
              <w:ind w:right="22"/>
              <w:rPr>
                <w:rFonts w:ascii="MS Reference Sans Serif"/>
                <w:sz w:val="17"/>
              </w:rPr>
            </w:pPr>
            <w:r>
              <w:rPr>
                <w:rFonts w:ascii="MS Reference Sans Serif"/>
                <w:sz w:val="17"/>
              </w:rPr>
              <w:t>3,8</w:t>
            </w:r>
          </w:p>
        </w:tc>
      </w:tr>
      <w:tr>
        <w:trPr>
          <w:trHeight w:val="242" w:hRule="atLeast"/>
        </w:trPr>
        <w:tc>
          <w:tcPr>
            <w:tcW w:w="4748" w:type="dxa"/>
          </w:tcPr>
          <w:p>
            <w:pPr>
              <w:pStyle w:val="TableParagraph"/>
              <w:tabs>
                <w:tab w:pos="3379" w:val="left" w:leader="none"/>
              </w:tabs>
              <w:spacing w:line="69" w:lineRule="auto" w:before="45"/>
              <w:ind w:right="222"/>
              <w:rPr>
                <w:sz w:val="17"/>
              </w:rPr>
            </w:pPr>
            <w:r>
              <w:rPr>
                <w:position w:val="-11"/>
                <w:sz w:val="17"/>
              </w:rPr>
              <w:t>SALDO PRIMARIO</w:t>
              <w:tab/>
            </w:r>
            <w:r>
              <w:rPr>
                <w:sz w:val="17"/>
              </w:rPr>
              <w:t>(Nota agg.</w:t>
            </w:r>
            <w:r>
              <w:rPr>
                <w:spacing w:val="-4"/>
                <w:sz w:val="17"/>
              </w:rPr>
              <w:t> </w:t>
            </w:r>
            <w:r>
              <w:rPr>
                <w:sz w:val="17"/>
              </w:rPr>
              <w:t>DEF)</w:t>
            </w:r>
          </w:p>
        </w:tc>
        <w:tc>
          <w:tcPr>
            <w:tcW w:w="812" w:type="dxa"/>
          </w:tcPr>
          <w:p>
            <w:pPr>
              <w:pStyle w:val="TableParagraph"/>
              <w:spacing w:line="206" w:lineRule="exact" w:before="17"/>
              <w:ind w:right="89"/>
              <w:rPr>
                <w:rFonts w:ascii="MS Reference Sans Serif"/>
                <w:sz w:val="17"/>
              </w:rPr>
            </w:pPr>
            <w:r>
              <w:rPr>
                <w:rFonts w:ascii="MS Reference Sans Serif"/>
                <w:sz w:val="17"/>
              </w:rPr>
              <w:t>1,5</w:t>
            </w:r>
          </w:p>
        </w:tc>
        <w:tc>
          <w:tcPr>
            <w:tcW w:w="680" w:type="dxa"/>
          </w:tcPr>
          <w:p>
            <w:pPr>
              <w:pStyle w:val="TableParagraph"/>
              <w:spacing w:line="198" w:lineRule="exact" w:before="24"/>
              <w:ind w:right="90"/>
              <w:rPr>
                <w:rFonts w:ascii="MS Reference Sans Serif"/>
                <w:sz w:val="17"/>
              </w:rPr>
            </w:pPr>
            <w:r>
              <w:rPr>
                <w:rFonts w:ascii="MS Reference Sans Serif"/>
                <w:sz w:val="17"/>
              </w:rPr>
              <w:t>1,3</w:t>
            </w:r>
          </w:p>
        </w:tc>
        <w:tc>
          <w:tcPr>
            <w:tcW w:w="681" w:type="dxa"/>
          </w:tcPr>
          <w:p>
            <w:pPr>
              <w:pStyle w:val="TableParagraph"/>
              <w:spacing w:line="198" w:lineRule="exact" w:before="24"/>
              <w:ind w:right="89"/>
              <w:rPr>
                <w:rFonts w:ascii="MS Reference Sans Serif"/>
                <w:sz w:val="17"/>
              </w:rPr>
            </w:pPr>
            <w:r>
              <w:rPr>
                <w:rFonts w:ascii="MS Reference Sans Serif"/>
                <w:sz w:val="17"/>
              </w:rPr>
              <w:t>1,1</w:t>
            </w:r>
          </w:p>
        </w:tc>
        <w:tc>
          <w:tcPr>
            <w:tcW w:w="684" w:type="dxa"/>
          </w:tcPr>
          <w:p>
            <w:pPr>
              <w:pStyle w:val="TableParagraph"/>
              <w:spacing w:line="198" w:lineRule="exact" w:before="24"/>
              <w:ind w:left="290" w:right="73"/>
              <w:jc w:val="center"/>
              <w:rPr>
                <w:rFonts w:ascii="MS Reference Sans Serif"/>
                <w:sz w:val="17"/>
              </w:rPr>
            </w:pPr>
            <w:r>
              <w:rPr>
                <w:rFonts w:ascii="MS Reference Sans Serif"/>
                <w:sz w:val="17"/>
              </w:rPr>
              <w:t>1,3</w:t>
            </w:r>
          </w:p>
        </w:tc>
        <w:tc>
          <w:tcPr>
            <w:tcW w:w="615" w:type="dxa"/>
          </w:tcPr>
          <w:p>
            <w:pPr>
              <w:pStyle w:val="TableParagraph"/>
              <w:spacing w:line="198" w:lineRule="exact" w:before="24"/>
              <w:ind w:right="22"/>
              <w:rPr>
                <w:rFonts w:ascii="MS Reference Sans Serif"/>
                <w:sz w:val="17"/>
              </w:rPr>
            </w:pPr>
            <w:r>
              <w:rPr>
                <w:rFonts w:ascii="MS Reference Sans Serif"/>
                <w:sz w:val="17"/>
              </w:rPr>
              <w:t>1,6</w:t>
            </w:r>
          </w:p>
        </w:tc>
      </w:tr>
      <w:tr>
        <w:trPr>
          <w:trHeight w:val="235" w:hRule="atLeast"/>
        </w:trPr>
        <w:tc>
          <w:tcPr>
            <w:tcW w:w="4748" w:type="dxa"/>
          </w:tcPr>
          <w:p>
            <w:pPr>
              <w:pStyle w:val="TableParagraph"/>
              <w:spacing w:before="17"/>
              <w:ind w:right="363"/>
              <w:rPr>
                <w:sz w:val="17"/>
              </w:rPr>
            </w:pPr>
            <w:r>
              <w:rPr>
                <w:sz w:val="17"/>
              </w:rPr>
              <w:t>(DEF 2019)</w:t>
            </w:r>
          </w:p>
        </w:tc>
        <w:tc>
          <w:tcPr>
            <w:tcW w:w="812" w:type="dxa"/>
          </w:tcPr>
          <w:p>
            <w:pPr>
              <w:pStyle w:val="TableParagraph"/>
              <w:spacing w:line="203" w:lineRule="exact" w:before="12"/>
              <w:ind w:right="89"/>
              <w:rPr>
                <w:rFonts w:ascii="MS Reference Sans Serif"/>
                <w:sz w:val="17"/>
              </w:rPr>
            </w:pPr>
            <w:r>
              <w:rPr>
                <w:rFonts w:ascii="MS Reference Sans Serif"/>
                <w:sz w:val="17"/>
              </w:rPr>
              <w:t>1,6</w:t>
            </w:r>
          </w:p>
        </w:tc>
        <w:tc>
          <w:tcPr>
            <w:tcW w:w="680" w:type="dxa"/>
          </w:tcPr>
          <w:p>
            <w:pPr>
              <w:pStyle w:val="TableParagraph"/>
              <w:spacing w:line="203" w:lineRule="exact" w:before="12"/>
              <w:ind w:right="90"/>
              <w:rPr>
                <w:rFonts w:ascii="MS Reference Sans Serif"/>
                <w:sz w:val="17"/>
              </w:rPr>
            </w:pPr>
            <w:r>
              <w:rPr>
                <w:rFonts w:ascii="MS Reference Sans Serif"/>
                <w:sz w:val="17"/>
              </w:rPr>
              <w:t>1,2</w:t>
            </w:r>
          </w:p>
        </w:tc>
        <w:tc>
          <w:tcPr>
            <w:tcW w:w="681" w:type="dxa"/>
          </w:tcPr>
          <w:p>
            <w:pPr>
              <w:pStyle w:val="TableParagraph"/>
              <w:spacing w:line="203" w:lineRule="exact" w:before="12"/>
              <w:ind w:right="89"/>
              <w:rPr>
                <w:rFonts w:ascii="MS Reference Sans Serif"/>
                <w:sz w:val="17"/>
              </w:rPr>
            </w:pPr>
            <w:r>
              <w:rPr>
                <w:rFonts w:ascii="MS Reference Sans Serif"/>
                <w:sz w:val="17"/>
              </w:rPr>
              <w:t>1,5</w:t>
            </w:r>
          </w:p>
        </w:tc>
        <w:tc>
          <w:tcPr>
            <w:tcW w:w="684" w:type="dxa"/>
          </w:tcPr>
          <w:p>
            <w:pPr>
              <w:pStyle w:val="TableParagraph"/>
              <w:spacing w:line="203" w:lineRule="exact" w:before="12"/>
              <w:ind w:left="290" w:right="73"/>
              <w:jc w:val="center"/>
              <w:rPr>
                <w:rFonts w:ascii="MS Reference Sans Serif"/>
                <w:sz w:val="17"/>
              </w:rPr>
            </w:pPr>
            <w:r>
              <w:rPr>
                <w:rFonts w:ascii="MS Reference Sans Serif"/>
                <w:sz w:val="17"/>
              </w:rPr>
              <w:t>1,9</w:t>
            </w:r>
          </w:p>
        </w:tc>
        <w:tc>
          <w:tcPr>
            <w:tcW w:w="615" w:type="dxa"/>
          </w:tcPr>
          <w:p>
            <w:pPr>
              <w:pStyle w:val="TableParagraph"/>
              <w:spacing w:line="203" w:lineRule="exact" w:before="12"/>
              <w:ind w:right="22"/>
              <w:rPr>
                <w:rFonts w:ascii="MS Reference Sans Serif"/>
                <w:sz w:val="17"/>
              </w:rPr>
            </w:pPr>
            <w:r>
              <w:rPr>
                <w:rFonts w:ascii="MS Reference Sans Serif"/>
                <w:sz w:val="17"/>
              </w:rPr>
              <w:t>2,3</w:t>
            </w:r>
          </w:p>
        </w:tc>
      </w:tr>
      <w:tr>
        <w:trPr>
          <w:trHeight w:val="242" w:hRule="atLeast"/>
        </w:trPr>
        <w:tc>
          <w:tcPr>
            <w:tcW w:w="4748" w:type="dxa"/>
          </w:tcPr>
          <w:p>
            <w:pPr>
              <w:pStyle w:val="TableParagraph"/>
              <w:tabs>
                <w:tab w:pos="3379" w:val="left" w:leader="none"/>
              </w:tabs>
              <w:spacing w:line="202" w:lineRule="exact" w:before="20"/>
              <w:ind w:right="222"/>
              <w:rPr>
                <w:sz w:val="17"/>
              </w:rPr>
            </w:pPr>
            <w:r>
              <w:rPr>
                <w:sz w:val="17"/>
              </w:rPr>
              <w:t>INDEBITAMENTO NETTO</w:t>
            </w:r>
            <w:r>
              <w:rPr>
                <w:spacing w:val="-4"/>
                <w:sz w:val="17"/>
              </w:rPr>
              <w:t> </w:t>
            </w:r>
            <w:r>
              <w:rPr>
                <w:sz w:val="17"/>
              </w:rPr>
              <w:t>STRUTTURALE</w:t>
            </w:r>
            <w:r>
              <w:rPr>
                <w:spacing w:val="-3"/>
                <w:sz w:val="17"/>
              </w:rPr>
              <w:t> </w:t>
            </w:r>
            <w:r>
              <w:rPr>
                <w:sz w:val="17"/>
              </w:rPr>
              <w:t>(1)</w:t>
              <w:tab/>
            </w:r>
            <w:r>
              <w:rPr>
                <w:position w:val="12"/>
                <w:sz w:val="17"/>
              </w:rPr>
              <w:t>(Nota agg.</w:t>
            </w:r>
            <w:r>
              <w:rPr>
                <w:spacing w:val="-3"/>
                <w:position w:val="12"/>
                <w:sz w:val="17"/>
              </w:rPr>
              <w:t> </w:t>
            </w:r>
            <w:r>
              <w:rPr>
                <w:position w:val="12"/>
                <w:sz w:val="17"/>
              </w:rPr>
              <w:t>DEF)</w:t>
            </w:r>
          </w:p>
        </w:tc>
        <w:tc>
          <w:tcPr>
            <w:tcW w:w="812" w:type="dxa"/>
          </w:tcPr>
          <w:p>
            <w:pPr>
              <w:pStyle w:val="TableParagraph"/>
              <w:spacing w:line="206" w:lineRule="exact" w:before="17"/>
              <w:ind w:right="89"/>
              <w:rPr>
                <w:rFonts w:ascii="MS Reference Sans Serif"/>
                <w:sz w:val="17"/>
              </w:rPr>
            </w:pPr>
            <w:r>
              <w:rPr>
                <w:rFonts w:ascii="MS Reference Sans Serif"/>
                <w:sz w:val="17"/>
              </w:rPr>
              <w:t>-1,5</w:t>
            </w:r>
          </w:p>
        </w:tc>
        <w:tc>
          <w:tcPr>
            <w:tcW w:w="680" w:type="dxa"/>
          </w:tcPr>
          <w:p>
            <w:pPr>
              <w:pStyle w:val="TableParagraph"/>
              <w:spacing w:line="206" w:lineRule="exact" w:before="17"/>
              <w:ind w:right="90"/>
              <w:rPr>
                <w:rFonts w:ascii="MS Reference Sans Serif"/>
                <w:sz w:val="17"/>
              </w:rPr>
            </w:pPr>
            <w:r>
              <w:rPr>
                <w:rFonts w:ascii="MS Reference Sans Serif"/>
                <w:sz w:val="17"/>
              </w:rPr>
              <w:t>-1,2</w:t>
            </w:r>
          </w:p>
        </w:tc>
        <w:tc>
          <w:tcPr>
            <w:tcW w:w="681" w:type="dxa"/>
          </w:tcPr>
          <w:p>
            <w:pPr>
              <w:pStyle w:val="TableParagraph"/>
              <w:spacing w:line="206" w:lineRule="exact" w:before="17"/>
              <w:ind w:right="89"/>
              <w:rPr>
                <w:rFonts w:ascii="MS Reference Sans Serif"/>
                <w:sz w:val="17"/>
              </w:rPr>
            </w:pPr>
            <w:r>
              <w:rPr>
                <w:rFonts w:ascii="MS Reference Sans Serif"/>
                <w:sz w:val="17"/>
              </w:rPr>
              <w:t>-1,4</w:t>
            </w:r>
          </w:p>
        </w:tc>
        <w:tc>
          <w:tcPr>
            <w:tcW w:w="684" w:type="dxa"/>
          </w:tcPr>
          <w:p>
            <w:pPr>
              <w:pStyle w:val="TableParagraph"/>
              <w:spacing w:line="206" w:lineRule="exact" w:before="17"/>
              <w:ind w:left="171" w:right="31"/>
              <w:jc w:val="center"/>
              <w:rPr>
                <w:rFonts w:ascii="MS Reference Sans Serif"/>
                <w:sz w:val="17"/>
              </w:rPr>
            </w:pPr>
            <w:r>
              <w:rPr>
                <w:rFonts w:ascii="MS Reference Sans Serif"/>
                <w:sz w:val="17"/>
              </w:rPr>
              <w:t>-1,2</w:t>
            </w:r>
          </w:p>
        </w:tc>
        <w:tc>
          <w:tcPr>
            <w:tcW w:w="615" w:type="dxa"/>
          </w:tcPr>
          <w:p>
            <w:pPr>
              <w:pStyle w:val="TableParagraph"/>
              <w:spacing w:line="198" w:lineRule="exact" w:before="24"/>
              <w:ind w:right="22"/>
              <w:rPr>
                <w:rFonts w:ascii="MS Reference Sans Serif"/>
                <w:sz w:val="17"/>
              </w:rPr>
            </w:pPr>
            <w:r>
              <w:rPr>
                <w:rFonts w:ascii="MS Reference Sans Serif"/>
                <w:sz w:val="17"/>
              </w:rPr>
              <w:t>-1,0</w:t>
            </w:r>
          </w:p>
        </w:tc>
      </w:tr>
      <w:tr>
        <w:trPr>
          <w:trHeight w:val="235" w:hRule="atLeast"/>
        </w:trPr>
        <w:tc>
          <w:tcPr>
            <w:tcW w:w="4748" w:type="dxa"/>
          </w:tcPr>
          <w:p>
            <w:pPr>
              <w:pStyle w:val="TableParagraph"/>
              <w:spacing w:before="17"/>
              <w:ind w:right="363"/>
              <w:rPr>
                <w:sz w:val="17"/>
              </w:rPr>
            </w:pPr>
            <w:r>
              <w:rPr>
                <w:sz w:val="17"/>
              </w:rPr>
              <w:t>(DEF 2019)</w:t>
            </w:r>
          </w:p>
        </w:tc>
        <w:tc>
          <w:tcPr>
            <w:tcW w:w="812" w:type="dxa"/>
          </w:tcPr>
          <w:p>
            <w:pPr>
              <w:pStyle w:val="TableParagraph"/>
              <w:spacing w:line="203" w:lineRule="exact" w:before="12"/>
              <w:ind w:right="89"/>
              <w:rPr>
                <w:rFonts w:ascii="MS Reference Sans Serif"/>
                <w:sz w:val="17"/>
              </w:rPr>
            </w:pPr>
            <w:r>
              <w:rPr>
                <w:rFonts w:ascii="MS Reference Sans Serif"/>
                <w:sz w:val="17"/>
              </w:rPr>
              <w:t>-1,4</w:t>
            </w:r>
          </w:p>
        </w:tc>
        <w:tc>
          <w:tcPr>
            <w:tcW w:w="680" w:type="dxa"/>
          </w:tcPr>
          <w:p>
            <w:pPr>
              <w:pStyle w:val="TableParagraph"/>
              <w:spacing w:line="203" w:lineRule="exact" w:before="12"/>
              <w:ind w:right="90"/>
              <w:rPr>
                <w:rFonts w:ascii="MS Reference Sans Serif"/>
                <w:sz w:val="17"/>
              </w:rPr>
            </w:pPr>
            <w:r>
              <w:rPr>
                <w:rFonts w:ascii="MS Reference Sans Serif"/>
                <w:sz w:val="17"/>
              </w:rPr>
              <w:t>-1,5</w:t>
            </w:r>
          </w:p>
        </w:tc>
        <w:tc>
          <w:tcPr>
            <w:tcW w:w="681" w:type="dxa"/>
          </w:tcPr>
          <w:p>
            <w:pPr>
              <w:pStyle w:val="TableParagraph"/>
              <w:spacing w:line="203" w:lineRule="exact" w:before="12"/>
              <w:ind w:right="89"/>
              <w:rPr>
                <w:rFonts w:ascii="MS Reference Sans Serif"/>
                <w:sz w:val="17"/>
              </w:rPr>
            </w:pPr>
            <w:r>
              <w:rPr>
                <w:rFonts w:ascii="MS Reference Sans Serif"/>
                <w:sz w:val="17"/>
              </w:rPr>
              <w:t>-1,4</w:t>
            </w:r>
          </w:p>
        </w:tc>
        <w:tc>
          <w:tcPr>
            <w:tcW w:w="684" w:type="dxa"/>
          </w:tcPr>
          <w:p>
            <w:pPr>
              <w:pStyle w:val="TableParagraph"/>
              <w:spacing w:line="203" w:lineRule="exact" w:before="12"/>
              <w:ind w:left="171" w:right="31"/>
              <w:jc w:val="center"/>
              <w:rPr>
                <w:rFonts w:ascii="MS Reference Sans Serif"/>
                <w:sz w:val="17"/>
              </w:rPr>
            </w:pPr>
            <w:r>
              <w:rPr>
                <w:rFonts w:ascii="MS Reference Sans Serif"/>
                <w:sz w:val="17"/>
              </w:rPr>
              <w:t>-1,1</w:t>
            </w:r>
          </w:p>
        </w:tc>
        <w:tc>
          <w:tcPr>
            <w:tcW w:w="615" w:type="dxa"/>
          </w:tcPr>
          <w:p>
            <w:pPr>
              <w:pStyle w:val="TableParagraph"/>
              <w:spacing w:line="203" w:lineRule="exact" w:before="12"/>
              <w:ind w:right="22"/>
              <w:rPr>
                <w:rFonts w:ascii="MS Reference Sans Serif"/>
                <w:sz w:val="17"/>
              </w:rPr>
            </w:pPr>
            <w:r>
              <w:rPr>
                <w:rFonts w:ascii="MS Reference Sans Serif"/>
                <w:sz w:val="17"/>
              </w:rPr>
              <w:t>-0,8</w:t>
            </w:r>
          </w:p>
        </w:tc>
      </w:tr>
      <w:tr>
        <w:trPr>
          <w:trHeight w:val="238" w:hRule="atLeast"/>
        </w:trPr>
        <w:tc>
          <w:tcPr>
            <w:tcW w:w="4748" w:type="dxa"/>
          </w:tcPr>
          <w:p>
            <w:pPr>
              <w:pStyle w:val="TableParagraph"/>
              <w:tabs>
                <w:tab w:pos="3379" w:val="left" w:leader="none"/>
              </w:tabs>
              <w:spacing w:line="199" w:lineRule="exact" w:before="20"/>
              <w:ind w:right="222"/>
              <w:rPr>
                <w:sz w:val="17"/>
              </w:rPr>
            </w:pPr>
            <w:r>
              <w:rPr>
                <w:sz w:val="17"/>
              </w:rPr>
              <w:t>DEBITO (lordo</w:t>
            </w:r>
            <w:r>
              <w:rPr>
                <w:spacing w:val="-3"/>
                <w:sz w:val="17"/>
              </w:rPr>
              <w:t> </w:t>
            </w:r>
            <w:r>
              <w:rPr>
                <w:sz w:val="17"/>
              </w:rPr>
              <w:t>sostegni</w:t>
            </w:r>
            <w:r>
              <w:rPr>
                <w:spacing w:val="-2"/>
                <w:sz w:val="17"/>
              </w:rPr>
              <w:t> </w:t>
            </w:r>
            <w:r>
              <w:rPr>
                <w:sz w:val="17"/>
              </w:rPr>
              <w:t>)(2)</w:t>
              <w:tab/>
            </w:r>
            <w:r>
              <w:rPr>
                <w:position w:val="12"/>
                <w:sz w:val="17"/>
              </w:rPr>
              <w:t>(Nota agg.</w:t>
            </w:r>
            <w:r>
              <w:rPr>
                <w:spacing w:val="-4"/>
                <w:position w:val="12"/>
                <w:sz w:val="17"/>
              </w:rPr>
              <w:t> </w:t>
            </w:r>
            <w:r>
              <w:rPr>
                <w:position w:val="12"/>
                <w:sz w:val="17"/>
              </w:rPr>
              <w:t>DEF)</w:t>
            </w:r>
          </w:p>
        </w:tc>
        <w:tc>
          <w:tcPr>
            <w:tcW w:w="812" w:type="dxa"/>
          </w:tcPr>
          <w:p>
            <w:pPr>
              <w:pStyle w:val="TableParagraph"/>
              <w:spacing w:line="202" w:lineRule="exact" w:before="17"/>
              <w:ind w:right="89"/>
              <w:rPr>
                <w:rFonts w:ascii="MS Reference Sans Serif"/>
                <w:sz w:val="17"/>
              </w:rPr>
            </w:pPr>
            <w:r>
              <w:rPr>
                <w:rFonts w:ascii="MS Reference Sans Serif"/>
                <w:sz w:val="17"/>
              </w:rPr>
              <w:t>134,8</w:t>
            </w:r>
          </w:p>
        </w:tc>
        <w:tc>
          <w:tcPr>
            <w:tcW w:w="680" w:type="dxa"/>
          </w:tcPr>
          <w:p>
            <w:pPr>
              <w:pStyle w:val="TableParagraph"/>
              <w:spacing w:line="202" w:lineRule="exact" w:before="17"/>
              <w:ind w:right="90"/>
              <w:rPr>
                <w:rFonts w:ascii="MS Reference Sans Serif"/>
                <w:sz w:val="17"/>
              </w:rPr>
            </w:pPr>
            <w:r>
              <w:rPr>
                <w:rFonts w:ascii="MS Reference Sans Serif"/>
                <w:sz w:val="17"/>
              </w:rPr>
              <w:t>135,7</w:t>
            </w:r>
          </w:p>
        </w:tc>
        <w:tc>
          <w:tcPr>
            <w:tcW w:w="681" w:type="dxa"/>
          </w:tcPr>
          <w:p>
            <w:pPr>
              <w:pStyle w:val="TableParagraph"/>
              <w:spacing w:line="202" w:lineRule="exact" w:before="17"/>
              <w:ind w:right="89"/>
              <w:rPr>
                <w:rFonts w:ascii="MS Reference Sans Serif"/>
                <w:sz w:val="17"/>
              </w:rPr>
            </w:pPr>
            <w:r>
              <w:rPr>
                <w:rFonts w:ascii="MS Reference Sans Serif"/>
                <w:sz w:val="17"/>
              </w:rPr>
              <w:t>135,2</w:t>
            </w:r>
          </w:p>
        </w:tc>
        <w:tc>
          <w:tcPr>
            <w:tcW w:w="684" w:type="dxa"/>
          </w:tcPr>
          <w:p>
            <w:pPr>
              <w:pStyle w:val="TableParagraph"/>
              <w:spacing w:line="202" w:lineRule="exact" w:before="17"/>
              <w:ind w:left="73" w:right="73"/>
              <w:jc w:val="center"/>
              <w:rPr>
                <w:rFonts w:ascii="MS Reference Sans Serif"/>
                <w:sz w:val="17"/>
              </w:rPr>
            </w:pPr>
            <w:r>
              <w:rPr>
                <w:rFonts w:ascii="MS Reference Sans Serif"/>
                <w:sz w:val="17"/>
              </w:rPr>
              <w:t>133,4</w:t>
            </w:r>
          </w:p>
        </w:tc>
        <w:tc>
          <w:tcPr>
            <w:tcW w:w="615" w:type="dxa"/>
          </w:tcPr>
          <w:p>
            <w:pPr>
              <w:pStyle w:val="TableParagraph"/>
              <w:spacing w:line="202" w:lineRule="exact" w:before="17"/>
              <w:ind w:right="22"/>
              <w:rPr>
                <w:rFonts w:ascii="MS Reference Sans Serif"/>
                <w:sz w:val="17"/>
              </w:rPr>
            </w:pPr>
            <w:r>
              <w:rPr>
                <w:rFonts w:ascii="MS Reference Sans Serif"/>
                <w:sz w:val="17"/>
              </w:rPr>
              <w:t>131,4</w:t>
            </w:r>
          </w:p>
        </w:tc>
      </w:tr>
      <w:tr>
        <w:trPr>
          <w:trHeight w:val="238" w:hRule="atLeast"/>
        </w:trPr>
        <w:tc>
          <w:tcPr>
            <w:tcW w:w="4748" w:type="dxa"/>
          </w:tcPr>
          <w:p>
            <w:pPr>
              <w:pStyle w:val="TableParagraph"/>
              <w:spacing w:before="21"/>
              <w:ind w:right="363"/>
              <w:rPr>
                <w:sz w:val="17"/>
              </w:rPr>
            </w:pPr>
            <w:r>
              <w:rPr>
                <w:sz w:val="17"/>
              </w:rPr>
              <w:t>(DEF 2019)</w:t>
            </w:r>
          </w:p>
        </w:tc>
        <w:tc>
          <w:tcPr>
            <w:tcW w:w="812" w:type="dxa"/>
          </w:tcPr>
          <w:p>
            <w:pPr>
              <w:pStyle w:val="TableParagraph"/>
              <w:spacing w:line="203" w:lineRule="exact" w:before="15"/>
              <w:ind w:right="89"/>
              <w:rPr>
                <w:rFonts w:ascii="MS Reference Sans Serif"/>
                <w:sz w:val="17"/>
              </w:rPr>
            </w:pPr>
            <w:r>
              <w:rPr>
                <w:rFonts w:ascii="MS Reference Sans Serif"/>
                <w:sz w:val="17"/>
              </w:rPr>
              <w:t>132,2</w:t>
            </w:r>
          </w:p>
        </w:tc>
        <w:tc>
          <w:tcPr>
            <w:tcW w:w="680" w:type="dxa"/>
          </w:tcPr>
          <w:p>
            <w:pPr>
              <w:pStyle w:val="TableParagraph"/>
              <w:spacing w:line="203" w:lineRule="exact" w:before="15"/>
              <w:ind w:right="90"/>
              <w:rPr>
                <w:rFonts w:ascii="MS Reference Sans Serif"/>
                <w:sz w:val="17"/>
              </w:rPr>
            </w:pPr>
            <w:r>
              <w:rPr>
                <w:rFonts w:ascii="MS Reference Sans Serif"/>
                <w:sz w:val="17"/>
              </w:rPr>
              <w:t>132,6</w:t>
            </w:r>
          </w:p>
        </w:tc>
        <w:tc>
          <w:tcPr>
            <w:tcW w:w="681" w:type="dxa"/>
          </w:tcPr>
          <w:p>
            <w:pPr>
              <w:pStyle w:val="TableParagraph"/>
              <w:spacing w:line="203" w:lineRule="exact" w:before="15"/>
              <w:ind w:right="89"/>
              <w:rPr>
                <w:rFonts w:ascii="MS Reference Sans Serif"/>
                <w:sz w:val="17"/>
              </w:rPr>
            </w:pPr>
            <w:r>
              <w:rPr>
                <w:rFonts w:ascii="MS Reference Sans Serif"/>
                <w:sz w:val="17"/>
              </w:rPr>
              <w:t>131,3</w:t>
            </w:r>
          </w:p>
        </w:tc>
        <w:tc>
          <w:tcPr>
            <w:tcW w:w="684" w:type="dxa"/>
          </w:tcPr>
          <w:p>
            <w:pPr>
              <w:pStyle w:val="TableParagraph"/>
              <w:spacing w:line="203" w:lineRule="exact" w:before="15"/>
              <w:ind w:left="74" w:right="73"/>
              <w:jc w:val="center"/>
              <w:rPr>
                <w:rFonts w:ascii="MS Reference Sans Serif"/>
                <w:sz w:val="17"/>
              </w:rPr>
            </w:pPr>
            <w:r>
              <w:rPr>
                <w:rFonts w:ascii="MS Reference Sans Serif"/>
                <w:sz w:val="17"/>
              </w:rPr>
              <w:t>130,2</w:t>
            </w:r>
          </w:p>
        </w:tc>
        <w:tc>
          <w:tcPr>
            <w:tcW w:w="615" w:type="dxa"/>
          </w:tcPr>
          <w:p>
            <w:pPr>
              <w:pStyle w:val="TableParagraph"/>
              <w:spacing w:line="203" w:lineRule="exact" w:before="15"/>
              <w:ind w:right="22"/>
              <w:rPr>
                <w:rFonts w:ascii="MS Reference Sans Serif"/>
                <w:sz w:val="17"/>
              </w:rPr>
            </w:pPr>
            <w:r>
              <w:rPr>
                <w:rFonts w:ascii="MS Reference Sans Serif"/>
                <w:sz w:val="17"/>
              </w:rPr>
              <w:t>128,9</w:t>
            </w:r>
          </w:p>
        </w:tc>
      </w:tr>
      <w:tr>
        <w:trPr>
          <w:trHeight w:val="238" w:hRule="atLeast"/>
        </w:trPr>
        <w:tc>
          <w:tcPr>
            <w:tcW w:w="4748" w:type="dxa"/>
          </w:tcPr>
          <w:p>
            <w:pPr>
              <w:pStyle w:val="TableParagraph"/>
              <w:tabs>
                <w:tab w:pos="3379" w:val="left" w:leader="none"/>
              </w:tabs>
              <w:spacing w:line="199" w:lineRule="exact" w:before="20"/>
              <w:ind w:right="222"/>
              <w:rPr>
                <w:sz w:val="17"/>
              </w:rPr>
            </w:pPr>
            <w:r>
              <w:rPr>
                <w:sz w:val="17"/>
              </w:rPr>
              <w:t>DEBITO (netto</w:t>
            </w:r>
            <w:r>
              <w:rPr>
                <w:spacing w:val="-2"/>
                <w:sz w:val="17"/>
              </w:rPr>
              <w:t> </w:t>
            </w:r>
            <w:r>
              <w:rPr>
                <w:sz w:val="17"/>
              </w:rPr>
              <w:t>sostegni)</w:t>
            </w:r>
            <w:r>
              <w:rPr>
                <w:spacing w:val="-1"/>
                <w:sz w:val="17"/>
              </w:rPr>
              <w:t> </w:t>
            </w:r>
            <w:r>
              <w:rPr>
                <w:sz w:val="17"/>
              </w:rPr>
              <w:t>(2)</w:t>
              <w:tab/>
            </w:r>
            <w:r>
              <w:rPr>
                <w:position w:val="12"/>
                <w:sz w:val="17"/>
              </w:rPr>
              <w:t>(Nota agg.</w:t>
            </w:r>
            <w:r>
              <w:rPr>
                <w:spacing w:val="-4"/>
                <w:position w:val="12"/>
                <w:sz w:val="17"/>
              </w:rPr>
              <w:t> </w:t>
            </w:r>
            <w:r>
              <w:rPr>
                <w:position w:val="12"/>
                <w:sz w:val="17"/>
              </w:rPr>
              <w:t>DEF)</w:t>
            </w:r>
          </w:p>
        </w:tc>
        <w:tc>
          <w:tcPr>
            <w:tcW w:w="812" w:type="dxa"/>
          </w:tcPr>
          <w:p>
            <w:pPr>
              <w:pStyle w:val="TableParagraph"/>
              <w:spacing w:line="202" w:lineRule="exact" w:before="17"/>
              <w:ind w:right="89"/>
              <w:rPr>
                <w:rFonts w:ascii="MS Reference Sans Serif"/>
                <w:sz w:val="17"/>
              </w:rPr>
            </w:pPr>
            <w:r>
              <w:rPr>
                <w:rFonts w:ascii="MS Reference Sans Serif"/>
                <w:sz w:val="17"/>
              </w:rPr>
              <w:t>131,5</w:t>
            </w:r>
          </w:p>
        </w:tc>
        <w:tc>
          <w:tcPr>
            <w:tcW w:w="680" w:type="dxa"/>
          </w:tcPr>
          <w:p>
            <w:pPr>
              <w:pStyle w:val="TableParagraph"/>
              <w:spacing w:line="202" w:lineRule="exact" w:before="17"/>
              <w:ind w:right="90"/>
              <w:rPr>
                <w:rFonts w:ascii="MS Reference Sans Serif"/>
                <w:sz w:val="17"/>
              </w:rPr>
            </w:pPr>
            <w:r>
              <w:rPr>
                <w:rFonts w:ascii="MS Reference Sans Serif"/>
                <w:sz w:val="17"/>
              </w:rPr>
              <w:t>132,5</w:t>
            </w:r>
          </w:p>
        </w:tc>
        <w:tc>
          <w:tcPr>
            <w:tcW w:w="681" w:type="dxa"/>
          </w:tcPr>
          <w:p>
            <w:pPr>
              <w:pStyle w:val="TableParagraph"/>
              <w:spacing w:line="202" w:lineRule="exact" w:before="17"/>
              <w:ind w:right="89"/>
              <w:rPr>
                <w:rFonts w:ascii="MS Reference Sans Serif"/>
                <w:sz w:val="17"/>
              </w:rPr>
            </w:pPr>
            <w:r>
              <w:rPr>
                <w:rFonts w:ascii="MS Reference Sans Serif"/>
                <w:sz w:val="17"/>
              </w:rPr>
              <w:t>132,0</w:t>
            </w:r>
          </w:p>
        </w:tc>
        <w:tc>
          <w:tcPr>
            <w:tcW w:w="684" w:type="dxa"/>
          </w:tcPr>
          <w:p>
            <w:pPr>
              <w:pStyle w:val="TableParagraph"/>
              <w:spacing w:line="202" w:lineRule="exact" w:before="17"/>
              <w:ind w:left="73" w:right="73"/>
              <w:jc w:val="center"/>
              <w:rPr>
                <w:rFonts w:ascii="MS Reference Sans Serif"/>
                <w:sz w:val="17"/>
              </w:rPr>
            </w:pPr>
            <w:r>
              <w:rPr>
                <w:rFonts w:ascii="MS Reference Sans Serif"/>
                <w:sz w:val="17"/>
              </w:rPr>
              <w:t>130,3</w:t>
            </w:r>
          </w:p>
        </w:tc>
        <w:tc>
          <w:tcPr>
            <w:tcW w:w="615" w:type="dxa"/>
          </w:tcPr>
          <w:p>
            <w:pPr>
              <w:pStyle w:val="TableParagraph"/>
              <w:spacing w:line="202" w:lineRule="exact" w:before="17"/>
              <w:ind w:right="22"/>
              <w:rPr>
                <w:rFonts w:ascii="MS Reference Sans Serif"/>
                <w:sz w:val="17"/>
              </w:rPr>
            </w:pPr>
            <w:r>
              <w:rPr>
                <w:rFonts w:ascii="MS Reference Sans Serif"/>
                <w:sz w:val="17"/>
              </w:rPr>
              <w:t>128,4</w:t>
            </w:r>
          </w:p>
        </w:tc>
      </w:tr>
      <w:tr>
        <w:trPr>
          <w:trHeight w:val="247" w:hRule="atLeast"/>
        </w:trPr>
        <w:tc>
          <w:tcPr>
            <w:tcW w:w="4748" w:type="dxa"/>
          </w:tcPr>
          <w:p>
            <w:pPr>
              <w:pStyle w:val="TableParagraph"/>
              <w:spacing w:before="21"/>
              <w:ind w:right="363"/>
              <w:rPr>
                <w:sz w:val="17"/>
              </w:rPr>
            </w:pPr>
            <w:r>
              <w:rPr>
                <w:sz w:val="17"/>
              </w:rPr>
              <w:t>(DEF 2019)</w:t>
            </w:r>
          </w:p>
        </w:tc>
        <w:tc>
          <w:tcPr>
            <w:tcW w:w="812" w:type="dxa"/>
          </w:tcPr>
          <w:p>
            <w:pPr>
              <w:pStyle w:val="TableParagraph"/>
              <w:spacing w:before="15"/>
              <w:ind w:right="89"/>
              <w:rPr>
                <w:rFonts w:ascii="MS Reference Sans Serif"/>
                <w:sz w:val="17"/>
              </w:rPr>
            </w:pPr>
            <w:r>
              <w:rPr>
                <w:rFonts w:ascii="MS Reference Sans Serif"/>
                <w:sz w:val="17"/>
              </w:rPr>
              <w:t>128,8</w:t>
            </w:r>
          </w:p>
        </w:tc>
        <w:tc>
          <w:tcPr>
            <w:tcW w:w="680" w:type="dxa"/>
          </w:tcPr>
          <w:p>
            <w:pPr>
              <w:pStyle w:val="TableParagraph"/>
              <w:spacing w:before="15"/>
              <w:ind w:right="90"/>
              <w:rPr>
                <w:rFonts w:ascii="MS Reference Sans Serif"/>
                <w:sz w:val="17"/>
              </w:rPr>
            </w:pPr>
            <w:r>
              <w:rPr>
                <w:rFonts w:ascii="MS Reference Sans Serif"/>
                <w:sz w:val="17"/>
              </w:rPr>
              <w:t>129,4</w:t>
            </w:r>
          </w:p>
        </w:tc>
        <w:tc>
          <w:tcPr>
            <w:tcW w:w="681" w:type="dxa"/>
          </w:tcPr>
          <w:p>
            <w:pPr>
              <w:pStyle w:val="TableParagraph"/>
              <w:spacing w:before="15"/>
              <w:ind w:right="89"/>
              <w:rPr>
                <w:rFonts w:ascii="MS Reference Sans Serif"/>
                <w:sz w:val="17"/>
              </w:rPr>
            </w:pPr>
            <w:r>
              <w:rPr>
                <w:rFonts w:ascii="MS Reference Sans Serif"/>
                <w:sz w:val="17"/>
              </w:rPr>
              <w:t>128,1</w:t>
            </w:r>
          </w:p>
        </w:tc>
        <w:tc>
          <w:tcPr>
            <w:tcW w:w="684" w:type="dxa"/>
          </w:tcPr>
          <w:p>
            <w:pPr>
              <w:pStyle w:val="TableParagraph"/>
              <w:spacing w:before="15"/>
              <w:ind w:left="74" w:right="73"/>
              <w:jc w:val="center"/>
              <w:rPr>
                <w:rFonts w:ascii="MS Reference Sans Serif"/>
                <w:sz w:val="17"/>
              </w:rPr>
            </w:pPr>
            <w:r>
              <w:rPr>
                <w:rFonts w:ascii="MS Reference Sans Serif"/>
                <w:sz w:val="17"/>
              </w:rPr>
              <w:t>127,2</w:t>
            </w:r>
          </w:p>
        </w:tc>
        <w:tc>
          <w:tcPr>
            <w:tcW w:w="615" w:type="dxa"/>
          </w:tcPr>
          <w:p>
            <w:pPr>
              <w:pStyle w:val="TableParagraph"/>
              <w:spacing w:before="15"/>
              <w:ind w:right="22"/>
              <w:rPr>
                <w:rFonts w:ascii="MS Reference Sans Serif"/>
                <w:sz w:val="17"/>
              </w:rPr>
            </w:pPr>
            <w:r>
              <w:rPr>
                <w:rFonts w:ascii="MS Reference Sans Serif"/>
                <w:sz w:val="17"/>
              </w:rPr>
              <w:t>125,9</w:t>
            </w:r>
          </w:p>
        </w:tc>
      </w:tr>
      <w:tr>
        <w:trPr>
          <w:trHeight w:val="247" w:hRule="atLeast"/>
        </w:trPr>
        <w:tc>
          <w:tcPr>
            <w:tcW w:w="4748" w:type="dxa"/>
          </w:tcPr>
          <w:p>
            <w:pPr>
              <w:pStyle w:val="TableParagraph"/>
              <w:tabs>
                <w:tab w:pos="3379" w:val="left" w:leader="none"/>
              </w:tabs>
              <w:spacing w:line="198" w:lineRule="exact" w:before="29"/>
              <w:ind w:right="222"/>
              <w:rPr>
                <w:sz w:val="17"/>
              </w:rPr>
            </w:pPr>
            <w:r>
              <w:rPr>
                <w:sz w:val="17"/>
              </w:rPr>
              <w:t>SALDO SETTORE</w:t>
            </w:r>
            <w:r>
              <w:rPr>
                <w:spacing w:val="-3"/>
                <w:sz w:val="17"/>
              </w:rPr>
              <w:t> </w:t>
            </w:r>
            <w:r>
              <w:rPr>
                <w:sz w:val="17"/>
              </w:rPr>
              <w:t>PUBBLICO</w:t>
              <w:tab/>
            </w:r>
            <w:r>
              <w:rPr>
                <w:position w:val="11"/>
                <w:sz w:val="17"/>
              </w:rPr>
              <w:t>(Nota agg.</w:t>
            </w:r>
            <w:r>
              <w:rPr>
                <w:spacing w:val="-4"/>
                <w:position w:val="11"/>
                <w:sz w:val="17"/>
              </w:rPr>
              <w:t> </w:t>
            </w:r>
            <w:r>
              <w:rPr>
                <w:position w:val="11"/>
                <w:sz w:val="17"/>
              </w:rPr>
              <w:t>DEF)</w:t>
            </w:r>
          </w:p>
        </w:tc>
        <w:tc>
          <w:tcPr>
            <w:tcW w:w="812" w:type="dxa"/>
          </w:tcPr>
          <w:p>
            <w:pPr>
              <w:pStyle w:val="TableParagraph"/>
              <w:spacing w:line="202" w:lineRule="exact" w:before="25"/>
              <w:ind w:right="89"/>
              <w:rPr>
                <w:rFonts w:ascii="MS Reference Sans Serif"/>
                <w:sz w:val="17"/>
              </w:rPr>
            </w:pPr>
            <w:r>
              <w:rPr>
                <w:rFonts w:ascii="MS Reference Sans Serif"/>
                <w:sz w:val="17"/>
              </w:rPr>
              <w:t>-2,3</w:t>
            </w:r>
          </w:p>
        </w:tc>
        <w:tc>
          <w:tcPr>
            <w:tcW w:w="680" w:type="dxa"/>
          </w:tcPr>
          <w:p>
            <w:pPr>
              <w:pStyle w:val="TableParagraph"/>
              <w:spacing w:line="202" w:lineRule="exact" w:before="25"/>
              <w:ind w:right="90"/>
              <w:rPr>
                <w:rFonts w:ascii="MS Reference Sans Serif"/>
                <w:sz w:val="17"/>
              </w:rPr>
            </w:pPr>
            <w:r>
              <w:rPr>
                <w:rFonts w:ascii="MS Reference Sans Serif"/>
                <w:sz w:val="17"/>
              </w:rPr>
              <w:t>-2,3</w:t>
            </w:r>
          </w:p>
        </w:tc>
        <w:tc>
          <w:tcPr>
            <w:tcW w:w="681" w:type="dxa"/>
          </w:tcPr>
          <w:p>
            <w:pPr>
              <w:pStyle w:val="TableParagraph"/>
              <w:spacing w:line="202" w:lineRule="exact" w:before="25"/>
              <w:ind w:right="89"/>
              <w:rPr>
                <w:rFonts w:ascii="MS Reference Sans Serif"/>
                <w:sz w:val="17"/>
              </w:rPr>
            </w:pPr>
            <w:r>
              <w:rPr>
                <w:rFonts w:ascii="MS Reference Sans Serif"/>
                <w:sz w:val="17"/>
              </w:rPr>
              <w:t>-2,5</w:t>
            </w:r>
          </w:p>
        </w:tc>
        <w:tc>
          <w:tcPr>
            <w:tcW w:w="684" w:type="dxa"/>
          </w:tcPr>
          <w:p>
            <w:pPr>
              <w:pStyle w:val="TableParagraph"/>
              <w:spacing w:line="202" w:lineRule="exact" w:before="25"/>
              <w:ind w:left="171" w:right="31"/>
              <w:jc w:val="center"/>
              <w:rPr>
                <w:rFonts w:ascii="MS Reference Sans Serif"/>
                <w:sz w:val="17"/>
              </w:rPr>
            </w:pPr>
            <w:r>
              <w:rPr>
                <w:rFonts w:ascii="MS Reference Sans Serif"/>
                <w:sz w:val="17"/>
              </w:rPr>
              <w:t>-1,9</w:t>
            </w:r>
          </w:p>
        </w:tc>
        <w:tc>
          <w:tcPr>
            <w:tcW w:w="615" w:type="dxa"/>
          </w:tcPr>
          <w:p>
            <w:pPr>
              <w:pStyle w:val="TableParagraph"/>
              <w:spacing w:line="200" w:lineRule="exact" w:before="28"/>
              <w:ind w:right="22"/>
              <w:rPr>
                <w:rFonts w:ascii="MS Reference Sans Serif"/>
                <w:sz w:val="17"/>
              </w:rPr>
            </w:pPr>
            <w:r>
              <w:rPr>
                <w:rFonts w:ascii="MS Reference Sans Serif"/>
                <w:sz w:val="17"/>
              </w:rPr>
              <w:t>-1,3</w:t>
            </w:r>
          </w:p>
        </w:tc>
      </w:tr>
      <w:tr>
        <w:trPr>
          <w:trHeight w:val="290" w:hRule="atLeast"/>
        </w:trPr>
        <w:tc>
          <w:tcPr>
            <w:tcW w:w="4748" w:type="dxa"/>
          </w:tcPr>
          <w:p>
            <w:pPr>
              <w:pStyle w:val="TableParagraph"/>
              <w:spacing w:before="16"/>
              <w:ind w:right="363"/>
              <w:rPr>
                <w:sz w:val="17"/>
              </w:rPr>
            </w:pPr>
            <w:r>
              <w:rPr>
                <w:sz w:val="17"/>
              </w:rPr>
              <w:t>(DEF 2019)</w:t>
            </w:r>
          </w:p>
        </w:tc>
        <w:tc>
          <w:tcPr>
            <w:tcW w:w="812" w:type="dxa"/>
          </w:tcPr>
          <w:p>
            <w:pPr>
              <w:pStyle w:val="TableParagraph"/>
              <w:spacing w:before="13"/>
              <w:ind w:right="89"/>
              <w:rPr>
                <w:rFonts w:ascii="MS Reference Sans Serif"/>
                <w:sz w:val="17"/>
              </w:rPr>
            </w:pPr>
            <w:r>
              <w:rPr>
                <w:rFonts w:ascii="MS Reference Sans Serif"/>
                <w:sz w:val="17"/>
              </w:rPr>
              <w:t>-2,3</w:t>
            </w:r>
          </w:p>
        </w:tc>
        <w:tc>
          <w:tcPr>
            <w:tcW w:w="680" w:type="dxa"/>
          </w:tcPr>
          <w:p>
            <w:pPr>
              <w:pStyle w:val="TableParagraph"/>
              <w:spacing w:before="13"/>
              <w:ind w:right="90"/>
              <w:rPr>
                <w:rFonts w:ascii="MS Reference Sans Serif"/>
                <w:sz w:val="17"/>
              </w:rPr>
            </w:pPr>
            <w:r>
              <w:rPr>
                <w:rFonts w:ascii="MS Reference Sans Serif"/>
                <w:sz w:val="17"/>
              </w:rPr>
              <w:t>-3,2</w:t>
            </w:r>
          </w:p>
        </w:tc>
        <w:tc>
          <w:tcPr>
            <w:tcW w:w="681" w:type="dxa"/>
          </w:tcPr>
          <w:p>
            <w:pPr>
              <w:pStyle w:val="TableParagraph"/>
              <w:spacing w:before="13"/>
              <w:ind w:right="89"/>
              <w:rPr>
                <w:rFonts w:ascii="MS Reference Sans Serif"/>
                <w:sz w:val="17"/>
              </w:rPr>
            </w:pPr>
            <w:r>
              <w:rPr>
                <w:rFonts w:ascii="MS Reference Sans Serif"/>
                <w:sz w:val="17"/>
              </w:rPr>
              <w:t>-2,4</w:t>
            </w:r>
          </w:p>
        </w:tc>
        <w:tc>
          <w:tcPr>
            <w:tcW w:w="684" w:type="dxa"/>
          </w:tcPr>
          <w:p>
            <w:pPr>
              <w:pStyle w:val="TableParagraph"/>
              <w:spacing w:before="13"/>
              <w:ind w:left="171" w:right="31"/>
              <w:jc w:val="center"/>
              <w:rPr>
                <w:rFonts w:ascii="MS Reference Sans Serif"/>
                <w:sz w:val="17"/>
              </w:rPr>
            </w:pPr>
            <w:r>
              <w:rPr>
                <w:rFonts w:ascii="MS Reference Sans Serif"/>
                <w:sz w:val="17"/>
              </w:rPr>
              <w:t>-2,1</w:t>
            </w:r>
          </w:p>
        </w:tc>
        <w:tc>
          <w:tcPr>
            <w:tcW w:w="615" w:type="dxa"/>
          </w:tcPr>
          <w:p>
            <w:pPr>
              <w:pStyle w:val="TableParagraph"/>
              <w:spacing w:before="13"/>
              <w:ind w:right="22"/>
              <w:rPr>
                <w:rFonts w:ascii="MS Reference Sans Serif"/>
                <w:sz w:val="17"/>
              </w:rPr>
            </w:pPr>
            <w:r>
              <w:rPr>
                <w:rFonts w:ascii="MS Reference Sans Serif"/>
                <w:sz w:val="17"/>
              </w:rPr>
              <w:t>-1,3</w:t>
            </w:r>
          </w:p>
        </w:tc>
      </w:tr>
      <w:tr>
        <w:trPr>
          <w:trHeight w:val="416" w:hRule="atLeast"/>
        </w:trPr>
        <w:tc>
          <w:tcPr>
            <w:tcW w:w="4748" w:type="dxa"/>
            <w:tcBorders>
              <w:bottom w:val="single" w:sz="2" w:space="0" w:color="000000"/>
            </w:tcBorders>
          </w:tcPr>
          <w:p>
            <w:pPr>
              <w:pStyle w:val="TableParagraph"/>
              <w:tabs>
                <w:tab w:pos="3379" w:val="left" w:leader="none"/>
              </w:tabs>
              <w:spacing w:before="76"/>
              <w:ind w:right="222"/>
              <w:rPr>
                <w:sz w:val="17"/>
              </w:rPr>
            </w:pPr>
            <w:r>
              <w:rPr>
                <w:sz w:val="17"/>
              </w:rPr>
              <w:t>SALDO</w:t>
            </w:r>
            <w:r>
              <w:rPr>
                <w:spacing w:val="-1"/>
                <w:sz w:val="17"/>
              </w:rPr>
              <w:t> </w:t>
            </w:r>
            <w:r>
              <w:rPr>
                <w:sz w:val="17"/>
              </w:rPr>
              <w:t>SETTORE</w:t>
            </w:r>
            <w:r>
              <w:rPr>
                <w:spacing w:val="-2"/>
                <w:sz w:val="17"/>
              </w:rPr>
              <w:t> </w:t>
            </w:r>
            <w:r>
              <w:rPr>
                <w:sz w:val="17"/>
              </w:rPr>
              <w:t>STATALE</w:t>
              <w:tab/>
              <w:t>(Nota agg.</w:t>
            </w:r>
            <w:r>
              <w:rPr>
                <w:spacing w:val="-4"/>
                <w:sz w:val="17"/>
              </w:rPr>
              <w:t> </w:t>
            </w:r>
            <w:r>
              <w:rPr>
                <w:sz w:val="17"/>
              </w:rPr>
              <w:t>DEF)</w:t>
            </w:r>
          </w:p>
        </w:tc>
        <w:tc>
          <w:tcPr>
            <w:tcW w:w="812" w:type="dxa"/>
            <w:tcBorders>
              <w:bottom w:val="single" w:sz="2" w:space="0" w:color="000000"/>
            </w:tcBorders>
          </w:tcPr>
          <w:p>
            <w:pPr>
              <w:pStyle w:val="TableParagraph"/>
              <w:spacing w:before="83"/>
              <w:ind w:right="89"/>
              <w:rPr>
                <w:rFonts w:ascii="MS Reference Sans Serif"/>
                <w:sz w:val="17"/>
              </w:rPr>
            </w:pPr>
            <w:r>
              <w:rPr>
                <w:rFonts w:ascii="MS Reference Sans Serif"/>
                <w:sz w:val="17"/>
              </w:rPr>
              <w:t>-2,6</w:t>
            </w:r>
          </w:p>
        </w:tc>
        <w:tc>
          <w:tcPr>
            <w:tcW w:w="680" w:type="dxa"/>
            <w:tcBorders>
              <w:bottom w:val="single" w:sz="2" w:space="0" w:color="000000"/>
            </w:tcBorders>
          </w:tcPr>
          <w:p>
            <w:pPr>
              <w:pStyle w:val="TableParagraph"/>
              <w:spacing w:before="83"/>
              <w:ind w:right="90"/>
              <w:rPr>
                <w:rFonts w:ascii="MS Reference Sans Serif"/>
                <w:sz w:val="17"/>
              </w:rPr>
            </w:pPr>
            <w:r>
              <w:rPr>
                <w:rFonts w:ascii="MS Reference Sans Serif"/>
                <w:sz w:val="17"/>
              </w:rPr>
              <w:t>-2,4</w:t>
            </w:r>
          </w:p>
        </w:tc>
        <w:tc>
          <w:tcPr>
            <w:tcW w:w="681" w:type="dxa"/>
            <w:tcBorders>
              <w:bottom w:val="single" w:sz="2" w:space="0" w:color="000000"/>
            </w:tcBorders>
          </w:tcPr>
          <w:p>
            <w:pPr>
              <w:pStyle w:val="TableParagraph"/>
              <w:spacing w:before="83"/>
              <w:ind w:right="89"/>
              <w:rPr>
                <w:rFonts w:ascii="MS Reference Sans Serif"/>
                <w:sz w:val="17"/>
              </w:rPr>
            </w:pPr>
            <w:r>
              <w:rPr>
                <w:rFonts w:ascii="MS Reference Sans Serif"/>
                <w:sz w:val="17"/>
              </w:rPr>
              <w:t>-2,6</w:t>
            </w:r>
          </w:p>
        </w:tc>
        <w:tc>
          <w:tcPr>
            <w:tcW w:w="684" w:type="dxa"/>
            <w:tcBorders>
              <w:bottom w:val="single" w:sz="2" w:space="0" w:color="000000"/>
            </w:tcBorders>
          </w:tcPr>
          <w:p>
            <w:pPr>
              <w:pStyle w:val="TableParagraph"/>
              <w:spacing w:before="83"/>
              <w:ind w:left="171" w:right="31"/>
              <w:jc w:val="center"/>
              <w:rPr>
                <w:rFonts w:ascii="MS Reference Sans Serif"/>
                <w:sz w:val="17"/>
              </w:rPr>
            </w:pPr>
            <w:r>
              <w:rPr>
                <w:rFonts w:ascii="MS Reference Sans Serif"/>
                <w:sz w:val="17"/>
              </w:rPr>
              <w:t>-2,0</w:t>
            </w:r>
          </w:p>
        </w:tc>
        <w:tc>
          <w:tcPr>
            <w:tcW w:w="615" w:type="dxa"/>
            <w:tcBorders>
              <w:bottom w:val="single" w:sz="2" w:space="0" w:color="000000"/>
            </w:tcBorders>
          </w:tcPr>
          <w:p>
            <w:pPr>
              <w:pStyle w:val="TableParagraph"/>
              <w:spacing w:before="71"/>
              <w:ind w:right="22"/>
              <w:rPr>
                <w:rFonts w:ascii="MS Reference Sans Serif"/>
                <w:sz w:val="17"/>
              </w:rPr>
            </w:pPr>
            <w:r>
              <w:rPr>
                <w:rFonts w:ascii="MS Reference Sans Serif"/>
                <w:sz w:val="17"/>
              </w:rPr>
              <w:t>-1,5</w:t>
            </w:r>
          </w:p>
        </w:tc>
      </w:tr>
    </w:tbl>
    <w:p>
      <w:pPr>
        <w:pStyle w:val="ListParagraph"/>
        <w:numPr>
          <w:ilvl w:val="0"/>
          <w:numId w:val="7"/>
        </w:numPr>
        <w:tabs>
          <w:tab w:pos="500" w:val="left" w:leader="none"/>
        </w:tabs>
        <w:spacing w:line="186" w:lineRule="exact" w:before="9" w:after="0"/>
        <w:ind w:left="499" w:right="0" w:hanging="195"/>
        <w:jc w:val="both"/>
        <w:rPr>
          <w:rFonts w:ascii="Franklin Gothic Book"/>
          <w:sz w:val="17"/>
        </w:rPr>
      </w:pPr>
      <w:r>
        <w:rPr>
          <w:rFonts w:ascii="Franklin Gothic Book"/>
          <w:sz w:val="17"/>
        </w:rPr>
        <w:t>Al netto delle misure una tantum e della componente ciclica.</w:t>
      </w:r>
    </w:p>
    <w:p>
      <w:pPr>
        <w:pStyle w:val="ListParagraph"/>
        <w:numPr>
          <w:ilvl w:val="0"/>
          <w:numId w:val="7"/>
        </w:numPr>
        <w:tabs>
          <w:tab w:pos="522" w:val="left" w:leader="none"/>
        </w:tabs>
        <w:spacing w:line="223" w:lineRule="auto" w:before="5" w:after="0"/>
        <w:ind w:left="305" w:right="2293" w:firstLine="0"/>
        <w:jc w:val="both"/>
        <w:rPr>
          <w:rFonts w:ascii="Franklin Gothic Book" w:hAnsi="Franklin Gothic Book"/>
          <w:sz w:val="17"/>
        </w:rPr>
      </w:pPr>
      <w:r>
        <w:rPr/>
        <w:pict>
          <v:line style="position:absolute;mso-position-horizontal-relative:page;mso-position-vertical-relative:paragraph;z-index:-251504640;mso-wrap-distance-left:0;mso-wrap-distance-right:0" from="70.223999pt,29.214954pt" to="482.013999pt,29.214954pt" stroked="true" strokeweight="1.44pt" strokecolor="#086d44">
            <v:stroke dashstyle="solid"/>
            <w10:wrap type="topAndBottom"/>
          </v:line>
        </w:pict>
      </w:r>
      <w:r>
        <w:rPr>
          <w:rFonts w:ascii="Franklin Gothic Book" w:hAnsi="Franklin Gothic Book"/>
          <w:sz w:val="17"/>
        </w:rPr>
        <w:t>Al lordo ovvero al netto delle quote di pertinenza dell’Italia dei prestiti a Stati membri dell'UEM, bilaterali o attraverso</w:t>
      </w:r>
      <w:r>
        <w:rPr>
          <w:rFonts w:ascii="Franklin Gothic Book" w:hAnsi="Franklin Gothic Book"/>
          <w:spacing w:val="-4"/>
          <w:sz w:val="17"/>
        </w:rPr>
        <w:t> </w:t>
      </w:r>
      <w:r>
        <w:rPr>
          <w:rFonts w:ascii="Franklin Gothic Book" w:hAnsi="Franklin Gothic Book"/>
          <w:sz w:val="17"/>
        </w:rPr>
        <w:t>l'EFSF,</w:t>
      </w:r>
      <w:r>
        <w:rPr>
          <w:rFonts w:ascii="Franklin Gothic Book" w:hAnsi="Franklin Gothic Book"/>
          <w:spacing w:val="-4"/>
          <w:sz w:val="17"/>
        </w:rPr>
        <w:t> </w:t>
      </w:r>
      <w:r>
        <w:rPr>
          <w:rFonts w:ascii="Franklin Gothic Book" w:hAnsi="Franklin Gothic Book"/>
          <w:sz w:val="17"/>
        </w:rPr>
        <w:t>e</w:t>
      </w:r>
      <w:r>
        <w:rPr>
          <w:rFonts w:ascii="Franklin Gothic Book" w:hAnsi="Franklin Gothic Book"/>
          <w:spacing w:val="-2"/>
          <w:sz w:val="17"/>
        </w:rPr>
        <w:t> </w:t>
      </w:r>
      <w:r>
        <w:rPr>
          <w:rFonts w:ascii="Franklin Gothic Book" w:hAnsi="Franklin Gothic Book"/>
          <w:sz w:val="17"/>
        </w:rPr>
        <w:t>del</w:t>
      </w:r>
      <w:r>
        <w:rPr>
          <w:rFonts w:ascii="Franklin Gothic Book" w:hAnsi="Franklin Gothic Book"/>
          <w:spacing w:val="-4"/>
          <w:sz w:val="17"/>
        </w:rPr>
        <w:t> </w:t>
      </w:r>
      <w:r>
        <w:rPr>
          <w:rFonts w:ascii="Franklin Gothic Book" w:hAnsi="Franklin Gothic Book"/>
          <w:sz w:val="17"/>
        </w:rPr>
        <w:t>contributo</w:t>
      </w:r>
      <w:r>
        <w:rPr>
          <w:rFonts w:ascii="Franklin Gothic Book" w:hAnsi="Franklin Gothic Book"/>
          <w:spacing w:val="-4"/>
          <w:sz w:val="17"/>
        </w:rPr>
        <w:t> </w:t>
      </w:r>
      <w:r>
        <w:rPr>
          <w:rFonts w:ascii="Franklin Gothic Book" w:hAnsi="Franklin Gothic Book"/>
          <w:sz w:val="17"/>
        </w:rPr>
        <w:t>al</w:t>
      </w:r>
      <w:r>
        <w:rPr>
          <w:rFonts w:ascii="Franklin Gothic Book" w:hAnsi="Franklin Gothic Book"/>
          <w:spacing w:val="-2"/>
          <w:sz w:val="17"/>
        </w:rPr>
        <w:t> </w:t>
      </w:r>
      <w:r>
        <w:rPr>
          <w:rFonts w:ascii="Franklin Gothic Book" w:hAnsi="Franklin Gothic Book"/>
          <w:sz w:val="17"/>
        </w:rPr>
        <w:t>capitale</w:t>
      </w:r>
      <w:r>
        <w:rPr>
          <w:rFonts w:ascii="Franklin Gothic Book" w:hAnsi="Franklin Gothic Book"/>
          <w:spacing w:val="-2"/>
          <w:sz w:val="17"/>
        </w:rPr>
        <w:t> </w:t>
      </w:r>
      <w:r>
        <w:rPr>
          <w:rFonts w:ascii="Franklin Gothic Book" w:hAnsi="Franklin Gothic Book"/>
          <w:sz w:val="17"/>
        </w:rPr>
        <w:t>dell'ESM.</w:t>
      </w:r>
      <w:r>
        <w:rPr>
          <w:rFonts w:ascii="Franklin Gothic Book" w:hAnsi="Franklin Gothic Book"/>
          <w:spacing w:val="-1"/>
          <w:sz w:val="17"/>
        </w:rPr>
        <w:t> </w:t>
      </w:r>
      <w:r>
        <w:rPr>
          <w:rFonts w:ascii="Franklin Gothic Book" w:hAnsi="Franklin Gothic Book"/>
          <w:sz w:val="17"/>
        </w:rPr>
        <w:t>A</w:t>
      </w:r>
      <w:r>
        <w:rPr>
          <w:rFonts w:ascii="Franklin Gothic Book" w:hAnsi="Franklin Gothic Book"/>
          <w:spacing w:val="-4"/>
          <w:sz w:val="17"/>
        </w:rPr>
        <w:t> </w:t>
      </w:r>
      <w:r>
        <w:rPr>
          <w:rFonts w:ascii="Franklin Gothic Book" w:hAnsi="Franklin Gothic Book"/>
          <w:sz w:val="17"/>
        </w:rPr>
        <w:t>tutto</w:t>
      </w:r>
      <w:r>
        <w:rPr>
          <w:rFonts w:ascii="Franklin Gothic Book" w:hAnsi="Franklin Gothic Book"/>
          <w:spacing w:val="-1"/>
          <w:sz w:val="17"/>
        </w:rPr>
        <w:t> </w:t>
      </w:r>
      <w:r>
        <w:rPr>
          <w:rFonts w:ascii="Franklin Gothic Book" w:hAnsi="Franklin Gothic Book"/>
          <w:sz w:val="17"/>
        </w:rPr>
        <w:t>il</w:t>
      </w:r>
      <w:r>
        <w:rPr>
          <w:rFonts w:ascii="Franklin Gothic Book" w:hAnsi="Franklin Gothic Book"/>
          <w:spacing w:val="-5"/>
          <w:sz w:val="17"/>
        </w:rPr>
        <w:t> </w:t>
      </w:r>
      <w:r>
        <w:rPr>
          <w:rFonts w:ascii="Franklin Gothic Book" w:hAnsi="Franklin Gothic Book"/>
          <w:sz w:val="17"/>
        </w:rPr>
        <w:t>2019</w:t>
      </w:r>
      <w:r>
        <w:rPr>
          <w:rFonts w:ascii="Franklin Gothic Book" w:hAnsi="Franklin Gothic Book"/>
          <w:spacing w:val="1"/>
          <w:sz w:val="17"/>
        </w:rPr>
        <w:t> </w:t>
      </w:r>
      <w:r>
        <w:rPr>
          <w:rFonts w:ascii="Franklin Gothic Book" w:hAnsi="Franklin Gothic Book"/>
          <w:sz w:val="17"/>
        </w:rPr>
        <w:t>l'ammontare</w:t>
      </w:r>
      <w:r>
        <w:rPr>
          <w:rFonts w:ascii="Franklin Gothic Book" w:hAnsi="Franklin Gothic Book"/>
          <w:spacing w:val="-2"/>
          <w:sz w:val="17"/>
        </w:rPr>
        <w:t> </w:t>
      </w:r>
      <w:r>
        <w:rPr>
          <w:rFonts w:ascii="Franklin Gothic Book" w:hAnsi="Franklin Gothic Book"/>
          <w:sz w:val="17"/>
        </w:rPr>
        <w:t>di</w:t>
      </w:r>
      <w:r>
        <w:rPr>
          <w:rFonts w:ascii="Franklin Gothic Book" w:hAnsi="Franklin Gothic Book"/>
          <w:spacing w:val="-4"/>
          <w:sz w:val="17"/>
        </w:rPr>
        <w:t> </w:t>
      </w:r>
      <w:r>
        <w:rPr>
          <w:rFonts w:ascii="Franklin Gothic Book" w:hAnsi="Franklin Gothic Book"/>
          <w:sz w:val="17"/>
        </w:rPr>
        <w:t>tali</w:t>
      </w:r>
      <w:r>
        <w:rPr>
          <w:rFonts w:ascii="Franklin Gothic Book" w:hAnsi="Franklin Gothic Book"/>
          <w:spacing w:val="-3"/>
          <w:sz w:val="17"/>
        </w:rPr>
        <w:t> </w:t>
      </w:r>
      <w:r>
        <w:rPr>
          <w:rFonts w:ascii="Franklin Gothic Book" w:hAnsi="Franklin Gothic Book"/>
          <w:sz w:val="17"/>
        </w:rPr>
        <w:t>quote</w:t>
      </w:r>
      <w:r>
        <w:rPr>
          <w:rFonts w:ascii="Franklin Gothic Book" w:hAnsi="Franklin Gothic Book"/>
          <w:spacing w:val="-4"/>
          <w:sz w:val="17"/>
        </w:rPr>
        <w:t> </w:t>
      </w:r>
      <w:r>
        <w:rPr>
          <w:rFonts w:ascii="Franklin Gothic Book" w:hAnsi="Franklin Gothic Book"/>
          <w:sz w:val="17"/>
        </w:rPr>
        <w:t>è</w:t>
      </w:r>
      <w:r>
        <w:rPr>
          <w:rFonts w:ascii="Franklin Gothic Book" w:hAnsi="Franklin Gothic Book"/>
          <w:spacing w:val="-3"/>
          <w:sz w:val="17"/>
        </w:rPr>
        <w:t> </w:t>
      </w:r>
      <w:r>
        <w:rPr>
          <w:rFonts w:ascii="Franklin Gothic Book" w:hAnsi="Franklin Gothic Book"/>
          <w:sz w:val="17"/>
        </w:rPr>
        <w:t>stato</w:t>
      </w:r>
      <w:r>
        <w:rPr>
          <w:rFonts w:ascii="Franklin Gothic Book" w:hAnsi="Franklin Gothic Book"/>
          <w:spacing w:val="-2"/>
          <w:sz w:val="17"/>
        </w:rPr>
        <w:t> </w:t>
      </w:r>
      <w:r>
        <w:rPr>
          <w:rFonts w:ascii="Franklin Gothic Book" w:hAnsi="Franklin Gothic Book"/>
          <w:sz w:val="17"/>
        </w:rPr>
        <w:t>pari</w:t>
      </w:r>
      <w:r>
        <w:rPr>
          <w:rFonts w:ascii="Franklin Gothic Book" w:hAnsi="Franklin Gothic Book"/>
          <w:spacing w:val="-3"/>
          <w:sz w:val="17"/>
        </w:rPr>
        <w:t> </w:t>
      </w:r>
      <w:r>
        <w:rPr>
          <w:rFonts w:ascii="Franklin Gothic Book" w:hAnsi="Franklin Gothic Book"/>
          <w:sz w:val="17"/>
        </w:rPr>
        <w:t>a</w:t>
      </w:r>
      <w:r>
        <w:rPr>
          <w:rFonts w:ascii="Franklin Gothic Book" w:hAnsi="Franklin Gothic Book"/>
          <w:spacing w:val="-2"/>
          <w:sz w:val="17"/>
        </w:rPr>
        <w:t> </w:t>
      </w:r>
      <w:r>
        <w:rPr>
          <w:rFonts w:ascii="Franklin Gothic Book" w:hAnsi="Franklin Gothic Book"/>
          <w:sz w:val="17"/>
        </w:rPr>
        <w:t>circa 58,2</w:t>
      </w:r>
      <w:r>
        <w:rPr>
          <w:rFonts w:ascii="Franklin Gothic Book" w:hAnsi="Franklin Gothic Book"/>
          <w:spacing w:val="-1"/>
          <w:sz w:val="17"/>
        </w:rPr>
        <w:t> </w:t>
      </w:r>
      <w:r>
        <w:rPr>
          <w:rFonts w:ascii="Franklin Gothic Book" w:hAnsi="Franklin Gothic Book"/>
          <w:sz w:val="17"/>
        </w:rPr>
        <w:t>miliardi, di</w:t>
      </w:r>
      <w:r>
        <w:rPr>
          <w:rFonts w:ascii="Franklin Gothic Book" w:hAnsi="Franklin Gothic Book"/>
          <w:spacing w:val="-3"/>
          <w:sz w:val="17"/>
        </w:rPr>
        <w:t> </w:t>
      </w:r>
      <w:r>
        <w:rPr>
          <w:rFonts w:ascii="Franklin Gothic Book" w:hAnsi="Franklin Gothic Book"/>
          <w:sz w:val="17"/>
        </w:rPr>
        <w:t>cui</w:t>
      </w:r>
      <w:r>
        <w:rPr>
          <w:rFonts w:ascii="Franklin Gothic Book" w:hAnsi="Franklin Gothic Book"/>
          <w:spacing w:val="-2"/>
          <w:sz w:val="17"/>
        </w:rPr>
        <w:t> </w:t>
      </w:r>
      <w:r>
        <w:rPr>
          <w:rFonts w:ascii="Franklin Gothic Book" w:hAnsi="Franklin Gothic Book"/>
          <w:sz w:val="17"/>
        </w:rPr>
        <w:t>43,9</w:t>
      </w:r>
      <w:r>
        <w:rPr>
          <w:rFonts w:ascii="Franklin Gothic Book" w:hAnsi="Franklin Gothic Book"/>
          <w:spacing w:val="-2"/>
          <w:sz w:val="17"/>
        </w:rPr>
        <w:t> </w:t>
      </w:r>
      <w:r>
        <w:rPr>
          <w:rFonts w:ascii="Franklin Gothic Book" w:hAnsi="Franklin Gothic Book"/>
          <w:sz w:val="17"/>
        </w:rPr>
        <w:t>miliardi</w:t>
      </w:r>
      <w:r>
        <w:rPr>
          <w:rFonts w:ascii="Franklin Gothic Book" w:hAnsi="Franklin Gothic Book"/>
          <w:spacing w:val="-3"/>
          <w:sz w:val="17"/>
        </w:rPr>
        <w:t> </w:t>
      </w:r>
      <w:r>
        <w:rPr>
          <w:rFonts w:ascii="Franklin Gothic Book" w:hAnsi="Franklin Gothic Book"/>
          <w:sz w:val="17"/>
        </w:rPr>
        <w:t>per</w:t>
      </w:r>
      <w:r>
        <w:rPr>
          <w:rFonts w:ascii="Franklin Gothic Book" w:hAnsi="Franklin Gothic Book"/>
          <w:spacing w:val="-2"/>
          <w:sz w:val="17"/>
        </w:rPr>
        <w:t> </w:t>
      </w:r>
      <w:r>
        <w:rPr>
          <w:rFonts w:ascii="Franklin Gothic Book" w:hAnsi="Franklin Gothic Book"/>
          <w:sz w:val="17"/>
        </w:rPr>
        <w:t>prestiti</w:t>
      </w:r>
      <w:r>
        <w:rPr>
          <w:rFonts w:ascii="Franklin Gothic Book" w:hAnsi="Franklin Gothic Book"/>
          <w:spacing w:val="-1"/>
          <w:sz w:val="17"/>
        </w:rPr>
        <w:t> </w:t>
      </w:r>
      <w:r>
        <w:rPr>
          <w:rFonts w:ascii="Franklin Gothic Book" w:hAnsi="Franklin Gothic Book"/>
          <w:sz w:val="17"/>
        </w:rPr>
        <w:t>bilaterali</w:t>
      </w:r>
      <w:r>
        <w:rPr>
          <w:rFonts w:ascii="Franklin Gothic Book" w:hAnsi="Franklin Gothic Book"/>
          <w:spacing w:val="-3"/>
          <w:sz w:val="17"/>
        </w:rPr>
        <w:t> </w:t>
      </w:r>
      <w:r>
        <w:rPr>
          <w:rFonts w:ascii="Franklin Gothic Book" w:hAnsi="Franklin Gothic Book"/>
          <w:sz w:val="17"/>
        </w:rPr>
        <w:t>e</w:t>
      </w:r>
      <w:r>
        <w:rPr>
          <w:rFonts w:ascii="Franklin Gothic Book" w:hAnsi="Franklin Gothic Book"/>
          <w:spacing w:val="-3"/>
          <w:sz w:val="17"/>
        </w:rPr>
        <w:t> </w:t>
      </w:r>
      <w:r>
        <w:rPr>
          <w:rFonts w:ascii="Franklin Gothic Book" w:hAnsi="Franklin Gothic Book"/>
          <w:sz w:val="17"/>
        </w:rPr>
        <w:t>attraverso</w:t>
      </w:r>
      <w:r>
        <w:rPr>
          <w:rFonts w:ascii="Franklin Gothic Book" w:hAnsi="Franklin Gothic Book"/>
          <w:spacing w:val="-1"/>
          <w:sz w:val="17"/>
        </w:rPr>
        <w:t> </w:t>
      </w:r>
      <w:r>
        <w:rPr>
          <w:rFonts w:ascii="Franklin Gothic Book" w:hAnsi="Franklin Gothic Book"/>
          <w:sz w:val="17"/>
        </w:rPr>
        <w:t>l'EFSF</w:t>
      </w:r>
      <w:r>
        <w:rPr>
          <w:rFonts w:ascii="Franklin Gothic Book" w:hAnsi="Franklin Gothic Book"/>
          <w:spacing w:val="-2"/>
          <w:sz w:val="17"/>
        </w:rPr>
        <w:t> </w:t>
      </w:r>
      <w:r>
        <w:rPr>
          <w:rFonts w:ascii="Franklin Gothic Book" w:hAnsi="Franklin Gothic Book"/>
          <w:sz w:val="17"/>
        </w:rPr>
        <w:t>e 14,3</w:t>
      </w:r>
      <w:r>
        <w:rPr>
          <w:rFonts w:ascii="Franklin Gothic Book" w:hAnsi="Franklin Gothic Book"/>
          <w:spacing w:val="-3"/>
          <w:sz w:val="17"/>
        </w:rPr>
        <w:t> </w:t>
      </w:r>
      <w:r>
        <w:rPr>
          <w:rFonts w:ascii="Franklin Gothic Book" w:hAnsi="Franklin Gothic Book"/>
          <w:sz w:val="17"/>
        </w:rPr>
        <w:t>miliardi</w:t>
      </w:r>
      <w:r>
        <w:rPr>
          <w:rFonts w:ascii="Franklin Gothic Book" w:hAnsi="Franklin Gothic Book"/>
          <w:spacing w:val="-2"/>
          <w:sz w:val="17"/>
        </w:rPr>
        <w:t> </w:t>
      </w:r>
      <w:r>
        <w:rPr>
          <w:rFonts w:ascii="Franklin Gothic Book" w:hAnsi="Franklin Gothic Book"/>
          <w:sz w:val="17"/>
        </w:rPr>
        <w:t>per</w:t>
      </w:r>
      <w:r>
        <w:rPr>
          <w:rFonts w:ascii="Franklin Gothic Book" w:hAnsi="Franklin Gothic Book"/>
          <w:spacing w:val="-2"/>
          <w:sz w:val="17"/>
        </w:rPr>
        <w:t> </w:t>
      </w:r>
      <w:r>
        <w:rPr>
          <w:rFonts w:ascii="Franklin Gothic Book" w:hAnsi="Franklin Gothic Book"/>
          <w:sz w:val="17"/>
        </w:rPr>
        <w:t>il</w:t>
      </w:r>
      <w:r>
        <w:rPr>
          <w:rFonts w:ascii="Franklin Gothic Book" w:hAnsi="Franklin Gothic Book"/>
          <w:spacing w:val="-3"/>
          <w:sz w:val="17"/>
        </w:rPr>
        <w:t> </w:t>
      </w:r>
      <w:r>
        <w:rPr>
          <w:rFonts w:ascii="Franklin Gothic Book" w:hAnsi="Franklin Gothic Book"/>
          <w:sz w:val="17"/>
        </w:rPr>
        <w:t>programma</w:t>
      </w:r>
      <w:r>
        <w:rPr>
          <w:rFonts w:ascii="Franklin Gothic Book" w:hAnsi="Franklin Gothic Book"/>
          <w:spacing w:val="-2"/>
          <w:sz w:val="17"/>
        </w:rPr>
        <w:t> </w:t>
      </w:r>
      <w:r>
        <w:rPr>
          <w:rFonts w:ascii="Franklin Gothic Book" w:hAnsi="Franklin Gothic Book"/>
          <w:sz w:val="17"/>
        </w:rPr>
        <w:t>ESM.</w:t>
      </w:r>
    </w:p>
    <w:p>
      <w:pPr>
        <w:pStyle w:val="BodyText"/>
        <w:rPr>
          <w:rFonts w:ascii="Franklin Gothic Book"/>
        </w:rPr>
      </w:pPr>
    </w:p>
    <w:p>
      <w:pPr>
        <w:pStyle w:val="Heading3"/>
        <w:spacing w:before="99"/>
      </w:pPr>
      <w:r>
        <w:rPr>
          <w:color w:val="585858"/>
        </w:rPr>
        <w:t>Risultati raggiunti in termini di saldo strutturale e di regola di spesa</w:t>
      </w:r>
    </w:p>
    <w:p>
      <w:pPr>
        <w:pStyle w:val="BodyText"/>
        <w:spacing w:line="252" w:lineRule="auto" w:before="152"/>
        <w:ind w:left="278" w:right="2259" w:firstLine="453"/>
        <w:jc w:val="both"/>
      </w:pPr>
      <w:r>
        <w:rPr/>
        <w:t>L’Italia è impegnata a rispettare le regole di finanza pubblica europee. In particolare</w:t>
      </w:r>
      <w:r>
        <w:rPr>
          <w:spacing w:val="-10"/>
        </w:rPr>
        <w:t> </w:t>
      </w:r>
      <w:r>
        <w:rPr/>
        <w:t>la</w:t>
      </w:r>
      <w:r>
        <w:rPr>
          <w:spacing w:val="-13"/>
        </w:rPr>
        <w:t> </w:t>
      </w:r>
      <w:r>
        <w:rPr/>
        <w:t>L.243/2012</w:t>
      </w:r>
      <w:r>
        <w:rPr>
          <w:vertAlign w:val="superscript"/>
        </w:rPr>
        <w:t>21</w:t>
      </w:r>
      <w:r>
        <w:rPr>
          <w:spacing w:val="-11"/>
          <w:vertAlign w:val="baseline"/>
        </w:rPr>
        <w:t> </w:t>
      </w:r>
      <w:r>
        <w:rPr>
          <w:vertAlign w:val="baseline"/>
        </w:rPr>
        <w:t>ha</w:t>
      </w:r>
      <w:r>
        <w:rPr>
          <w:spacing w:val="-12"/>
          <w:vertAlign w:val="baseline"/>
        </w:rPr>
        <w:t> </w:t>
      </w:r>
      <w:r>
        <w:rPr>
          <w:vertAlign w:val="baseline"/>
        </w:rPr>
        <w:t>recepito</w:t>
      </w:r>
      <w:r>
        <w:rPr>
          <w:spacing w:val="-11"/>
          <w:vertAlign w:val="baseline"/>
        </w:rPr>
        <w:t> </w:t>
      </w:r>
      <w:r>
        <w:rPr>
          <w:vertAlign w:val="baseline"/>
        </w:rPr>
        <w:t>il</w:t>
      </w:r>
      <w:r>
        <w:rPr>
          <w:spacing w:val="-13"/>
          <w:vertAlign w:val="baseline"/>
        </w:rPr>
        <w:t> </w:t>
      </w:r>
      <w:r>
        <w:rPr>
          <w:vertAlign w:val="baseline"/>
        </w:rPr>
        <w:t>Trattato</w:t>
      </w:r>
      <w:r>
        <w:rPr>
          <w:spacing w:val="-12"/>
          <w:vertAlign w:val="baseline"/>
        </w:rPr>
        <w:t> </w:t>
      </w:r>
      <w:r>
        <w:rPr>
          <w:vertAlign w:val="baseline"/>
        </w:rPr>
        <w:t>sulla</w:t>
      </w:r>
      <w:r>
        <w:rPr>
          <w:spacing w:val="-10"/>
          <w:vertAlign w:val="baseline"/>
        </w:rPr>
        <w:t> </w:t>
      </w:r>
      <w:r>
        <w:rPr>
          <w:vertAlign w:val="baseline"/>
        </w:rPr>
        <w:t>stabilità,</w:t>
      </w:r>
      <w:r>
        <w:rPr>
          <w:spacing w:val="-9"/>
          <w:vertAlign w:val="baseline"/>
        </w:rPr>
        <w:t> </w:t>
      </w:r>
      <w:r>
        <w:rPr>
          <w:vertAlign w:val="baseline"/>
        </w:rPr>
        <w:t>sul</w:t>
      </w:r>
      <w:r>
        <w:rPr>
          <w:spacing w:val="-11"/>
          <w:vertAlign w:val="baseline"/>
        </w:rPr>
        <w:t> </w:t>
      </w:r>
      <w:r>
        <w:rPr>
          <w:vertAlign w:val="baseline"/>
        </w:rPr>
        <w:t>coordinamento e sulla governance dell’Unione economica e monetaria, stabilendo che il saldo di bilancio</w:t>
      </w:r>
      <w:r>
        <w:rPr>
          <w:spacing w:val="-15"/>
          <w:vertAlign w:val="baseline"/>
        </w:rPr>
        <w:t> </w:t>
      </w:r>
      <w:r>
        <w:rPr>
          <w:vertAlign w:val="baseline"/>
        </w:rPr>
        <w:t>strutturale</w:t>
      </w:r>
      <w:r>
        <w:rPr>
          <w:spacing w:val="-14"/>
          <w:vertAlign w:val="baseline"/>
        </w:rPr>
        <w:t> </w:t>
      </w:r>
      <w:r>
        <w:rPr>
          <w:vertAlign w:val="baseline"/>
        </w:rPr>
        <w:t>delle</w:t>
      </w:r>
      <w:r>
        <w:rPr>
          <w:spacing w:val="-12"/>
          <w:vertAlign w:val="baseline"/>
        </w:rPr>
        <w:t> </w:t>
      </w:r>
      <w:r>
        <w:rPr>
          <w:vertAlign w:val="baseline"/>
        </w:rPr>
        <w:t>amministrazioni</w:t>
      </w:r>
      <w:r>
        <w:rPr>
          <w:spacing w:val="-14"/>
          <w:vertAlign w:val="baseline"/>
        </w:rPr>
        <w:t> </w:t>
      </w:r>
      <w:r>
        <w:rPr>
          <w:vertAlign w:val="baseline"/>
        </w:rPr>
        <w:t>pubbliche</w:t>
      </w:r>
      <w:r>
        <w:rPr>
          <w:spacing w:val="-14"/>
          <w:vertAlign w:val="baseline"/>
        </w:rPr>
        <w:t> </w:t>
      </w:r>
      <w:r>
        <w:rPr>
          <w:vertAlign w:val="baseline"/>
        </w:rPr>
        <w:t>debba</w:t>
      </w:r>
      <w:r>
        <w:rPr>
          <w:spacing w:val="-14"/>
          <w:vertAlign w:val="baseline"/>
        </w:rPr>
        <w:t> </w:t>
      </w:r>
      <w:r>
        <w:rPr>
          <w:vertAlign w:val="baseline"/>
        </w:rPr>
        <w:t>raggiungere</w:t>
      </w:r>
      <w:r>
        <w:rPr>
          <w:spacing w:val="-14"/>
          <w:vertAlign w:val="baseline"/>
        </w:rPr>
        <w:t> </w:t>
      </w:r>
      <w:r>
        <w:rPr>
          <w:vertAlign w:val="baseline"/>
        </w:rPr>
        <w:t>l’Obbiettivo di Medio Termine</w:t>
      </w:r>
      <w:r>
        <w:rPr>
          <w:spacing w:val="-3"/>
          <w:vertAlign w:val="baseline"/>
        </w:rPr>
        <w:t> </w:t>
      </w:r>
      <w:r>
        <w:rPr>
          <w:vertAlign w:val="baseline"/>
        </w:rPr>
        <w:t>(OMT).</w:t>
      </w:r>
    </w:p>
    <w:p>
      <w:pPr>
        <w:pStyle w:val="BodyText"/>
        <w:rPr>
          <w:sz w:val="20"/>
        </w:rPr>
      </w:pPr>
    </w:p>
    <w:p>
      <w:pPr>
        <w:pStyle w:val="BodyText"/>
        <w:rPr>
          <w:sz w:val="21"/>
        </w:rPr>
      </w:pPr>
      <w:r>
        <w:rPr/>
        <w:pict>
          <v:group style="position:absolute;margin-left:93.599998pt;margin-top:14.172315pt;width:21.4pt;height:2.15pt;mso-position-horizontal-relative:page;mso-position-vertical-relative:paragraph;z-index:-251503616;mso-wrap-distance-left:0;mso-wrap-distance-right:0" coordorigin="1872,283" coordsize="428,43">
            <v:line style="position:absolute" from="1872,304" to="2299,304" stroked="true" strokeweight="2.050pt" strokecolor="#aaaaaa">
              <v:stroke dashstyle="solid"/>
            </v:line>
            <v:rect style="position:absolute;left:1872;top:285;width:5;height:5" filled="true" fillcolor="#9f9f9f" stroked="false">
              <v:fill type="solid"/>
            </v:rect>
            <v:rect style="position:absolute;left:1872;top:285;width:5;height:5" filled="true" fillcolor="#9f9f9f" stroked="false">
              <v:fill type="solid"/>
            </v:rect>
            <v:line style="position:absolute" from="1877,288" to="2295,288" stroked="true" strokeweight=".23999pt" strokecolor="#9f9f9f">
              <v:stroke dashstyle="solid"/>
            </v:line>
            <v:rect style="position:absolute;left:2294;top:285;width:5;height:5" filled="true" fillcolor="#e2e2e2" stroked="false">
              <v:fill type="solid"/>
            </v:rect>
            <v:rect style="position:absolute;left:2294;top:285;width:5;height:5" filled="true" fillcolor="#9f9f9f" stroked="false">
              <v:fill type="solid"/>
            </v:rect>
            <v:rect style="position:absolute;left:1872;top:290;width:5;height:32" filled="true" fillcolor="#9f9f9f" stroked="false">
              <v:fill type="solid"/>
            </v:rect>
            <v:rect style="position:absolute;left:2294;top:290;width:5;height:32" filled="true" fillcolor="#e2e2e2" stroked="false">
              <v:fill type="solid"/>
            </v:rect>
            <v:rect style="position:absolute;left:1872;top:321;width:5;height:5" filled="true" fillcolor="#9f9f9f" stroked="false">
              <v:fill type="solid"/>
            </v:rect>
            <v:rect style="position:absolute;left:1872;top:321;width:5;height:5" filled="true" fillcolor="#e2e2e2" stroked="false">
              <v:fill type="solid"/>
            </v:rect>
            <v:line style="position:absolute" from="1877,324" to="2295,324" stroked="true" strokeweight=".23999pt" strokecolor="#e2e2e2">
              <v:stroke dashstyle="solid"/>
            </v:line>
            <v:rect style="position:absolute;left:2294;top:321;width:5;height:5" filled="true" fillcolor="#e2e2e2" stroked="false">
              <v:fill type="solid"/>
            </v:rect>
            <v:rect style="position:absolute;left:2294;top:321;width:5;height:5" filled="true" fillcolor="#e2e2e2" stroked="false">
              <v:fill type="solid"/>
            </v:rect>
            <w10:wrap type="topAndBottom"/>
          </v:group>
        </w:pict>
      </w:r>
    </w:p>
    <w:p>
      <w:pPr>
        <w:spacing w:before="18"/>
        <w:ind w:left="278" w:right="2262" w:firstLine="453"/>
        <w:jc w:val="both"/>
        <w:rPr>
          <w:sz w:val="16"/>
        </w:rPr>
      </w:pPr>
      <w:r>
        <w:rPr>
          <w:position w:val="6"/>
          <w:sz w:val="10"/>
        </w:rPr>
        <w:t>21 </w:t>
      </w:r>
      <w:r>
        <w:rPr>
          <w:sz w:val="16"/>
        </w:rPr>
        <w:t>L. 243/2012 "Disposizioni per l'attuazione del principio del pareggio di bilancio ai sensi dell'articolo 81, sesto comma, della Costituzione", pubblicata nella G.U.n.12 del 15 gennaio 2013. La disciplina fiscale europea prevede, che gli Stati Membri dell’Unione economica e monetaria conseguano nel medio termine un obbiettivo di saldo strutturale che possa garantire la sostenibilità delle finanze pubbliche anche durante le normali fluttuazioni cicliche dell’economia e tenendo conto delle passività implicite legate alle dinamiche demografiche.</w:t>
      </w:r>
    </w:p>
    <w:p>
      <w:pPr>
        <w:spacing w:after="0"/>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1128" w:right="1411" w:firstLine="453"/>
        <w:jc w:val="both"/>
      </w:pPr>
      <w:r>
        <w:rPr/>
        <w:t>Fino a tutto il 2019 il valore dell'OMT ha coinciso con il pareggio di bilancio; dunque,</w:t>
      </w:r>
      <w:r>
        <w:rPr>
          <w:spacing w:val="-3"/>
        </w:rPr>
        <w:t> </w:t>
      </w:r>
      <w:r>
        <w:rPr/>
        <w:t>il</w:t>
      </w:r>
      <w:r>
        <w:rPr>
          <w:spacing w:val="-4"/>
        </w:rPr>
        <w:t> </w:t>
      </w:r>
      <w:r>
        <w:rPr/>
        <w:t>saldo</w:t>
      </w:r>
      <w:r>
        <w:rPr>
          <w:spacing w:val="-6"/>
        </w:rPr>
        <w:t> </w:t>
      </w:r>
      <w:r>
        <w:rPr/>
        <w:t>di</w:t>
      </w:r>
      <w:r>
        <w:rPr>
          <w:spacing w:val="-4"/>
        </w:rPr>
        <w:t> </w:t>
      </w:r>
      <w:r>
        <w:rPr/>
        <w:t>bilancio</w:t>
      </w:r>
      <w:r>
        <w:rPr>
          <w:spacing w:val="-5"/>
        </w:rPr>
        <w:t> </w:t>
      </w:r>
      <w:r>
        <w:rPr/>
        <w:t>delle</w:t>
      </w:r>
      <w:r>
        <w:rPr>
          <w:spacing w:val="-6"/>
        </w:rPr>
        <w:t> </w:t>
      </w:r>
      <w:r>
        <w:rPr/>
        <w:t>amministrazioni</w:t>
      </w:r>
      <w:r>
        <w:rPr>
          <w:spacing w:val="-4"/>
        </w:rPr>
        <w:t> </w:t>
      </w:r>
      <w:r>
        <w:rPr/>
        <w:t>pubbliche,</w:t>
      </w:r>
      <w:r>
        <w:rPr>
          <w:spacing w:val="-5"/>
        </w:rPr>
        <w:t> </w:t>
      </w:r>
      <w:r>
        <w:rPr/>
        <w:t>una</w:t>
      </w:r>
      <w:r>
        <w:rPr>
          <w:spacing w:val="-4"/>
        </w:rPr>
        <w:t> </w:t>
      </w:r>
      <w:r>
        <w:rPr/>
        <w:t>volta</w:t>
      </w:r>
      <w:r>
        <w:rPr>
          <w:spacing w:val="-6"/>
        </w:rPr>
        <w:t> </w:t>
      </w:r>
      <w:r>
        <w:rPr/>
        <w:t>corretto</w:t>
      </w:r>
      <w:r>
        <w:rPr>
          <w:spacing w:val="-5"/>
        </w:rPr>
        <w:t> </w:t>
      </w:r>
      <w:r>
        <w:rPr/>
        <w:t>per le fluttuazioni cicliche, doveva convergere nel medio periodo verso un valore pari a</w:t>
      </w:r>
      <w:r>
        <w:rPr>
          <w:spacing w:val="-6"/>
        </w:rPr>
        <w:t> </w:t>
      </w:r>
      <w:r>
        <w:rPr/>
        <w:t>zero.</w:t>
      </w:r>
      <w:r>
        <w:rPr>
          <w:spacing w:val="-5"/>
        </w:rPr>
        <w:t> </w:t>
      </w:r>
      <w:r>
        <w:rPr/>
        <w:t>A</w:t>
      </w:r>
      <w:r>
        <w:rPr>
          <w:spacing w:val="-5"/>
        </w:rPr>
        <w:t> </w:t>
      </w:r>
      <w:r>
        <w:rPr/>
        <w:t>seguito</w:t>
      </w:r>
      <w:r>
        <w:rPr>
          <w:spacing w:val="-5"/>
        </w:rPr>
        <w:t> </w:t>
      </w:r>
      <w:r>
        <w:rPr/>
        <w:t>del</w:t>
      </w:r>
      <w:r>
        <w:rPr>
          <w:spacing w:val="-4"/>
        </w:rPr>
        <w:t> </w:t>
      </w:r>
      <w:r>
        <w:rPr/>
        <w:t>più</w:t>
      </w:r>
      <w:r>
        <w:rPr>
          <w:spacing w:val="-5"/>
        </w:rPr>
        <w:t> </w:t>
      </w:r>
      <w:r>
        <w:rPr/>
        <w:t>recente</w:t>
      </w:r>
      <w:r>
        <w:rPr>
          <w:spacing w:val="-4"/>
        </w:rPr>
        <w:t> </w:t>
      </w:r>
      <w:r>
        <w:rPr/>
        <w:t>aggiornamento,</w:t>
      </w:r>
      <w:r>
        <w:rPr>
          <w:spacing w:val="-3"/>
        </w:rPr>
        <w:t> </w:t>
      </w:r>
      <w:r>
        <w:rPr/>
        <w:t>l’OMT</w:t>
      </w:r>
      <w:r>
        <w:rPr>
          <w:spacing w:val="-5"/>
        </w:rPr>
        <w:t> </w:t>
      </w:r>
      <w:r>
        <w:rPr/>
        <w:t>nel</w:t>
      </w:r>
      <w:r>
        <w:rPr>
          <w:spacing w:val="-4"/>
        </w:rPr>
        <w:t> </w:t>
      </w:r>
      <w:r>
        <w:rPr/>
        <w:t>prossimo</w:t>
      </w:r>
      <w:r>
        <w:rPr>
          <w:spacing w:val="-5"/>
        </w:rPr>
        <w:t> </w:t>
      </w:r>
      <w:r>
        <w:rPr/>
        <w:t>triennio</w:t>
      </w:r>
      <w:r>
        <w:rPr>
          <w:spacing w:val="-6"/>
        </w:rPr>
        <w:t> </w:t>
      </w:r>
      <w:r>
        <w:rPr/>
        <w:t>2020- 2022 è stato portato ad un avanzo strutturale pari a 0,5 per cento del PIL. Come ribadito nel Capitolo I del presente documento, l'elevato livello di debito pubblico, il</w:t>
      </w:r>
      <w:r>
        <w:rPr>
          <w:spacing w:val="-15"/>
        </w:rPr>
        <w:t> </w:t>
      </w:r>
      <w:r>
        <w:rPr/>
        <w:t>peggioramento</w:t>
      </w:r>
      <w:r>
        <w:rPr>
          <w:spacing w:val="-14"/>
        </w:rPr>
        <w:t> </w:t>
      </w:r>
      <w:r>
        <w:rPr/>
        <w:t>delle</w:t>
      </w:r>
      <w:r>
        <w:rPr>
          <w:spacing w:val="-15"/>
        </w:rPr>
        <w:t> </w:t>
      </w:r>
      <w:r>
        <w:rPr/>
        <w:t>previsioni</w:t>
      </w:r>
      <w:r>
        <w:rPr>
          <w:spacing w:val="-15"/>
        </w:rPr>
        <w:t> </w:t>
      </w:r>
      <w:r>
        <w:rPr/>
        <w:t>di</w:t>
      </w:r>
      <w:r>
        <w:rPr>
          <w:spacing w:val="-15"/>
        </w:rPr>
        <w:t> </w:t>
      </w:r>
      <w:r>
        <w:rPr/>
        <w:t>crescita</w:t>
      </w:r>
      <w:r>
        <w:rPr>
          <w:spacing w:val="-15"/>
        </w:rPr>
        <w:t> </w:t>
      </w:r>
      <w:r>
        <w:rPr/>
        <w:t>economica</w:t>
      </w:r>
      <w:r>
        <w:rPr>
          <w:spacing w:val="-14"/>
        </w:rPr>
        <w:t> </w:t>
      </w:r>
      <w:r>
        <w:rPr/>
        <w:t>nel</w:t>
      </w:r>
      <w:r>
        <w:rPr>
          <w:spacing w:val="-15"/>
        </w:rPr>
        <w:t> </w:t>
      </w:r>
      <w:r>
        <w:rPr/>
        <w:t>lungo</w:t>
      </w:r>
      <w:r>
        <w:rPr>
          <w:spacing w:val="-14"/>
        </w:rPr>
        <w:t> </w:t>
      </w:r>
      <w:r>
        <w:rPr/>
        <w:t>periodo</w:t>
      </w:r>
      <w:r>
        <w:rPr>
          <w:spacing w:val="-18"/>
        </w:rPr>
        <w:t> </w:t>
      </w:r>
      <w:r>
        <w:rPr/>
        <w:t>e</w:t>
      </w:r>
      <w:r>
        <w:rPr>
          <w:spacing w:val="-14"/>
        </w:rPr>
        <w:t> </w:t>
      </w:r>
      <w:r>
        <w:rPr/>
        <w:t>di</w:t>
      </w:r>
      <w:r>
        <w:rPr>
          <w:spacing w:val="-16"/>
        </w:rPr>
        <w:t> </w:t>
      </w:r>
      <w:r>
        <w:rPr/>
        <w:t>quelle demografiche hanno determinato un tale esito</w:t>
      </w:r>
      <w:r>
        <w:rPr>
          <w:vertAlign w:val="superscript"/>
        </w:rPr>
        <w:t>22</w:t>
      </w:r>
      <w:r>
        <w:rPr>
          <w:vertAlign w:val="baseline"/>
        </w:rPr>
        <w:t>. Non avendo ancora raggiunto l'OMT, l'Italia è tenuta ad adottare una programmazione di bilancio tale da assicurare un avvicinamento verso tale obbiettivo per i prossimi anni; ciò implica migliorare in ciascun anno il saldo strutturale rispetto all’esercizio finanziario precedente.</w:t>
      </w:r>
    </w:p>
    <w:p>
      <w:pPr>
        <w:pStyle w:val="BodyText"/>
        <w:spacing w:line="252" w:lineRule="auto"/>
        <w:ind w:left="1128" w:right="1411" w:firstLine="520"/>
        <w:jc w:val="both"/>
      </w:pPr>
      <w:r>
        <w:rPr/>
        <w:t>Secondo i regolamenti europei, ed in particolare in ragione della cosiddetta matrice di convergenza, la velocità di avvicinamento all’OMT dipende dal livello iniziale</w:t>
      </w:r>
      <w:r>
        <w:rPr>
          <w:spacing w:val="-10"/>
        </w:rPr>
        <w:t> </w:t>
      </w:r>
      <w:r>
        <w:rPr/>
        <w:t>del</w:t>
      </w:r>
      <w:r>
        <w:rPr>
          <w:spacing w:val="-10"/>
        </w:rPr>
        <w:t> </w:t>
      </w:r>
      <w:r>
        <w:rPr/>
        <w:t>debito</w:t>
      </w:r>
      <w:r>
        <w:rPr>
          <w:spacing w:val="-9"/>
        </w:rPr>
        <w:t> </w:t>
      </w:r>
      <w:r>
        <w:rPr/>
        <w:t>pubblico</w:t>
      </w:r>
      <w:r>
        <w:rPr>
          <w:spacing w:val="-10"/>
        </w:rPr>
        <w:t> </w:t>
      </w:r>
      <w:r>
        <w:rPr/>
        <w:t>e</w:t>
      </w:r>
      <w:r>
        <w:rPr>
          <w:spacing w:val="-11"/>
        </w:rPr>
        <w:t> </w:t>
      </w:r>
      <w:r>
        <w:rPr/>
        <w:t>dalle</w:t>
      </w:r>
      <w:r>
        <w:rPr>
          <w:spacing w:val="-11"/>
        </w:rPr>
        <w:t> </w:t>
      </w:r>
      <w:r>
        <w:rPr/>
        <w:t>condizioni</w:t>
      </w:r>
      <w:r>
        <w:rPr>
          <w:spacing w:val="-13"/>
        </w:rPr>
        <w:t> </w:t>
      </w:r>
      <w:r>
        <w:rPr/>
        <w:t>cicliche</w:t>
      </w:r>
      <w:r>
        <w:rPr>
          <w:spacing w:val="-9"/>
        </w:rPr>
        <w:t> </w:t>
      </w:r>
      <w:r>
        <w:rPr/>
        <w:t>dell’economia,</w:t>
      </w:r>
      <w:r>
        <w:rPr>
          <w:spacing w:val="-9"/>
        </w:rPr>
        <w:t> </w:t>
      </w:r>
      <w:r>
        <w:rPr/>
        <w:t>valutate</w:t>
      </w:r>
      <w:r>
        <w:rPr>
          <w:spacing w:val="-9"/>
        </w:rPr>
        <w:t> </w:t>
      </w:r>
      <w:r>
        <w:rPr/>
        <w:t>sulla base</w:t>
      </w:r>
      <w:r>
        <w:rPr>
          <w:spacing w:val="-9"/>
        </w:rPr>
        <w:t> </w:t>
      </w:r>
      <w:r>
        <w:rPr/>
        <w:t>della</w:t>
      </w:r>
      <w:r>
        <w:rPr>
          <w:spacing w:val="-8"/>
        </w:rPr>
        <w:t> </w:t>
      </w:r>
      <w:r>
        <w:rPr/>
        <w:t>crescita</w:t>
      </w:r>
      <w:r>
        <w:rPr>
          <w:spacing w:val="-8"/>
        </w:rPr>
        <w:t> </w:t>
      </w:r>
      <w:r>
        <w:rPr/>
        <w:t>reale</w:t>
      </w:r>
      <w:r>
        <w:rPr>
          <w:spacing w:val="-8"/>
        </w:rPr>
        <w:t> </w:t>
      </w:r>
      <w:r>
        <w:rPr/>
        <w:t>e</w:t>
      </w:r>
      <w:r>
        <w:rPr>
          <w:spacing w:val="-8"/>
        </w:rPr>
        <w:t> </w:t>
      </w:r>
      <w:r>
        <w:rPr/>
        <w:t>della</w:t>
      </w:r>
      <w:r>
        <w:rPr>
          <w:spacing w:val="-8"/>
        </w:rPr>
        <w:t> </w:t>
      </w:r>
      <w:r>
        <w:rPr/>
        <w:t>distanza</w:t>
      </w:r>
      <w:r>
        <w:rPr>
          <w:spacing w:val="-6"/>
        </w:rPr>
        <w:t> </w:t>
      </w:r>
      <w:r>
        <w:rPr/>
        <w:t>tra</w:t>
      </w:r>
      <w:r>
        <w:rPr>
          <w:spacing w:val="-8"/>
        </w:rPr>
        <w:t> </w:t>
      </w:r>
      <w:r>
        <w:rPr/>
        <w:t>il</w:t>
      </w:r>
      <w:r>
        <w:rPr>
          <w:spacing w:val="-9"/>
        </w:rPr>
        <w:t> </w:t>
      </w:r>
      <w:r>
        <w:rPr/>
        <w:t>PIL</w:t>
      </w:r>
      <w:r>
        <w:rPr>
          <w:spacing w:val="-7"/>
        </w:rPr>
        <w:t> </w:t>
      </w:r>
      <w:r>
        <w:rPr/>
        <w:t>reale</w:t>
      </w:r>
      <w:r>
        <w:rPr>
          <w:spacing w:val="-8"/>
        </w:rPr>
        <w:t> </w:t>
      </w:r>
      <w:r>
        <w:rPr/>
        <w:t>e</w:t>
      </w:r>
      <w:r>
        <w:rPr>
          <w:spacing w:val="-8"/>
        </w:rPr>
        <w:t> </w:t>
      </w:r>
      <w:r>
        <w:rPr/>
        <w:t>quello</w:t>
      </w:r>
      <w:r>
        <w:rPr>
          <w:spacing w:val="-9"/>
        </w:rPr>
        <w:t> </w:t>
      </w:r>
      <w:r>
        <w:rPr/>
        <w:t>potenziale</w:t>
      </w:r>
      <w:r>
        <w:rPr>
          <w:spacing w:val="-7"/>
        </w:rPr>
        <w:t> </w:t>
      </w:r>
      <w:r>
        <w:rPr/>
        <w:t>(</w:t>
      </w:r>
      <w:r>
        <w:rPr>
          <w:i/>
        </w:rPr>
        <w:t>output </w:t>
      </w:r>
      <w:r>
        <w:rPr>
          <w:i/>
        </w:rPr>
        <w:t>gap</w:t>
      </w:r>
      <w:r>
        <w:rPr/>
        <w:t>)</w:t>
      </w:r>
      <w:r>
        <w:rPr>
          <w:rFonts w:ascii="Franklin Gothic Book" w:hAnsi="Franklin Gothic Book"/>
          <w:position w:val="5"/>
          <w:sz w:val="13"/>
        </w:rPr>
        <w:t>23</w:t>
      </w:r>
      <w:r>
        <w:rPr/>
        <w:t>. Gli aggiustamenti annuali modulati sulla base delle condizioni cicliche possono essere ridotti per l’applicazione delle clausole di flessibilità, seguendo le indicazioni comunicate dalla Commissione nel gennaio del 2015. Deviazioni temporanee dall’OMT o dal percorso di avvicinamento sono consentite nel caso di circostanze</w:t>
      </w:r>
      <w:r>
        <w:rPr>
          <w:spacing w:val="-10"/>
        </w:rPr>
        <w:t> </w:t>
      </w:r>
      <w:r>
        <w:rPr/>
        <w:t>eccezionali,</w:t>
      </w:r>
      <w:r>
        <w:rPr>
          <w:spacing w:val="-8"/>
        </w:rPr>
        <w:t> </w:t>
      </w:r>
      <w:r>
        <w:rPr/>
        <w:t>gravi</w:t>
      </w:r>
      <w:r>
        <w:rPr>
          <w:spacing w:val="-9"/>
        </w:rPr>
        <w:t> </w:t>
      </w:r>
      <w:r>
        <w:rPr/>
        <w:t>crisi</w:t>
      </w:r>
      <w:r>
        <w:rPr>
          <w:spacing w:val="-10"/>
        </w:rPr>
        <w:t> </w:t>
      </w:r>
      <w:r>
        <w:rPr/>
        <w:t>economiche</w:t>
      </w:r>
      <w:r>
        <w:rPr>
          <w:spacing w:val="-9"/>
        </w:rPr>
        <w:t> </w:t>
      </w:r>
      <w:r>
        <w:rPr/>
        <w:t>e</w:t>
      </w:r>
      <w:r>
        <w:rPr>
          <w:spacing w:val="-12"/>
        </w:rPr>
        <w:t> </w:t>
      </w:r>
      <w:r>
        <w:rPr/>
        <w:t>finanziarie</w:t>
      </w:r>
      <w:r>
        <w:rPr>
          <w:rFonts w:ascii="Franklin Gothic Book" w:hAnsi="Franklin Gothic Book"/>
          <w:position w:val="5"/>
          <w:sz w:val="13"/>
        </w:rPr>
        <w:t>24</w:t>
      </w:r>
      <w:r>
        <w:rPr/>
        <w:t>.</w:t>
      </w:r>
      <w:r>
        <w:rPr>
          <w:spacing w:val="-9"/>
        </w:rPr>
        <w:t> </w:t>
      </w:r>
      <w:r>
        <w:rPr/>
        <w:t>Inoltre,</w:t>
      </w:r>
      <w:r>
        <w:rPr>
          <w:spacing w:val="-8"/>
        </w:rPr>
        <w:t> </w:t>
      </w:r>
      <w:r>
        <w:rPr/>
        <w:t>a</w:t>
      </w:r>
      <w:r>
        <w:rPr>
          <w:spacing w:val="-9"/>
        </w:rPr>
        <w:t> </w:t>
      </w:r>
      <w:r>
        <w:rPr/>
        <w:t>partire</w:t>
      </w:r>
      <w:r>
        <w:rPr>
          <w:spacing w:val="-8"/>
        </w:rPr>
        <w:t> </w:t>
      </w:r>
      <w:r>
        <w:rPr/>
        <w:t>dal 2015 l’Italia ha beneficiato di margini di flessibilità riconosciuti dalla Commissione Europea per finanziare riforme strutturali, investimenti infrastrutturali e per far fronte ad eventi eccezionali che hanno comportato spese impreviste (quali disastri naturali ed il massiccio afflusso di</w:t>
      </w:r>
      <w:r>
        <w:rPr>
          <w:spacing w:val="-11"/>
        </w:rPr>
        <w:t> </w:t>
      </w:r>
      <w:r>
        <w:rPr/>
        <w:t>migranti)</w:t>
      </w:r>
      <w:r>
        <w:rPr>
          <w:vertAlign w:val="superscript"/>
        </w:rPr>
        <w:t>25</w:t>
      </w:r>
      <w:r>
        <w:rPr>
          <w:vertAlign w:val="baseline"/>
        </w:rPr>
        <w:t>.</w:t>
      </w:r>
    </w:p>
    <w:p>
      <w:pPr>
        <w:pStyle w:val="BodyText"/>
        <w:spacing w:before="1"/>
        <w:ind w:left="278" w:right="1413"/>
        <w:jc w:val="right"/>
      </w:pPr>
      <w:r>
        <w:rPr/>
        <w:t>Si</w:t>
      </w:r>
      <w:r>
        <w:rPr>
          <w:spacing w:val="21"/>
        </w:rPr>
        <w:t> </w:t>
      </w:r>
      <w:r>
        <w:rPr/>
        <w:t>ricorda,</w:t>
      </w:r>
      <w:r>
        <w:rPr>
          <w:spacing w:val="21"/>
        </w:rPr>
        <w:t> </w:t>
      </w:r>
      <w:r>
        <w:rPr/>
        <w:t>infine,</w:t>
      </w:r>
      <w:r>
        <w:rPr>
          <w:spacing w:val="20"/>
        </w:rPr>
        <w:t> </w:t>
      </w:r>
      <w:r>
        <w:rPr/>
        <w:t>che</w:t>
      </w:r>
      <w:r>
        <w:rPr>
          <w:spacing w:val="22"/>
        </w:rPr>
        <w:t> </w:t>
      </w:r>
      <w:r>
        <w:rPr/>
        <w:t>la</w:t>
      </w:r>
      <w:r>
        <w:rPr>
          <w:spacing w:val="21"/>
        </w:rPr>
        <w:t> </w:t>
      </w:r>
      <w:r>
        <w:rPr/>
        <w:t>valutazione</w:t>
      </w:r>
      <w:r>
        <w:rPr>
          <w:spacing w:val="22"/>
        </w:rPr>
        <w:t> </w:t>
      </w:r>
      <w:r>
        <w:rPr/>
        <w:t>relativa</w:t>
      </w:r>
      <w:r>
        <w:rPr>
          <w:spacing w:val="21"/>
        </w:rPr>
        <w:t> </w:t>
      </w:r>
      <w:r>
        <w:rPr/>
        <w:t>al</w:t>
      </w:r>
      <w:r>
        <w:rPr>
          <w:spacing w:val="23"/>
        </w:rPr>
        <w:t> </w:t>
      </w:r>
      <w:r>
        <w:rPr/>
        <w:t>percorso</w:t>
      </w:r>
      <w:r>
        <w:rPr>
          <w:spacing w:val="21"/>
        </w:rPr>
        <w:t> </w:t>
      </w:r>
      <w:r>
        <w:rPr/>
        <w:t>di</w:t>
      </w:r>
      <w:r>
        <w:rPr>
          <w:spacing w:val="20"/>
        </w:rPr>
        <w:t> </w:t>
      </w:r>
      <w:r>
        <w:rPr/>
        <w:t>convergenza</w:t>
      </w:r>
      <w:r>
        <w:rPr>
          <w:spacing w:val="21"/>
        </w:rPr>
        <w:t> </w:t>
      </w:r>
      <w:r>
        <w:rPr/>
        <w:t>del</w:t>
      </w:r>
    </w:p>
    <w:p>
      <w:pPr>
        <w:pStyle w:val="BodyText"/>
        <w:spacing w:before="13"/>
        <w:ind w:left="278" w:right="1414"/>
        <w:jc w:val="right"/>
      </w:pPr>
      <w:r>
        <w:rPr/>
        <w:t>saldo di bilancio strutturale verso l’OMT è effettuata sia sul singolo anno, sia</w:t>
      </w:r>
      <w:r>
        <w:rPr>
          <w:spacing w:val="57"/>
        </w:rPr>
        <w:t> </w:t>
      </w:r>
      <w:r>
        <w:rPr/>
        <w:t>sulla</w:t>
      </w:r>
    </w:p>
    <w:p>
      <w:pPr>
        <w:pStyle w:val="BodyText"/>
        <w:rPr>
          <w:sz w:val="20"/>
        </w:rPr>
      </w:pPr>
    </w:p>
    <w:p>
      <w:pPr>
        <w:pStyle w:val="BodyText"/>
        <w:rPr>
          <w:sz w:val="20"/>
        </w:rPr>
      </w:pPr>
    </w:p>
    <w:p>
      <w:pPr>
        <w:pStyle w:val="BodyText"/>
        <w:rPr>
          <w:sz w:val="17"/>
        </w:rPr>
      </w:pPr>
      <w:r>
        <w:rPr/>
        <w:pict>
          <v:group style="position:absolute;margin-left:136.100006pt;margin-top:11.868505pt;width:21.4pt;height:2.15pt;mso-position-horizontal-relative:page;mso-position-vertical-relative:paragraph;z-index:-251502592;mso-wrap-distance-left:0;mso-wrap-distance-right:0" coordorigin="2722,237" coordsize="428,43">
            <v:line style="position:absolute" from="2722,258" to="3149,258" stroked="true" strokeweight="2.050pt" strokecolor="#aaaaaa">
              <v:stroke dashstyle="solid"/>
            </v:line>
            <v:rect style="position:absolute;left:2722;top:238;width:5;height:5" filled="true" fillcolor="#9f9f9f" stroked="false">
              <v:fill type="solid"/>
            </v:rect>
            <v:rect style="position:absolute;left:2722;top:238;width:5;height:5" filled="true" fillcolor="#9f9f9f" stroked="false">
              <v:fill type="solid"/>
            </v:rect>
            <v:line style="position:absolute" from="2727,241" to="3144,241" stroked="true" strokeweight=".23999pt" strokecolor="#9f9f9f">
              <v:stroke dashstyle="solid"/>
            </v:line>
            <v:rect style="position:absolute;left:3144;top:238;width:5;height:5" filled="true" fillcolor="#e2e2e2" stroked="false">
              <v:fill type="solid"/>
            </v:rect>
            <v:rect style="position:absolute;left:3144;top:238;width:5;height:5" filled="true" fillcolor="#9f9f9f" stroked="false">
              <v:fill type="solid"/>
            </v:rect>
            <v:rect style="position:absolute;left:2722;top:243;width:5;height:32" filled="true" fillcolor="#9f9f9f" stroked="false">
              <v:fill type="solid"/>
            </v:rect>
            <v:rect style="position:absolute;left:3144;top:243;width:5;height:32" filled="true" fillcolor="#e2e2e2" stroked="false">
              <v:fill type="solid"/>
            </v:rect>
            <v:rect style="position:absolute;left:2722;top:274;width:5;height:5" filled="true" fillcolor="#9f9f9f" stroked="false">
              <v:fill type="solid"/>
            </v:rect>
            <v:rect style="position:absolute;left:2722;top:274;width:5;height:5" filled="true" fillcolor="#e2e2e2" stroked="false">
              <v:fill type="solid"/>
            </v:rect>
            <v:line style="position:absolute" from="2727,277" to="3144,277" stroked="true" strokeweight=".24002pt" strokecolor="#e2e2e2">
              <v:stroke dashstyle="solid"/>
            </v:line>
            <v:rect style="position:absolute;left:3144;top:274;width:5;height:5" filled="true" fillcolor="#e2e2e2" stroked="false">
              <v:fill type="solid"/>
            </v:rect>
            <v:rect style="position:absolute;left:3144;top:274;width:5;height:5" filled="true" fillcolor="#e2e2e2" stroked="false">
              <v:fill type="solid"/>
            </v:rect>
            <w10:wrap type="topAndBottom"/>
          </v:group>
        </w:pict>
      </w:r>
    </w:p>
    <w:p>
      <w:pPr>
        <w:spacing w:before="20"/>
        <w:ind w:left="1128" w:right="1414" w:firstLine="453"/>
        <w:jc w:val="both"/>
        <w:rPr>
          <w:sz w:val="16"/>
        </w:rPr>
      </w:pPr>
      <w:r>
        <w:rPr>
          <w:position w:val="6"/>
          <w:sz w:val="10"/>
        </w:rPr>
        <w:t>22 </w:t>
      </w:r>
      <w:r>
        <w:rPr>
          <w:sz w:val="16"/>
        </w:rPr>
        <w:t>L’OMT è definito ogni tre anni sulla base delle caratteristiche di bilancio, crescita potenziale e rischio finanziario relativo alla sostenibilità delle finanze pubbliche di ciascun paese. Secondo i calcoli della metodologia ufficiale l’OMT per il periodo 2017-2019 corrispondeva a un disavanzo strutturale dello 0,5 per cento del PIL. il valore risultante dalla formula di calcolo corrisponde, in ogni caso, ad una soglia minima; pertanto, l’Italia scegliendo il pareggio di bilancio in termini strutturali, aveva operato una scelta più ambiziosa. Per maggiori dettagli, si veda la pubblicazione annuale della Commissione Europea, Vademecum on the Stability and Growth Pact, 2019 Edition: https://ec.europa.eu/info/sites/info/files/economy-finance/ip101_en.pdf</w:t>
      </w:r>
    </w:p>
    <w:p>
      <w:pPr>
        <w:spacing w:line="240" w:lineRule="auto" w:before="0"/>
        <w:ind w:left="1128" w:right="1413" w:firstLine="453"/>
        <w:jc w:val="both"/>
        <w:rPr>
          <w:sz w:val="16"/>
        </w:rPr>
      </w:pPr>
      <w:r>
        <w:rPr>
          <w:position w:val="6"/>
          <w:sz w:val="10"/>
        </w:rPr>
        <w:t>23 </w:t>
      </w:r>
      <w:r>
        <w:rPr>
          <w:sz w:val="16"/>
        </w:rPr>
        <w:t>Si veda la matrice che specifica l’aggiustamento annuale verso l’OMT in base alla situazione del ciclo economico</w:t>
      </w:r>
      <w:r>
        <w:rPr>
          <w:spacing w:val="-13"/>
          <w:sz w:val="16"/>
        </w:rPr>
        <w:t> </w:t>
      </w:r>
      <w:r>
        <w:rPr>
          <w:sz w:val="16"/>
        </w:rPr>
        <w:t>presentata</w:t>
      </w:r>
      <w:r>
        <w:rPr>
          <w:spacing w:val="-14"/>
          <w:sz w:val="16"/>
        </w:rPr>
        <w:t> </w:t>
      </w:r>
      <w:r>
        <w:rPr>
          <w:sz w:val="16"/>
        </w:rPr>
        <w:t>nella</w:t>
      </w:r>
      <w:r>
        <w:rPr>
          <w:spacing w:val="-14"/>
          <w:sz w:val="16"/>
        </w:rPr>
        <w:t> </w:t>
      </w:r>
      <w:r>
        <w:rPr>
          <w:sz w:val="16"/>
        </w:rPr>
        <w:t>Comunicazione</w:t>
      </w:r>
      <w:r>
        <w:rPr>
          <w:spacing w:val="-11"/>
          <w:sz w:val="16"/>
        </w:rPr>
        <w:t> </w:t>
      </w:r>
      <w:r>
        <w:rPr>
          <w:sz w:val="16"/>
        </w:rPr>
        <w:t>della</w:t>
      </w:r>
      <w:r>
        <w:rPr>
          <w:spacing w:val="-14"/>
          <w:sz w:val="16"/>
        </w:rPr>
        <w:t> </w:t>
      </w:r>
      <w:r>
        <w:rPr>
          <w:sz w:val="16"/>
        </w:rPr>
        <w:t>Commissione</w:t>
      </w:r>
      <w:r>
        <w:rPr>
          <w:spacing w:val="-12"/>
          <w:sz w:val="16"/>
        </w:rPr>
        <w:t> </w:t>
      </w:r>
      <w:r>
        <w:rPr>
          <w:sz w:val="16"/>
        </w:rPr>
        <w:t>‘Making</w:t>
      </w:r>
      <w:r>
        <w:rPr>
          <w:spacing w:val="-13"/>
          <w:sz w:val="16"/>
        </w:rPr>
        <w:t> </w:t>
      </w:r>
      <w:r>
        <w:rPr>
          <w:sz w:val="16"/>
        </w:rPr>
        <w:t>the</w:t>
      </w:r>
      <w:r>
        <w:rPr>
          <w:spacing w:val="-12"/>
          <w:sz w:val="16"/>
        </w:rPr>
        <w:t> </w:t>
      </w:r>
      <w:r>
        <w:rPr>
          <w:sz w:val="16"/>
        </w:rPr>
        <w:t>best</w:t>
      </w:r>
      <w:r>
        <w:rPr>
          <w:spacing w:val="-11"/>
          <w:sz w:val="16"/>
        </w:rPr>
        <w:t> </w:t>
      </w:r>
      <w:r>
        <w:rPr>
          <w:sz w:val="16"/>
        </w:rPr>
        <w:t>use</w:t>
      </w:r>
      <w:r>
        <w:rPr>
          <w:spacing w:val="-12"/>
          <w:sz w:val="16"/>
        </w:rPr>
        <w:t> </w:t>
      </w:r>
      <w:r>
        <w:rPr>
          <w:sz w:val="16"/>
        </w:rPr>
        <w:t>of</w:t>
      </w:r>
      <w:r>
        <w:rPr>
          <w:spacing w:val="-13"/>
          <w:sz w:val="16"/>
        </w:rPr>
        <w:t> </w:t>
      </w:r>
      <w:r>
        <w:rPr>
          <w:sz w:val="16"/>
        </w:rPr>
        <w:t>flexibility</w:t>
      </w:r>
      <w:r>
        <w:rPr>
          <w:spacing w:val="-13"/>
          <w:sz w:val="16"/>
        </w:rPr>
        <w:t> </w:t>
      </w:r>
      <w:r>
        <w:rPr>
          <w:sz w:val="16"/>
        </w:rPr>
        <w:t>within</w:t>
      </w:r>
      <w:r>
        <w:rPr>
          <w:spacing w:val="-12"/>
          <w:sz w:val="16"/>
        </w:rPr>
        <w:t> </w:t>
      </w:r>
      <w:r>
        <w:rPr>
          <w:sz w:val="16"/>
        </w:rPr>
        <w:t>the</w:t>
      </w:r>
      <w:r>
        <w:rPr>
          <w:spacing w:val="-12"/>
          <w:sz w:val="16"/>
        </w:rPr>
        <w:t> </w:t>
      </w:r>
      <w:r>
        <w:rPr>
          <w:sz w:val="16"/>
        </w:rPr>
        <w:t>existing rules</w:t>
      </w:r>
      <w:r>
        <w:rPr>
          <w:spacing w:val="-4"/>
          <w:sz w:val="16"/>
        </w:rPr>
        <w:t> </w:t>
      </w:r>
      <w:r>
        <w:rPr>
          <w:sz w:val="16"/>
        </w:rPr>
        <w:t>of</w:t>
      </w:r>
      <w:r>
        <w:rPr>
          <w:spacing w:val="-5"/>
          <w:sz w:val="16"/>
        </w:rPr>
        <w:t> </w:t>
      </w:r>
      <w:r>
        <w:rPr>
          <w:sz w:val="16"/>
        </w:rPr>
        <w:t>the</w:t>
      </w:r>
      <w:r>
        <w:rPr>
          <w:spacing w:val="-4"/>
          <w:sz w:val="16"/>
        </w:rPr>
        <w:t> </w:t>
      </w:r>
      <w:r>
        <w:rPr>
          <w:sz w:val="16"/>
        </w:rPr>
        <w:t>Stability</w:t>
      </w:r>
      <w:r>
        <w:rPr>
          <w:spacing w:val="-3"/>
          <w:sz w:val="16"/>
        </w:rPr>
        <w:t> </w:t>
      </w:r>
      <w:r>
        <w:rPr>
          <w:sz w:val="16"/>
        </w:rPr>
        <w:t>and</w:t>
      </w:r>
      <w:r>
        <w:rPr>
          <w:spacing w:val="-3"/>
          <w:sz w:val="16"/>
        </w:rPr>
        <w:t> </w:t>
      </w:r>
      <w:r>
        <w:rPr>
          <w:sz w:val="16"/>
        </w:rPr>
        <w:t>Growth</w:t>
      </w:r>
      <w:r>
        <w:rPr>
          <w:spacing w:val="-5"/>
          <w:sz w:val="16"/>
        </w:rPr>
        <w:t> </w:t>
      </w:r>
      <w:r>
        <w:rPr>
          <w:sz w:val="16"/>
        </w:rPr>
        <w:t>Pact’</w:t>
      </w:r>
      <w:r>
        <w:rPr>
          <w:spacing w:val="-2"/>
          <w:sz w:val="16"/>
        </w:rPr>
        <w:t> </w:t>
      </w:r>
      <w:r>
        <w:rPr>
          <w:sz w:val="16"/>
        </w:rPr>
        <w:t>del</w:t>
      </w:r>
      <w:r>
        <w:rPr>
          <w:spacing w:val="-3"/>
          <w:sz w:val="16"/>
        </w:rPr>
        <w:t> </w:t>
      </w:r>
      <w:r>
        <w:rPr>
          <w:sz w:val="16"/>
        </w:rPr>
        <w:t>13</w:t>
      </w:r>
      <w:r>
        <w:rPr>
          <w:spacing w:val="-5"/>
          <w:sz w:val="16"/>
        </w:rPr>
        <w:t> </w:t>
      </w:r>
      <w:r>
        <w:rPr>
          <w:sz w:val="16"/>
        </w:rPr>
        <w:t>gennaio</w:t>
      </w:r>
      <w:r>
        <w:rPr>
          <w:spacing w:val="-3"/>
          <w:sz w:val="16"/>
        </w:rPr>
        <w:t> </w:t>
      </w:r>
      <w:r>
        <w:rPr>
          <w:sz w:val="16"/>
        </w:rPr>
        <w:t>2015.</w:t>
      </w:r>
      <w:r>
        <w:rPr>
          <w:spacing w:val="-3"/>
          <w:sz w:val="16"/>
        </w:rPr>
        <w:t> </w:t>
      </w:r>
      <w:r>
        <w:rPr>
          <w:sz w:val="16"/>
        </w:rPr>
        <w:t>Più</w:t>
      </w:r>
      <w:r>
        <w:rPr>
          <w:spacing w:val="-4"/>
          <w:sz w:val="16"/>
        </w:rPr>
        <w:t> </w:t>
      </w:r>
      <w:r>
        <w:rPr>
          <w:sz w:val="16"/>
        </w:rPr>
        <w:t>precisamente,</w:t>
      </w:r>
      <w:r>
        <w:rPr>
          <w:spacing w:val="-5"/>
          <w:sz w:val="16"/>
        </w:rPr>
        <w:t> </w:t>
      </w:r>
      <w:r>
        <w:rPr>
          <w:sz w:val="16"/>
        </w:rPr>
        <w:t>la</w:t>
      </w:r>
      <w:r>
        <w:rPr>
          <w:spacing w:val="-6"/>
          <w:sz w:val="16"/>
        </w:rPr>
        <w:t> </w:t>
      </w:r>
      <w:r>
        <w:rPr>
          <w:sz w:val="16"/>
        </w:rPr>
        <w:t>matrice</w:t>
      </w:r>
      <w:r>
        <w:rPr>
          <w:spacing w:val="-4"/>
          <w:sz w:val="16"/>
        </w:rPr>
        <w:t> </w:t>
      </w:r>
      <w:r>
        <w:rPr>
          <w:sz w:val="16"/>
        </w:rPr>
        <w:t>tiene</w:t>
      </w:r>
      <w:r>
        <w:rPr>
          <w:spacing w:val="-5"/>
          <w:sz w:val="16"/>
        </w:rPr>
        <w:t> </w:t>
      </w:r>
      <w:r>
        <w:rPr>
          <w:sz w:val="16"/>
        </w:rPr>
        <w:t>conto</w:t>
      </w:r>
      <w:r>
        <w:rPr>
          <w:spacing w:val="-2"/>
          <w:sz w:val="16"/>
        </w:rPr>
        <w:t> </w:t>
      </w:r>
      <w:r>
        <w:rPr>
          <w:sz w:val="16"/>
        </w:rPr>
        <w:t>dei</w:t>
      </w:r>
      <w:r>
        <w:rPr>
          <w:spacing w:val="-4"/>
          <w:sz w:val="16"/>
        </w:rPr>
        <w:t> </w:t>
      </w:r>
      <w:r>
        <w:rPr>
          <w:sz w:val="16"/>
        </w:rPr>
        <w:t>seguenti parametri: i) le condizioni cicliche dell’economia come sintetizzate dall’output gap e dalla crescita reale; ii) il livello</w:t>
      </w:r>
      <w:r>
        <w:rPr>
          <w:spacing w:val="-13"/>
          <w:sz w:val="16"/>
        </w:rPr>
        <w:t> </w:t>
      </w:r>
      <w:r>
        <w:rPr>
          <w:sz w:val="16"/>
        </w:rPr>
        <w:t>del</w:t>
      </w:r>
      <w:r>
        <w:rPr>
          <w:spacing w:val="-13"/>
          <w:sz w:val="16"/>
        </w:rPr>
        <w:t> </w:t>
      </w:r>
      <w:r>
        <w:rPr>
          <w:sz w:val="16"/>
        </w:rPr>
        <w:t>rapporto</w:t>
      </w:r>
      <w:r>
        <w:rPr>
          <w:spacing w:val="-11"/>
          <w:sz w:val="16"/>
        </w:rPr>
        <w:t> </w:t>
      </w:r>
      <w:r>
        <w:rPr>
          <w:sz w:val="16"/>
        </w:rPr>
        <w:t>debito/PIL;</w:t>
      </w:r>
      <w:r>
        <w:rPr>
          <w:spacing w:val="-12"/>
          <w:sz w:val="16"/>
        </w:rPr>
        <w:t> </w:t>
      </w:r>
      <w:r>
        <w:rPr>
          <w:sz w:val="16"/>
        </w:rPr>
        <w:t>e</w:t>
      </w:r>
      <w:r>
        <w:rPr>
          <w:spacing w:val="-12"/>
          <w:sz w:val="16"/>
        </w:rPr>
        <w:t> </w:t>
      </w:r>
      <w:r>
        <w:rPr>
          <w:sz w:val="16"/>
        </w:rPr>
        <w:t>iii)</w:t>
      </w:r>
      <w:r>
        <w:rPr>
          <w:spacing w:val="-11"/>
          <w:sz w:val="16"/>
        </w:rPr>
        <w:t> </w:t>
      </w:r>
      <w:r>
        <w:rPr>
          <w:sz w:val="16"/>
        </w:rPr>
        <w:t>l’esistenza</w:t>
      </w:r>
      <w:r>
        <w:rPr>
          <w:spacing w:val="-11"/>
          <w:sz w:val="16"/>
        </w:rPr>
        <w:t> </w:t>
      </w:r>
      <w:r>
        <w:rPr>
          <w:sz w:val="16"/>
        </w:rPr>
        <w:t>di</w:t>
      </w:r>
      <w:r>
        <w:rPr>
          <w:spacing w:val="-11"/>
          <w:sz w:val="16"/>
        </w:rPr>
        <w:t> </w:t>
      </w:r>
      <w:r>
        <w:rPr>
          <w:sz w:val="16"/>
        </w:rPr>
        <w:t>rischi</w:t>
      </w:r>
      <w:r>
        <w:rPr>
          <w:spacing w:val="-11"/>
          <w:sz w:val="16"/>
        </w:rPr>
        <w:t> </w:t>
      </w:r>
      <w:r>
        <w:rPr>
          <w:sz w:val="16"/>
        </w:rPr>
        <w:t>di</w:t>
      </w:r>
      <w:r>
        <w:rPr>
          <w:spacing w:val="-13"/>
          <w:sz w:val="16"/>
        </w:rPr>
        <w:t> </w:t>
      </w:r>
      <w:r>
        <w:rPr>
          <w:sz w:val="16"/>
        </w:rPr>
        <w:t>medio</w:t>
      </w:r>
      <w:r>
        <w:rPr>
          <w:spacing w:val="-11"/>
          <w:sz w:val="16"/>
        </w:rPr>
        <w:t> </w:t>
      </w:r>
      <w:r>
        <w:rPr>
          <w:sz w:val="16"/>
        </w:rPr>
        <w:t>periodo</w:t>
      </w:r>
      <w:r>
        <w:rPr>
          <w:spacing w:val="-11"/>
          <w:sz w:val="16"/>
        </w:rPr>
        <w:t> </w:t>
      </w:r>
      <w:r>
        <w:rPr>
          <w:sz w:val="16"/>
        </w:rPr>
        <w:t>sulla</w:t>
      </w:r>
      <w:r>
        <w:rPr>
          <w:spacing w:val="-11"/>
          <w:sz w:val="16"/>
        </w:rPr>
        <w:t> </w:t>
      </w:r>
      <w:r>
        <w:rPr>
          <w:sz w:val="16"/>
        </w:rPr>
        <w:t>sostenibilità</w:t>
      </w:r>
      <w:r>
        <w:rPr>
          <w:spacing w:val="-11"/>
          <w:sz w:val="16"/>
        </w:rPr>
        <w:t> </w:t>
      </w:r>
      <w:r>
        <w:rPr>
          <w:sz w:val="16"/>
        </w:rPr>
        <w:t>delle</w:t>
      </w:r>
      <w:r>
        <w:rPr>
          <w:spacing w:val="-12"/>
          <w:sz w:val="16"/>
        </w:rPr>
        <w:t> </w:t>
      </w:r>
      <w:r>
        <w:rPr>
          <w:sz w:val="16"/>
        </w:rPr>
        <w:t>finanze</w:t>
      </w:r>
      <w:r>
        <w:rPr>
          <w:spacing w:val="-9"/>
          <w:sz w:val="16"/>
        </w:rPr>
        <w:t> </w:t>
      </w:r>
      <w:r>
        <w:rPr>
          <w:sz w:val="16"/>
        </w:rPr>
        <w:t>pubbliche valutati sulla base dell’indicatore</w:t>
      </w:r>
      <w:r>
        <w:rPr>
          <w:spacing w:val="-4"/>
          <w:sz w:val="16"/>
        </w:rPr>
        <w:t> </w:t>
      </w:r>
      <w:r>
        <w:rPr>
          <w:sz w:val="16"/>
        </w:rPr>
        <w:t>S1.</w:t>
      </w:r>
    </w:p>
    <w:p>
      <w:pPr>
        <w:spacing w:line="240" w:lineRule="auto" w:before="0"/>
        <w:ind w:left="1128" w:right="1414" w:firstLine="453"/>
        <w:jc w:val="both"/>
        <w:rPr>
          <w:sz w:val="16"/>
        </w:rPr>
      </w:pPr>
      <w:r>
        <w:rPr>
          <w:sz w:val="16"/>
        </w:rPr>
        <w:t>Ad esempio, in condizioni cicliche ‘normali’ rappresentate da un output gap compreso tra -1,5 per cento e 1,5 per cento del PIL potenziale, un Paese che presenta un rapporto debito/PIL superiore al 60 per cento e, sulla base di S1, rischi di sostenibilità medi, deve convergere al proprio OMT attraverso una riduzione del saldo strutturale superiore a 0,5 punti percentuali di PIL. Condizioni cicliche sfavorevoli, quali quelle fronteggiate negli ultimi anni, danno dei requisiti meno stringenti.</w:t>
      </w:r>
    </w:p>
    <w:p>
      <w:pPr>
        <w:spacing w:line="240" w:lineRule="auto" w:before="0"/>
        <w:ind w:left="1128" w:right="1412" w:firstLine="453"/>
        <w:jc w:val="both"/>
        <w:rPr>
          <w:sz w:val="16"/>
        </w:rPr>
      </w:pPr>
      <w:r>
        <w:rPr>
          <w:position w:val="6"/>
          <w:sz w:val="10"/>
        </w:rPr>
        <w:t>24 </w:t>
      </w:r>
      <w:r>
        <w:rPr>
          <w:sz w:val="16"/>
        </w:rPr>
        <w:t>Per maggiori dettagli, si veda la pubblicazione annuale della Commissione Europea, Vademecum on the Stability and Growth Pact, 2019 Edition: https://ec.europa.eu/info/sites/info/files/economy- finance/ip101_en.pd.</w:t>
      </w:r>
    </w:p>
    <w:p>
      <w:pPr>
        <w:spacing w:line="240" w:lineRule="auto" w:before="0"/>
        <w:ind w:left="1128" w:right="1413" w:firstLine="453"/>
        <w:jc w:val="both"/>
        <w:rPr>
          <w:sz w:val="16"/>
        </w:rPr>
      </w:pPr>
      <w:r>
        <w:rPr>
          <w:position w:val="6"/>
          <w:sz w:val="10"/>
        </w:rPr>
        <w:t>25 </w:t>
      </w:r>
      <w:r>
        <w:rPr>
          <w:sz w:val="16"/>
        </w:rPr>
        <w:t>Con riferimento agli investimenti infrastrutturali, si tratta prevalentemente di progetti che afferiscono all’ambito della politica strutturale e di coesione, delle reti trans-europee e dei progetti co-finanziati dal Fondo Europeo per gli investimenti strategici (c.d. Piano Junker). Per una quantificazione dettagliata della flessibilità accordata si rimanda alla Tavola III.4 del DEF 2019.</w:t>
      </w:r>
    </w:p>
    <w:p>
      <w:pPr>
        <w:spacing w:after="0" w:line="240" w:lineRule="auto"/>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rPr>
          <w:sz w:val="24"/>
        </w:rPr>
      </w:pPr>
    </w:p>
    <w:p>
      <w:pPr>
        <w:pStyle w:val="BodyText"/>
        <w:spacing w:line="252" w:lineRule="auto" w:before="116"/>
        <w:ind w:left="278" w:right="2258"/>
        <w:jc w:val="both"/>
      </w:pPr>
      <w:r>
        <w:rPr/>
        <w:t>media</w:t>
      </w:r>
      <w:r>
        <w:rPr>
          <w:spacing w:val="-10"/>
        </w:rPr>
        <w:t> </w:t>
      </w:r>
      <w:r>
        <w:rPr/>
        <w:t>biennale</w:t>
      </w:r>
      <w:r>
        <w:rPr>
          <w:vertAlign w:val="superscript"/>
        </w:rPr>
        <w:t>26</w:t>
      </w:r>
      <w:r>
        <w:rPr>
          <w:vertAlign w:val="baseline"/>
        </w:rPr>
        <w:t>.</w:t>
      </w:r>
      <w:r>
        <w:rPr>
          <w:spacing w:val="-8"/>
          <w:vertAlign w:val="baseline"/>
        </w:rPr>
        <w:t> </w:t>
      </w:r>
      <w:r>
        <w:rPr>
          <w:vertAlign w:val="baseline"/>
        </w:rPr>
        <w:t>Il</w:t>
      </w:r>
      <w:r>
        <w:rPr>
          <w:spacing w:val="-9"/>
          <w:vertAlign w:val="baseline"/>
        </w:rPr>
        <w:t> </w:t>
      </w:r>
      <w:r>
        <w:rPr>
          <w:vertAlign w:val="baseline"/>
        </w:rPr>
        <w:t>Regolamento</w:t>
      </w:r>
      <w:r>
        <w:rPr>
          <w:spacing w:val="-9"/>
          <w:vertAlign w:val="baseline"/>
        </w:rPr>
        <w:t> </w:t>
      </w:r>
      <w:r>
        <w:rPr>
          <w:vertAlign w:val="baseline"/>
        </w:rPr>
        <w:t>Europeo</w:t>
      </w:r>
      <w:r>
        <w:rPr>
          <w:spacing w:val="-10"/>
          <w:vertAlign w:val="baseline"/>
        </w:rPr>
        <w:t> </w:t>
      </w:r>
      <w:r>
        <w:rPr>
          <w:vertAlign w:val="baseline"/>
        </w:rPr>
        <w:t>n.1466/97</w:t>
      </w:r>
      <w:r>
        <w:rPr>
          <w:spacing w:val="-10"/>
          <w:vertAlign w:val="baseline"/>
        </w:rPr>
        <w:t> </w:t>
      </w:r>
      <w:r>
        <w:rPr>
          <w:vertAlign w:val="baseline"/>
        </w:rPr>
        <w:t>prevede</w:t>
      </w:r>
      <w:r>
        <w:rPr>
          <w:spacing w:val="-9"/>
          <w:vertAlign w:val="baseline"/>
        </w:rPr>
        <w:t> </w:t>
      </w:r>
      <w:r>
        <w:rPr>
          <w:vertAlign w:val="baseline"/>
        </w:rPr>
        <w:t>che</w:t>
      </w:r>
      <w:r>
        <w:rPr>
          <w:spacing w:val="-10"/>
          <w:vertAlign w:val="baseline"/>
        </w:rPr>
        <w:t> </w:t>
      </w:r>
      <w:r>
        <w:rPr>
          <w:vertAlign w:val="baseline"/>
        </w:rPr>
        <w:t>nel</w:t>
      </w:r>
      <w:r>
        <w:rPr>
          <w:spacing w:val="-9"/>
          <w:vertAlign w:val="baseline"/>
        </w:rPr>
        <w:t> </w:t>
      </w:r>
      <w:r>
        <w:rPr>
          <w:vertAlign w:val="baseline"/>
        </w:rPr>
        <w:t>valutare</w:t>
      </w:r>
      <w:r>
        <w:rPr>
          <w:spacing w:val="-7"/>
          <w:vertAlign w:val="baseline"/>
        </w:rPr>
        <w:t> </w:t>
      </w:r>
      <w:r>
        <w:rPr>
          <w:vertAlign w:val="baseline"/>
        </w:rPr>
        <w:t>se</w:t>
      </w:r>
      <w:r>
        <w:rPr>
          <w:spacing w:val="-10"/>
          <w:vertAlign w:val="baseline"/>
        </w:rPr>
        <w:t> </w:t>
      </w:r>
      <w:r>
        <w:rPr>
          <w:vertAlign w:val="baseline"/>
        </w:rPr>
        <w:t>la deviazione dal percorso sia significativa, si applichi un margine di tolleranza. In particolare, per avere una deviazione significativa lo scostamento dal percorso di convergenza deve essere almeno di 0,5 per cento di PIL su base annuale o di 0,25 per</w:t>
      </w:r>
      <w:r>
        <w:rPr>
          <w:spacing w:val="-12"/>
          <w:vertAlign w:val="baseline"/>
        </w:rPr>
        <w:t> </w:t>
      </w:r>
      <w:r>
        <w:rPr>
          <w:vertAlign w:val="baseline"/>
        </w:rPr>
        <w:t>cento</w:t>
      </w:r>
      <w:r>
        <w:rPr>
          <w:spacing w:val="-10"/>
          <w:vertAlign w:val="baseline"/>
        </w:rPr>
        <w:t> </w:t>
      </w:r>
      <w:r>
        <w:rPr>
          <w:vertAlign w:val="baseline"/>
        </w:rPr>
        <w:t>di</w:t>
      </w:r>
      <w:r>
        <w:rPr>
          <w:spacing w:val="-10"/>
          <w:vertAlign w:val="baseline"/>
        </w:rPr>
        <w:t> </w:t>
      </w:r>
      <w:r>
        <w:rPr>
          <w:vertAlign w:val="baseline"/>
        </w:rPr>
        <w:t>PIL</w:t>
      </w:r>
      <w:r>
        <w:rPr>
          <w:spacing w:val="-10"/>
          <w:vertAlign w:val="baseline"/>
        </w:rPr>
        <w:t> </w:t>
      </w:r>
      <w:r>
        <w:rPr>
          <w:vertAlign w:val="baseline"/>
        </w:rPr>
        <w:t>nella</w:t>
      </w:r>
      <w:r>
        <w:rPr>
          <w:spacing w:val="-10"/>
          <w:vertAlign w:val="baseline"/>
        </w:rPr>
        <w:t> </w:t>
      </w:r>
      <w:r>
        <w:rPr>
          <w:vertAlign w:val="baseline"/>
        </w:rPr>
        <w:t>media</w:t>
      </w:r>
      <w:r>
        <w:rPr>
          <w:spacing w:val="-9"/>
          <w:vertAlign w:val="baseline"/>
        </w:rPr>
        <w:t> </w:t>
      </w:r>
      <w:r>
        <w:rPr>
          <w:vertAlign w:val="baseline"/>
        </w:rPr>
        <w:t>di</w:t>
      </w:r>
      <w:r>
        <w:rPr>
          <w:spacing w:val="-10"/>
          <w:vertAlign w:val="baseline"/>
        </w:rPr>
        <w:t> </w:t>
      </w:r>
      <w:r>
        <w:rPr>
          <w:vertAlign w:val="baseline"/>
        </w:rPr>
        <w:t>due</w:t>
      </w:r>
      <w:r>
        <w:rPr>
          <w:spacing w:val="-9"/>
          <w:vertAlign w:val="baseline"/>
        </w:rPr>
        <w:t> </w:t>
      </w:r>
      <w:r>
        <w:rPr>
          <w:vertAlign w:val="baseline"/>
        </w:rPr>
        <w:t>anni</w:t>
      </w:r>
      <w:r>
        <w:rPr>
          <w:spacing w:val="-13"/>
          <w:vertAlign w:val="baseline"/>
        </w:rPr>
        <w:t> </w:t>
      </w:r>
      <w:r>
        <w:rPr>
          <w:vertAlign w:val="baseline"/>
        </w:rPr>
        <w:t>consecutivi;</w:t>
      </w:r>
      <w:r>
        <w:rPr>
          <w:spacing w:val="-8"/>
          <w:vertAlign w:val="baseline"/>
        </w:rPr>
        <w:t> </w:t>
      </w:r>
      <w:r>
        <w:rPr>
          <w:vertAlign w:val="baseline"/>
        </w:rPr>
        <w:t>in</w:t>
      </w:r>
      <w:r>
        <w:rPr>
          <w:spacing w:val="-10"/>
          <w:vertAlign w:val="baseline"/>
        </w:rPr>
        <w:t> </w:t>
      </w:r>
      <w:r>
        <w:rPr>
          <w:vertAlign w:val="baseline"/>
        </w:rPr>
        <w:t>tal</w:t>
      </w:r>
      <w:r>
        <w:rPr>
          <w:spacing w:val="-11"/>
          <w:vertAlign w:val="baseline"/>
        </w:rPr>
        <w:t> </w:t>
      </w:r>
      <w:r>
        <w:rPr>
          <w:vertAlign w:val="baseline"/>
        </w:rPr>
        <w:t>caso</w:t>
      </w:r>
      <w:r>
        <w:rPr>
          <w:spacing w:val="-10"/>
          <w:vertAlign w:val="baseline"/>
        </w:rPr>
        <w:t> </w:t>
      </w:r>
      <w:r>
        <w:rPr>
          <w:vertAlign w:val="baseline"/>
        </w:rPr>
        <w:t>sussistono</w:t>
      </w:r>
      <w:r>
        <w:rPr>
          <w:spacing w:val="-14"/>
          <w:vertAlign w:val="baseline"/>
        </w:rPr>
        <w:t> </w:t>
      </w:r>
      <w:r>
        <w:rPr>
          <w:vertAlign w:val="baseline"/>
        </w:rPr>
        <w:t>i</w:t>
      </w:r>
      <w:r>
        <w:rPr>
          <w:spacing w:val="-9"/>
          <w:vertAlign w:val="baseline"/>
        </w:rPr>
        <w:t> </w:t>
      </w:r>
      <w:r>
        <w:rPr>
          <w:vertAlign w:val="baseline"/>
        </w:rPr>
        <w:t>requisiti per l’attivazione della procedura di deficit</w:t>
      </w:r>
      <w:r>
        <w:rPr>
          <w:spacing w:val="-7"/>
          <w:vertAlign w:val="baseline"/>
        </w:rPr>
        <w:t> </w:t>
      </w:r>
      <w:r>
        <w:rPr>
          <w:vertAlign w:val="baseline"/>
        </w:rPr>
        <w:t>eccessivo.</w:t>
      </w:r>
    </w:p>
    <w:p>
      <w:pPr>
        <w:pStyle w:val="BodyText"/>
        <w:spacing w:line="252" w:lineRule="auto" w:before="1"/>
        <w:ind w:left="278" w:right="2262" w:firstLine="453"/>
        <w:jc w:val="both"/>
      </w:pPr>
      <w:r>
        <w:rPr/>
        <w:t>La</w:t>
      </w:r>
      <w:r>
        <w:rPr>
          <w:spacing w:val="-8"/>
        </w:rPr>
        <w:t> </w:t>
      </w:r>
      <w:r>
        <w:rPr/>
        <w:t>Commissione</w:t>
      </w:r>
      <w:r>
        <w:rPr>
          <w:spacing w:val="-8"/>
        </w:rPr>
        <w:t> </w:t>
      </w:r>
      <w:r>
        <w:rPr/>
        <w:t>Europea</w:t>
      </w:r>
      <w:r>
        <w:rPr>
          <w:spacing w:val="-8"/>
        </w:rPr>
        <w:t> </w:t>
      </w:r>
      <w:r>
        <w:rPr/>
        <w:t>verifica</w:t>
      </w:r>
      <w:r>
        <w:rPr>
          <w:spacing w:val="-10"/>
        </w:rPr>
        <w:t> </w:t>
      </w:r>
      <w:r>
        <w:rPr/>
        <w:t>la</w:t>
      </w:r>
      <w:r>
        <w:rPr>
          <w:spacing w:val="-8"/>
        </w:rPr>
        <w:t> </w:t>
      </w:r>
      <w:r>
        <w:rPr/>
        <w:t>coerenza</w:t>
      </w:r>
      <w:r>
        <w:rPr>
          <w:spacing w:val="-8"/>
        </w:rPr>
        <w:t> </w:t>
      </w:r>
      <w:r>
        <w:rPr/>
        <w:t>della</w:t>
      </w:r>
      <w:r>
        <w:rPr>
          <w:spacing w:val="-8"/>
        </w:rPr>
        <w:t> </w:t>
      </w:r>
      <w:r>
        <w:rPr/>
        <w:t>programmazione</w:t>
      </w:r>
      <w:r>
        <w:rPr>
          <w:spacing w:val="-8"/>
        </w:rPr>
        <w:t> </w:t>
      </w:r>
      <w:r>
        <w:rPr/>
        <w:t>di</w:t>
      </w:r>
      <w:r>
        <w:rPr>
          <w:spacing w:val="-8"/>
        </w:rPr>
        <w:t> </w:t>
      </w:r>
      <w:r>
        <w:rPr/>
        <w:t>bilancio rispetto agli obbiettivi concordati e monitora regolarmente l’andamento del bilancio strutturale e delle altre grandezze rilevanti. Sulla base dei Documenti programmatici di bilancio (DPB) inviati dagli Stati Membri entro il 15 ottobre, la Commissione esaminerà gli obiettivi dichiarati e l’insieme delle misure fiscali programmate. Sarà valutata la loro conformità con le regole, vagliando anche il grado</w:t>
      </w:r>
      <w:r>
        <w:rPr>
          <w:spacing w:val="-10"/>
        </w:rPr>
        <w:t> </w:t>
      </w:r>
      <w:r>
        <w:rPr/>
        <w:t>di</w:t>
      </w:r>
      <w:r>
        <w:rPr>
          <w:spacing w:val="-10"/>
        </w:rPr>
        <w:t> </w:t>
      </w:r>
      <w:r>
        <w:rPr/>
        <w:t>affidabilità</w:t>
      </w:r>
      <w:r>
        <w:rPr>
          <w:spacing w:val="-8"/>
        </w:rPr>
        <w:t> </w:t>
      </w:r>
      <w:r>
        <w:rPr/>
        <w:t>delle</w:t>
      </w:r>
      <w:r>
        <w:rPr>
          <w:spacing w:val="-9"/>
        </w:rPr>
        <w:t> </w:t>
      </w:r>
      <w:r>
        <w:rPr/>
        <w:t>stime</w:t>
      </w:r>
      <w:r>
        <w:rPr>
          <w:spacing w:val="-9"/>
        </w:rPr>
        <w:t> </w:t>
      </w:r>
      <w:r>
        <w:rPr/>
        <w:t>presentate.</w:t>
      </w:r>
      <w:r>
        <w:rPr>
          <w:spacing w:val="-8"/>
        </w:rPr>
        <w:t> </w:t>
      </w:r>
      <w:r>
        <w:rPr/>
        <w:t>Le</w:t>
      </w:r>
      <w:r>
        <w:rPr>
          <w:spacing w:val="-9"/>
        </w:rPr>
        <w:t> </w:t>
      </w:r>
      <w:r>
        <w:rPr/>
        <w:t>valutazioni</w:t>
      </w:r>
      <w:r>
        <w:rPr>
          <w:spacing w:val="-9"/>
        </w:rPr>
        <w:t> </w:t>
      </w:r>
      <w:r>
        <w:rPr/>
        <w:t>si</w:t>
      </w:r>
      <w:r>
        <w:rPr>
          <w:spacing w:val="-10"/>
        </w:rPr>
        <w:t> </w:t>
      </w:r>
      <w:r>
        <w:rPr/>
        <w:t>faranno</w:t>
      </w:r>
      <w:r>
        <w:rPr>
          <w:spacing w:val="-8"/>
        </w:rPr>
        <w:t> </w:t>
      </w:r>
      <w:r>
        <w:rPr/>
        <w:t>alla</w:t>
      </w:r>
      <w:r>
        <w:rPr>
          <w:spacing w:val="-6"/>
        </w:rPr>
        <w:t> </w:t>
      </w:r>
      <w:r>
        <w:rPr/>
        <w:t>luce</w:t>
      </w:r>
      <w:r>
        <w:rPr>
          <w:spacing w:val="-9"/>
        </w:rPr>
        <w:t> </w:t>
      </w:r>
      <w:r>
        <w:rPr/>
        <w:t>delle previsioni di crescita effettuate dai servizi della Commissione che saranno rese pubbliche nel corso della prima decade di</w:t>
      </w:r>
      <w:r>
        <w:rPr>
          <w:spacing w:val="-9"/>
        </w:rPr>
        <w:t> </w:t>
      </w:r>
      <w:r>
        <w:rPr/>
        <w:t>novembre.</w:t>
      </w:r>
    </w:p>
    <w:p>
      <w:pPr>
        <w:pStyle w:val="BodyText"/>
        <w:spacing w:line="252" w:lineRule="auto"/>
        <w:ind w:left="278" w:right="2262" w:firstLine="453"/>
        <w:jc w:val="both"/>
      </w:pPr>
      <w:r>
        <w:rPr/>
        <w:t>Il Documento programmatico di bilancio del Governo Italiano avrà come riferimento le stime e le politiche programmate all’interno della presente Nota di Aggiornamento, che incorporano la revisione dei conti nazionali operata il 23 settembre</w:t>
      </w:r>
      <w:r>
        <w:rPr>
          <w:spacing w:val="-6"/>
        </w:rPr>
        <w:t> </w:t>
      </w:r>
      <w:r>
        <w:rPr/>
        <w:t>dall’ISTAT</w:t>
      </w:r>
      <w:r>
        <w:rPr>
          <w:vertAlign w:val="superscript"/>
        </w:rPr>
        <w:t>27</w:t>
      </w:r>
      <w:r>
        <w:rPr>
          <w:vertAlign w:val="baseline"/>
        </w:rPr>
        <w:t>.</w:t>
      </w:r>
      <w:r>
        <w:rPr>
          <w:spacing w:val="-4"/>
          <w:vertAlign w:val="baseline"/>
        </w:rPr>
        <w:t> </w:t>
      </w:r>
      <w:r>
        <w:rPr>
          <w:vertAlign w:val="baseline"/>
        </w:rPr>
        <w:t>Come</w:t>
      </w:r>
      <w:r>
        <w:rPr>
          <w:spacing w:val="-6"/>
          <w:vertAlign w:val="baseline"/>
        </w:rPr>
        <w:t> </w:t>
      </w:r>
      <w:r>
        <w:rPr>
          <w:vertAlign w:val="baseline"/>
        </w:rPr>
        <w:t>da</w:t>
      </w:r>
      <w:r>
        <w:rPr>
          <w:spacing w:val="-6"/>
          <w:vertAlign w:val="baseline"/>
        </w:rPr>
        <w:t> </w:t>
      </w:r>
      <w:r>
        <w:rPr>
          <w:vertAlign w:val="baseline"/>
        </w:rPr>
        <w:t>regolamenti,</w:t>
      </w:r>
      <w:r>
        <w:rPr>
          <w:spacing w:val="-6"/>
          <w:vertAlign w:val="baseline"/>
        </w:rPr>
        <w:t> </w:t>
      </w:r>
      <w:r>
        <w:rPr>
          <w:vertAlign w:val="baseline"/>
        </w:rPr>
        <w:t>la</w:t>
      </w:r>
      <w:r>
        <w:rPr>
          <w:spacing w:val="-10"/>
          <w:vertAlign w:val="baseline"/>
        </w:rPr>
        <w:t> </w:t>
      </w:r>
      <w:r>
        <w:rPr>
          <w:vertAlign w:val="baseline"/>
        </w:rPr>
        <w:t>valutazione</w:t>
      </w:r>
      <w:r>
        <w:rPr>
          <w:spacing w:val="-5"/>
          <w:vertAlign w:val="baseline"/>
        </w:rPr>
        <w:t> </w:t>
      </w:r>
      <w:r>
        <w:rPr>
          <w:vertAlign w:val="baseline"/>
        </w:rPr>
        <w:t>della</w:t>
      </w:r>
      <w:r>
        <w:rPr>
          <w:spacing w:val="-7"/>
          <w:vertAlign w:val="baseline"/>
        </w:rPr>
        <w:t> </w:t>
      </w:r>
      <w:r>
        <w:rPr>
          <w:vertAlign w:val="baseline"/>
        </w:rPr>
        <w:t>Commissione</w:t>
      </w:r>
      <w:r>
        <w:rPr>
          <w:spacing w:val="-5"/>
          <w:vertAlign w:val="baseline"/>
        </w:rPr>
        <w:t> </w:t>
      </w:r>
      <w:r>
        <w:rPr>
          <w:vertAlign w:val="baseline"/>
        </w:rPr>
        <w:t>sui saldi</w:t>
      </w:r>
      <w:r>
        <w:rPr>
          <w:spacing w:val="-8"/>
          <w:vertAlign w:val="baseline"/>
        </w:rPr>
        <w:t> </w:t>
      </w:r>
      <w:r>
        <w:rPr>
          <w:vertAlign w:val="baseline"/>
        </w:rPr>
        <w:t>di</w:t>
      </w:r>
      <w:r>
        <w:rPr>
          <w:spacing w:val="-7"/>
          <w:vertAlign w:val="baseline"/>
        </w:rPr>
        <w:t> </w:t>
      </w:r>
      <w:r>
        <w:rPr>
          <w:vertAlign w:val="baseline"/>
        </w:rPr>
        <w:t>finanza</w:t>
      </w:r>
      <w:r>
        <w:rPr>
          <w:spacing w:val="-7"/>
          <w:vertAlign w:val="baseline"/>
        </w:rPr>
        <w:t> </w:t>
      </w:r>
      <w:r>
        <w:rPr>
          <w:vertAlign w:val="baseline"/>
        </w:rPr>
        <w:t>pubblica</w:t>
      </w:r>
      <w:r>
        <w:rPr>
          <w:spacing w:val="-7"/>
          <w:vertAlign w:val="baseline"/>
        </w:rPr>
        <w:t> </w:t>
      </w:r>
      <w:r>
        <w:rPr>
          <w:vertAlign w:val="baseline"/>
        </w:rPr>
        <w:t>riguarderà</w:t>
      </w:r>
      <w:r>
        <w:rPr>
          <w:spacing w:val="-8"/>
          <w:vertAlign w:val="baseline"/>
        </w:rPr>
        <w:t> </w:t>
      </w:r>
      <w:r>
        <w:rPr>
          <w:vertAlign w:val="baseline"/>
        </w:rPr>
        <w:t>gli</w:t>
      </w:r>
      <w:r>
        <w:rPr>
          <w:spacing w:val="-7"/>
          <w:vertAlign w:val="baseline"/>
        </w:rPr>
        <w:t> </w:t>
      </w:r>
      <w:r>
        <w:rPr>
          <w:vertAlign w:val="baseline"/>
        </w:rPr>
        <w:t>esiti</w:t>
      </w:r>
      <w:r>
        <w:rPr>
          <w:spacing w:val="-7"/>
          <w:vertAlign w:val="baseline"/>
        </w:rPr>
        <w:t> </w:t>
      </w:r>
      <w:r>
        <w:rPr>
          <w:vertAlign w:val="baseline"/>
        </w:rPr>
        <w:t>dell’anno</w:t>
      </w:r>
      <w:r>
        <w:rPr>
          <w:spacing w:val="-8"/>
          <w:vertAlign w:val="baseline"/>
        </w:rPr>
        <w:t> </w:t>
      </w:r>
      <w:r>
        <w:rPr>
          <w:vertAlign w:val="baseline"/>
        </w:rPr>
        <w:t>appena</w:t>
      </w:r>
      <w:r>
        <w:rPr>
          <w:spacing w:val="-7"/>
          <w:vertAlign w:val="baseline"/>
        </w:rPr>
        <w:t> </w:t>
      </w:r>
      <w:r>
        <w:rPr>
          <w:vertAlign w:val="baseline"/>
        </w:rPr>
        <w:t>chiuso</w:t>
      </w:r>
      <w:r>
        <w:rPr>
          <w:spacing w:val="-7"/>
          <w:vertAlign w:val="baseline"/>
        </w:rPr>
        <w:t> </w:t>
      </w:r>
      <w:r>
        <w:rPr>
          <w:vertAlign w:val="baseline"/>
        </w:rPr>
        <w:t>(t-1),</w:t>
      </w:r>
      <w:r>
        <w:rPr>
          <w:spacing w:val="-6"/>
          <w:vertAlign w:val="baseline"/>
        </w:rPr>
        <w:t> </w:t>
      </w:r>
      <w:r>
        <w:rPr>
          <w:vertAlign w:val="baseline"/>
        </w:rPr>
        <w:t>l’anno</w:t>
      </w:r>
      <w:r>
        <w:rPr>
          <w:spacing w:val="-8"/>
          <w:vertAlign w:val="baseline"/>
        </w:rPr>
        <w:t> </w:t>
      </w:r>
      <w:r>
        <w:rPr>
          <w:vertAlign w:val="baseline"/>
        </w:rPr>
        <w:t>in corso (t), e gli obiettivi programmati per il biennio successivo (t+1 e t+2). Con riferimento a tale arco temporale si osserva quanto</w:t>
      </w:r>
      <w:r>
        <w:rPr>
          <w:spacing w:val="-12"/>
          <w:vertAlign w:val="baseline"/>
        </w:rPr>
        <w:t> </w:t>
      </w:r>
      <w:r>
        <w:rPr>
          <w:vertAlign w:val="baseline"/>
        </w:rPr>
        <w:t>segue.</w:t>
      </w:r>
    </w:p>
    <w:p>
      <w:pPr>
        <w:pStyle w:val="BodyText"/>
        <w:spacing w:line="252" w:lineRule="auto"/>
        <w:ind w:left="278" w:right="2260" w:firstLine="453"/>
        <w:jc w:val="both"/>
      </w:pPr>
      <w:r>
        <w:rPr/>
        <w:t>Nel</w:t>
      </w:r>
      <w:r>
        <w:rPr>
          <w:spacing w:val="-5"/>
        </w:rPr>
        <w:t> </w:t>
      </w:r>
      <w:r>
        <w:rPr/>
        <w:t>2018</w:t>
      </w:r>
      <w:r>
        <w:rPr>
          <w:spacing w:val="-6"/>
        </w:rPr>
        <w:t> </w:t>
      </w:r>
      <w:r>
        <w:rPr/>
        <w:t>l’indebitamento</w:t>
      </w:r>
      <w:r>
        <w:rPr>
          <w:spacing w:val="-5"/>
        </w:rPr>
        <w:t> </w:t>
      </w:r>
      <w:r>
        <w:rPr/>
        <w:t>netto</w:t>
      </w:r>
      <w:r>
        <w:rPr>
          <w:spacing w:val="-4"/>
        </w:rPr>
        <w:t> </w:t>
      </w:r>
      <w:r>
        <w:rPr/>
        <w:t>della</w:t>
      </w:r>
      <w:r>
        <w:rPr>
          <w:spacing w:val="-5"/>
        </w:rPr>
        <w:t> </w:t>
      </w:r>
      <w:r>
        <w:rPr/>
        <w:t>PA</w:t>
      </w:r>
      <w:r>
        <w:rPr>
          <w:spacing w:val="-6"/>
        </w:rPr>
        <w:t> </w:t>
      </w:r>
      <w:r>
        <w:rPr/>
        <w:t>è</w:t>
      </w:r>
      <w:r>
        <w:rPr>
          <w:spacing w:val="-7"/>
        </w:rPr>
        <w:t> </w:t>
      </w:r>
      <w:r>
        <w:rPr/>
        <w:t>stato</w:t>
      </w:r>
      <w:r>
        <w:rPr>
          <w:spacing w:val="-4"/>
        </w:rPr>
        <w:t> </w:t>
      </w:r>
      <w:r>
        <w:rPr/>
        <w:t>pari</w:t>
      </w:r>
      <w:r>
        <w:rPr>
          <w:spacing w:val="-4"/>
        </w:rPr>
        <w:t> </w:t>
      </w:r>
      <w:r>
        <w:rPr/>
        <w:t>a</w:t>
      </w:r>
      <w:r>
        <w:rPr>
          <w:spacing w:val="-6"/>
        </w:rPr>
        <w:t> </w:t>
      </w:r>
      <w:r>
        <w:rPr/>
        <w:t>2,2</w:t>
      </w:r>
      <w:r>
        <w:rPr>
          <w:spacing w:val="-7"/>
        </w:rPr>
        <w:t> </w:t>
      </w:r>
      <w:r>
        <w:rPr/>
        <w:t>per</w:t>
      </w:r>
      <w:r>
        <w:rPr>
          <w:spacing w:val="-5"/>
        </w:rPr>
        <w:t> </w:t>
      </w:r>
      <w:r>
        <w:rPr/>
        <w:t>cento</w:t>
      </w:r>
      <w:r>
        <w:rPr>
          <w:spacing w:val="-5"/>
        </w:rPr>
        <w:t> </w:t>
      </w:r>
      <w:r>
        <w:rPr/>
        <w:t>del</w:t>
      </w:r>
      <w:r>
        <w:rPr>
          <w:spacing w:val="-8"/>
        </w:rPr>
        <w:t> </w:t>
      </w:r>
      <w:r>
        <w:rPr/>
        <w:t>PIL.</w:t>
      </w:r>
      <w:r>
        <w:rPr>
          <w:spacing w:val="-5"/>
        </w:rPr>
        <w:t> </w:t>
      </w:r>
      <w:r>
        <w:rPr/>
        <w:t>In termini</w:t>
      </w:r>
      <w:r>
        <w:rPr>
          <w:spacing w:val="-14"/>
        </w:rPr>
        <w:t> </w:t>
      </w:r>
      <w:r>
        <w:rPr/>
        <w:t>strutturali,</w:t>
      </w:r>
      <w:r>
        <w:rPr>
          <w:spacing w:val="-12"/>
        </w:rPr>
        <w:t> </w:t>
      </w:r>
      <w:r>
        <w:rPr/>
        <w:t>a</w:t>
      </w:r>
      <w:r>
        <w:rPr>
          <w:spacing w:val="-13"/>
        </w:rPr>
        <w:t> </w:t>
      </w:r>
      <w:r>
        <w:rPr/>
        <w:t>fronte</w:t>
      </w:r>
      <w:r>
        <w:rPr>
          <w:spacing w:val="-14"/>
        </w:rPr>
        <w:t> </w:t>
      </w:r>
      <w:r>
        <w:rPr/>
        <w:t>di</w:t>
      </w:r>
      <w:r>
        <w:rPr>
          <w:spacing w:val="-13"/>
        </w:rPr>
        <w:t> </w:t>
      </w:r>
      <w:r>
        <w:rPr/>
        <w:t>un</w:t>
      </w:r>
      <w:r>
        <w:rPr>
          <w:spacing w:val="-13"/>
        </w:rPr>
        <w:t> </w:t>
      </w:r>
      <w:r>
        <w:rPr/>
        <w:t>divario</w:t>
      </w:r>
      <w:r>
        <w:rPr>
          <w:spacing w:val="-14"/>
        </w:rPr>
        <w:t> </w:t>
      </w:r>
      <w:r>
        <w:rPr/>
        <w:t>stimato</w:t>
      </w:r>
      <w:r>
        <w:rPr>
          <w:spacing w:val="-15"/>
        </w:rPr>
        <w:t> </w:t>
      </w:r>
      <w:r>
        <w:rPr/>
        <w:t>tra</w:t>
      </w:r>
      <w:r>
        <w:rPr>
          <w:spacing w:val="-12"/>
        </w:rPr>
        <w:t> </w:t>
      </w:r>
      <w:r>
        <w:rPr/>
        <w:t>prodotto</w:t>
      </w:r>
      <w:r>
        <w:rPr>
          <w:spacing w:val="-13"/>
        </w:rPr>
        <w:t> </w:t>
      </w:r>
      <w:r>
        <w:rPr/>
        <w:t>effettivo</w:t>
      </w:r>
      <w:r>
        <w:rPr>
          <w:spacing w:val="-14"/>
        </w:rPr>
        <w:t> </w:t>
      </w:r>
      <w:r>
        <w:rPr/>
        <w:t>e</w:t>
      </w:r>
      <w:r>
        <w:rPr>
          <w:spacing w:val="-13"/>
        </w:rPr>
        <w:t> </w:t>
      </w:r>
      <w:r>
        <w:rPr/>
        <w:t>potenziale di 1,4 per cento del PIL potenziale, il saldo di bilancio è stato pari al’1,5 per cento del PIL. Rispetto al 2017 la variazione del saldo è stata quindi lievemente peggiorativa,</w:t>
      </w:r>
      <w:r>
        <w:rPr>
          <w:spacing w:val="-12"/>
        </w:rPr>
        <w:t> </w:t>
      </w:r>
      <w:r>
        <w:rPr/>
        <w:t>e</w:t>
      </w:r>
      <w:r>
        <w:rPr>
          <w:spacing w:val="-12"/>
        </w:rPr>
        <w:t> </w:t>
      </w:r>
      <w:r>
        <w:rPr/>
        <w:t>pari</w:t>
      </w:r>
      <w:r>
        <w:rPr>
          <w:spacing w:val="-11"/>
        </w:rPr>
        <w:t> </w:t>
      </w:r>
      <w:r>
        <w:rPr/>
        <w:t>a</w:t>
      </w:r>
      <w:r>
        <w:rPr>
          <w:spacing w:val="-15"/>
        </w:rPr>
        <w:t> </w:t>
      </w:r>
      <w:r>
        <w:rPr/>
        <w:t>-0,1</w:t>
      </w:r>
      <w:r>
        <w:rPr>
          <w:spacing w:val="-12"/>
        </w:rPr>
        <w:t> </w:t>
      </w:r>
      <w:r>
        <w:rPr/>
        <w:t>per</w:t>
      </w:r>
      <w:r>
        <w:rPr>
          <w:spacing w:val="-13"/>
        </w:rPr>
        <w:t> </w:t>
      </w:r>
      <w:r>
        <w:rPr/>
        <w:t>cento.</w:t>
      </w:r>
      <w:r>
        <w:rPr>
          <w:spacing w:val="-14"/>
        </w:rPr>
        <w:t> </w:t>
      </w:r>
      <w:r>
        <w:rPr/>
        <w:t>Le</w:t>
      </w:r>
      <w:r>
        <w:rPr>
          <w:spacing w:val="-14"/>
        </w:rPr>
        <w:t> </w:t>
      </w:r>
      <w:r>
        <w:rPr/>
        <w:t>revisioni</w:t>
      </w:r>
      <w:r>
        <w:rPr>
          <w:spacing w:val="-11"/>
        </w:rPr>
        <w:t> </w:t>
      </w:r>
      <w:r>
        <w:rPr/>
        <w:t>dell’ISTAT</w:t>
      </w:r>
      <w:r>
        <w:rPr>
          <w:spacing w:val="-12"/>
        </w:rPr>
        <w:t> </w:t>
      </w:r>
      <w:r>
        <w:rPr/>
        <w:t>del</w:t>
      </w:r>
      <w:r>
        <w:rPr>
          <w:spacing w:val="-11"/>
        </w:rPr>
        <w:t> </w:t>
      </w:r>
      <w:r>
        <w:rPr/>
        <w:t>23</w:t>
      </w:r>
      <w:r>
        <w:rPr>
          <w:spacing w:val="-12"/>
        </w:rPr>
        <w:t> </w:t>
      </w:r>
      <w:r>
        <w:rPr/>
        <w:t>settembre</w:t>
      </w:r>
      <w:r>
        <w:rPr>
          <w:spacing w:val="-12"/>
        </w:rPr>
        <w:t> </w:t>
      </w:r>
      <w:r>
        <w:rPr/>
        <w:t>hanno comportato modifiche marginali (aumento di circa un decimo di punto del deficit nominale).</w:t>
      </w:r>
    </w:p>
    <w:p>
      <w:pPr>
        <w:pStyle w:val="BodyText"/>
        <w:spacing w:line="252" w:lineRule="auto"/>
        <w:ind w:left="278" w:right="2263" w:firstLine="453"/>
        <w:jc w:val="both"/>
      </w:pPr>
      <w:r>
        <w:rPr/>
        <w:t>In</w:t>
      </w:r>
      <w:r>
        <w:rPr>
          <w:spacing w:val="-14"/>
        </w:rPr>
        <w:t> </w:t>
      </w:r>
      <w:r>
        <w:rPr/>
        <w:t>ogni</w:t>
      </w:r>
      <w:r>
        <w:rPr>
          <w:spacing w:val="-14"/>
        </w:rPr>
        <w:t> </w:t>
      </w:r>
      <w:r>
        <w:rPr/>
        <w:t>caso,</w:t>
      </w:r>
      <w:r>
        <w:rPr>
          <w:spacing w:val="-13"/>
        </w:rPr>
        <w:t> </w:t>
      </w:r>
      <w:r>
        <w:rPr/>
        <w:t>gli</w:t>
      </w:r>
      <w:r>
        <w:rPr>
          <w:spacing w:val="-13"/>
        </w:rPr>
        <w:t> </w:t>
      </w:r>
      <w:r>
        <w:rPr/>
        <w:t>andamenti</w:t>
      </w:r>
      <w:r>
        <w:rPr>
          <w:spacing w:val="-14"/>
        </w:rPr>
        <w:t> </w:t>
      </w:r>
      <w:r>
        <w:rPr/>
        <w:t>del</w:t>
      </w:r>
      <w:r>
        <w:rPr>
          <w:spacing w:val="-14"/>
        </w:rPr>
        <w:t> </w:t>
      </w:r>
      <w:r>
        <w:rPr/>
        <w:t>2018</w:t>
      </w:r>
      <w:r>
        <w:rPr>
          <w:spacing w:val="-14"/>
        </w:rPr>
        <w:t> </w:t>
      </w:r>
      <w:r>
        <w:rPr/>
        <w:t>sono</w:t>
      </w:r>
      <w:r>
        <w:rPr>
          <w:spacing w:val="-15"/>
        </w:rPr>
        <w:t> </w:t>
      </w:r>
      <w:r>
        <w:rPr/>
        <w:t>già</w:t>
      </w:r>
      <w:r>
        <w:rPr>
          <w:spacing w:val="-14"/>
        </w:rPr>
        <w:t> </w:t>
      </w:r>
      <w:r>
        <w:rPr/>
        <w:t>stati</w:t>
      </w:r>
      <w:r>
        <w:rPr>
          <w:spacing w:val="-14"/>
        </w:rPr>
        <w:t> </w:t>
      </w:r>
      <w:r>
        <w:rPr/>
        <w:t>oggetto</w:t>
      </w:r>
      <w:r>
        <w:rPr>
          <w:spacing w:val="-13"/>
        </w:rPr>
        <w:t> </w:t>
      </w:r>
      <w:r>
        <w:rPr/>
        <w:t>di</w:t>
      </w:r>
      <w:r>
        <w:rPr>
          <w:spacing w:val="-15"/>
        </w:rPr>
        <w:t> </w:t>
      </w:r>
      <w:r>
        <w:rPr/>
        <w:t>diverse</w:t>
      </w:r>
      <w:r>
        <w:rPr>
          <w:spacing w:val="-14"/>
        </w:rPr>
        <w:t> </w:t>
      </w:r>
      <w:r>
        <w:rPr/>
        <w:t>valutazioni nel corso del tempo da parte della Commissione Europea</w:t>
      </w:r>
      <w:r>
        <w:rPr>
          <w:vertAlign w:val="superscript"/>
        </w:rPr>
        <w:t>28</w:t>
      </w:r>
      <w:r>
        <w:rPr>
          <w:vertAlign w:val="baseline"/>
        </w:rPr>
        <w:t>. Nella valutazione </w:t>
      </w:r>
      <w:r>
        <w:rPr>
          <w:i/>
          <w:vertAlign w:val="baseline"/>
        </w:rPr>
        <w:t>ex </w:t>
      </w:r>
      <w:r>
        <w:rPr>
          <w:i/>
          <w:vertAlign w:val="baseline"/>
        </w:rPr>
        <w:t>post </w:t>
      </w:r>
      <w:r>
        <w:rPr>
          <w:vertAlign w:val="baseline"/>
        </w:rPr>
        <w:t>sul rispetto delle regole per l’anno 2018, effettuata a giugno 2019 e basata sulle previsioni macroeconomiche elaborate in primavera, la Commissione stimava un deterioramento rispetto all’anno precedente di 0,1 punti percentuali. La deviazione</w:t>
      </w:r>
      <w:r>
        <w:rPr>
          <w:spacing w:val="20"/>
          <w:vertAlign w:val="baseline"/>
        </w:rPr>
        <w:t> </w:t>
      </w:r>
      <w:r>
        <w:rPr>
          <w:vertAlign w:val="baseline"/>
        </w:rPr>
        <w:t>dal</w:t>
      </w:r>
      <w:r>
        <w:rPr>
          <w:spacing w:val="22"/>
          <w:vertAlign w:val="baseline"/>
        </w:rPr>
        <w:t> </w:t>
      </w:r>
      <w:r>
        <w:rPr>
          <w:vertAlign w:val="baseline"/>
        </w:rPr>
        <w:t>percorso</w:t>
      </w:r>
      <w:r>
        <w:rPr>
          <w:spacing w:val="21"/>
          <w:vertAlign w:val="baseline"/>
        </w:rPr>
        <w:t> </w:t>
      </w:r>
      <w:r>
        <w:rPr>
          <w:vertAlign w:val="baseline"/>
        </w:rPr>
        <w:t>prescritto</w:t>
      </w:r>
      <w:r>
        <w:rPr>
          <w:spacing w:val="21"/>
          <w:vertAlign w:val="baseline"/>
        </w:rPr>
        <w:t> </w:t>
      </w:r>
      <w:r>
        <w:rPr>
          <w:vertAlign w:val="baseline"/>
        </w:rPr>
        <w:t>dal</w:t>
      </w:r>
      <w:r>
        <w:rPr>
          <w:spacing w:val="22"/>
          <w:vertAlign w:val="baseline"/>
        </w:rPr>
        <w:t> </w:t>
      </w:r>
      <w:r>
        <w:rPr>
          <w:vertAlign w:val="baseline"/>
        </w:rPr>
        <w:t>braccio</w:t>
      </w:r>
      <w:r>
        <w:rPr>
          <w:spacing w:val="18"/>
          <w:vertAlign w:val="baseline"/>
        </w:rPr>
        <w:t> </w:t>
      </w:r>
      <w:r>
        <w:rPr>
          <w:vertAlign w:val="baseline"/>
        </w:rPr>
        <w:t>preventivo</w:t>
      </w:r>
      <w:r>
        <w:rPr>
          <w:spacing w:val="21"/>
          <w:vertAlign w:val="baseline"/>
        </w:rPr>
        <w:t> </w:t>
      </w:r>
      <w:r>
        <w:rPr>
          <w:vertAlign w:val="baseline"/>
        </w:rPr>
        <w:t>del</w:t>
      </w:r>
      <w:r>
        <w:rPr>
          <w:spacing w:val="21"/>
          <w:vertAlign w:val="baseline"/>
        </w:rPr>
        <w:t> </w:t>
      </w:r>
      <w:r>
        <w:rPr>
          <w:vertAlign w:val="baseline"/>
        </w:rPr>
        <w:t>Patto</w:t>
      </w:r>
      <w:r>
        <w:rPr>
          <w:spacing w:val="21"/>
          <w:vertAlign w:val="baseline"/>
        </w:rPr>
        <w:t> </w:t>
      </w:r>
      <w:r>
        <w:rPr>
          <w:vertAlign w:val="baseline"/>
        </w:rPr>
        <w:t>di</w:t>
      </w:r>
      <w:r>
        <w:rPr>
          <w:spacing w:val="23"/>
          <w:vertAlign w:val="baseline"/>
        </w:rPr>
        <w:t> </w:t>
      </w:r>
      <w:r>
        <w:rPr>
          <w:vertAlign w:val="baseline"/>
        </w:rPr>
        <w:t>Stabilità</w:t>
      </w:r>
      <w:r>
        <w:rPr>
          <w:spacing w:val="21"/>
          <w:vertAlign w:val="baseline"/>
        </w:rPr>
        <w:t> </w:t>
      </w:r>
      <w:r>
        <w:rPr>
          <w:vertAlign w:val="baseline"/>
        </w:rPr>
        <w:t>e</w:t>
      </w:r>
    </w:p>
    <w:p>
      <w:pPr>
        <w:pStyle w:val="BodyText"/>
        <w:rPr>
          <w:sz w:val="20"/>
        </w:rPr>
      </w:pPr>
    </w:p>
    <w:p>
      <w:pPr>
        <w:pStyle w:val="BodyText"/>
        <w:spacing w:before="1"/>
        <w:rPr>
          <w:sz w:val="17"/>
        </w:rPr>
      </w:pPr>
      <w:r>
        <w:rPr/>
        <w:pict>
          <v:group style="position:absolute;margin-left:93.599998pt;margin-top:11.894483pt;width:21.4pt;height:2.15pt;mso-position-horizontal-relative:page;mso-position-vertical-relative:paragraph;z-index:-251501568;mso-wrap-distance-left:0;mso-wrap-distance-right:0" coordorigin="1872,238" coordsize="428,43">
            <v:line style="position:absolute" from="1872,258" to="2299,258" stroked="true" strokeweight="2.050pt" strokecolor="#aaaaaa">
              <v:stroke dashstyle="solid"/>
            </v:line>
            <v:rect style="position:absolute;left:1872;top:239;width:5;height:5" filled="true" fillcolor="#9f9f9f" stroked="false">
              <v:fill type="solid"/>
            </v:rect>
            <v:rect style="position:absolute;left:1872;top:239;width:5;height:5" filled="true" fillcolor="#9f9f9f" stroked="false">
              <v:fill type="solid"/>
            </v:rect>
            <v:line style="position:absolute" from="1877,242" to="2295,242" stroked="true" strokeweight=".23999pt" strokecolor="#9f9f9f">
              <v:stroke dashstyle="solid"/>
            </v:line>
            <v:rect style="position:absolute;left:2294;top:239;width:5;height:5" filled="true" fillcolor="#e2e2e2" stroked="false">
              <v:fill type="solid"/>
            </v:rect>
            <v:rect style="position:absolute;left:2294;top:239;width:5;height:5" filled="true" fillcolor="#9f9f9f" stroked="false">
              <v:fill type="solid"/>
            </v:rect>
            <v:rect style="position:absolute;left:1872;top:244;width:5;height:32" filled="true" fillcolor="#9f9f9f" stroked="false">
              <v:fill type="solid"/>
            </v:rect>
            <v:rect style="position:absolute;left:2294;top:244;width:5;height:32" filled="true" fillcolor="#e2e2e2" stroked="false">
              <v:fill type="solid"/>
            </v:rect>
            <v:rect style="position:absolute;left:1872;top:275;width:5;height:5" filled="true" fillcolor="#9f9f9f" stroked="false">
              <v:fill type="solid"/>
            </v:rect>
            <v:rect style="position:absolute;left:1872;top:275;width:5;height:5" filled="true" fillcolor="#e2e2e2" stroked="false">
              <v:fill type="solid"/>
            </v:rect>
            <v:line style="position:absolute" from="1877,278" to="2295,278" stroked="true" strokeweight=".24005pt" strokecolor="#e2e2e2">
              <v:stroke dashstyle="solid"/>
            </v:line>
            <v:rect style="position:absolute;left:2294;top:275;width:5;height:5" filled="true" fillcolor="#e2e2e2" stroked="false">
              <v:fill type="solid"/>
            </v:rect>
            <v:rect style="position:absolute;left:2294;top:275;width:5;height:5" filled="true" fillcolor="#e2e2e2" stroked="false">
              <v:fill type="solid"/>
            </v:rect>
            <w10:wrap type="topAndBottom"/>
          </v:group>
        </w:pict>
      </w:r>
    </w:p>
    <w:p>
      <w:pPr>
        <w:spacing w:before="20"/>
        <w:ind w:left="278" w:right="2272" w:firstLine="453"/>
        <w:jc w:val="both"/>
        <w:rPr>
          <w:sz w:val="16"/>
        </w:rPr>
      </w:pPr>
      <w:r>
        <w:rPr>
          <w:position w:val="6"/>
          <w:sz w:val="10"/>
        </w:rPr>
        <w:t>26 </w:t>
      </w:r>
      <w:r>
        <w:rPr>
          <w:sz w:val="16"/>
        </w:rPr>
        <w:t>Una eguale valutazione si effettua per il rispetto della regola della spesa, commentata nella parte finale del paragrafo.</w:t>
      </w:r>
    </w:p>
    <w:p>
      <w:pPr>
        <w:spacing w:line="240" w:lineRule="auto" w:before="0"/>
        <w:ind w:left="278" w:right="2267" w:firstLine="453"/>
        <w:jc w:val="both"/>
        <w:rPr>
          <w:sz w:val="16"/>
        </w:rPr>
      </w:pPr>
      <w:r>
        <w:rPr>
          <w:position w:val="6"/>
          <w:sz w:val="10"/>
        </w:rPr>
        <w:t>27 </w:t>
      </w:r>
      <w:r>
        <w:rPr>
          <w:sz w:val="16"/>
        </w:rPr>
        <w:t>I dati di fonte ISTAT potrebbero andare incontro ad ulteriori cambiamenti a seguito del rilascio dei conti trimestrali (attesi per il 4 ottobre). Pur non andando a modificare i totali annui, potrebbe essere marginalmente rivisto il recente profilo trimestrale di alcuni aggregati economici, con possibili effetti di c.d. trascinamento sui valori del 2019. In ogni caso, le revisioni dei profili trimestrali delle componenti del PIL non risultano mai tali da intaccare l’affidabilità delle proiezioni degli aggregati di finanza pubblica. Diverso potrebbe essere il caso per revisioni che afferissero direttamente la componente dei conti delle AAPP.</w:t>
      </w:r>
    </w:p>
    <w:p>
      <w:pPr>
        <w:spacing w:line="240" w:lineRule="auto" w:before="0"/>
        <w:ind w:left="278" w:right="2266" w:firstLine="453"/>
        <w:jc w:val="both"/>
        <w:rPr>
          <w:sz w:val="16"/>
        </w:rPr>
      </w:pPr>
      <w:r>
        <w:rPr>
          <w:position w:val="6"/>
          <w:sz w:val="10"/>
        </w:rPr>
        <w:t>28</w:t>
      </w:r>
      <w:r>
        <w:rPr>
          <w:spacing w:val="21"/>
          <w:position w:val="6"/>
          <w:sz w:val="10"/>
        </w:rPr>
        <w:t> </w:t>
      </w:r>
      <w:r>
        <w:rPr>
          <w:sz w:val="16"/>
        </w:rPr>
        <w:t>Nelle</w:t>
      </w:r>
      <w:r>
        <w:rPr>
          <w:spacing w:val="-7"/>
          <w:sz w:val="16"/>
        </w:rPr>
        <w:t> </w:t>
      </w:r>
      <w:r>
        <w:rPr>
          <w:sz w:val="16"/>
        </w:rPr>
        <w:t>sue</w:t>
      </w:r>
      <w:r>
        <w:rPr>
          <w:spacing w:val="-7"/>
          <w:sz w:val="16"/>
        </w:rPr>
        <w:t> </w:t>
      </w:r>
      <w:r>
        <w:rPr>
          <w:sz w:val="16"/>
        </w:rPr>
        <w:t>raccomandazioni</w:t>
      </w:r>
      <w:r>
        <w:rPr>
          <w:spacing w:val="-8"/>
          <w:sz w:val="16"/>
        </w:rPr>
        <w:t> </w:t>
      </w:r>
      <w:r>
        <w:rPr>
          <w:sz w:val="16"/>
        </w:rPr>
        <w:t>di</w:t>
      </w:r>
      <w:r>
        <w:rPr>
          <w:spacing w:val="-8"/>
          <w:sz w:val="16"/>
        </w:rPr>
        <w:t> </w:t>
      </w:r>
      <w:r>
        <w:rPr>
          <w:sz w:val="16"/>
        </w:rPr>
        <w:t>luglio</w:t>
      </w:r>
      <w:r>
        <w:rPr>
          <w:spacing w:val="-8"/>
          <w:sz w:val="16"/>
        </w:rPr>
        <w:t> </w:t>
      </w:r>
      <w:r>
        <w:rPr>
          <w:sz w:val="16"/>
        </w:rPr>
        <w:t>2017</w:t>
      </w:r>
      <w:r>
        <w:rPr>
          <w:spacing w:val="-8"/>
          <w:sz w:val="16"/>
        </w:rPr>
        <w:t> </w:t>
      </w:r>
      <w:r>
        <w:rPr>
          <w:sz w:val="16"/>
        </w:rPr>
        <w:t>il</w:t>
      </w:r>
      <w:r>
        <w:rPr>
          <w:spacing w:val="-7"/>
          <w:sz w:val="16"/>
        </w:rPr>
        <w:t> </w:t>
      </w:r>
      <w:r>
        <w:rPr>
          <w:sz w:val="16"/>
        </w:rPr>
        <w:t>Consiglio</w:t>
      </w:r>
      <w:r>
        <w:rPr>
          <w:spacing w:val="-8"/>
          <w:sz w:val="16"/>
        </w:rPr>
        <w:t> </w:t>
      </w:r>
      <w:r>
        <w:rPr>
          <w:sz w:val="16"/>
        </w:rPr>
        <w:t>dell’Unione</w:t>
      </w:r>
      <w:r>
        <w:rPr>
          <w:spacing w:val="-7"/>
          <w:sz w:val="16"/>
        </w:rPr>
        <w:t> </w:t>
      </w:r>
      <w:r>
        <w:rPr>
          <w:sz w:val="16"/>
        </w:rPr>
        <w:t>Europea,</w:t>
      </w:r>
      <w:r>
        <w:rPr>
          <w:spacing w:val="-7"/>
          <w:sz w:val="16"/>
        </w:rPr>
        <w:t> </w:t>
      </w:r>
      <w:r>
        <w:rPr>
          <w:sz w:val="16"/>
        </w:rPr>
        <w:t>su</w:t>
      </w:r>
      <w:r>
        <w:rPr>
          <w:spacing w:val="-7"/>
          <w:sz w:val="16"/>
        </w:rPr>
        <w:t> </w:t>
      </w:r>
      <w:r>
        <w:rPr>
          <w:sz w:val="16"/>
        </w:rPr>
        <w:t>proposta</w:t>
      </w:r>
      <w:r>
        <w:rPr>
          <w:spacing w:val="-8"/>
          <w:sz w:val="16"/>
        </w:rPr>
        <w:t> </w:t>
      </w:r>
      <w:r>
        <w:rPr>
          <w:sz w:val="16"/>
        </w:rPr>
        <w:t>della</w:t>
      </w:r>
      <w:r>
        <w:rPr>
          <w:spacing w:val="-8"/>
          <w:sz w:val="16"/>
        </w:rPr>
        <w:t> </w:t>
      </w:r>
      <w:r>
        <w:rPr>
          <w:sz w:val="16"/>
        </w:rPr>
        <w:t>Commissione, aveva sollecitato l’Italia a perseguire un consistente sforzo di bilancio nel 2018, in linea con i requisiti del braccio preventivo del patto di stabilità e crescita, ma tenendo conto della necessità di rafforzare la ripresa in corso e di assicurare</w:t>
      </w:r>
      <w:r>
        <w:rPr>
          <w:spacing w:val="-5"/>
          <w:sz w:val="16"/>
        </w:rPr>
        <w:t> </w:t>
      </w:r>
      <w:r>
        <w:rPr>
          <w:sz w:val="16"/>
        </w:rPr>
        <w:t>la</w:t>
      </w:r>
      <w:r>
        <w:rPr>
          <w:spacing w:val="-7"/>
          <w:sz w:val="16"/>
        </w:rPr>
        <w:t> </w:t>
      </w:r>
      <w:r>
        <w:rPr>
          <w:sz w:val="16"/>
        </w:rPr>
        <w:t>sostenibilità</w:t>
      </w:r>
      <w:r>
        <w:rPr>
          <w:spacing w:val="-7"/>
          <w:sz w:val="16"/>
        </w:rPr>
        <w:t> </w:t>
      </w:r>
      <w:r>
        <w:rPr>
          <w:sz w:val="16"/>
        </w:rPr>
        <w:t>delle</w:t>
      </w:r>
      <w:r>
        <w:rPr>
          <w:spacing w:val="-5"/>
          <w:sz w:val="16"/>
        </w:rPr>
        <w:t> </w:t>
      </w:r>
      <w:r>
        <w:rPr>
          <w:sz w:val="16"/>
        </w:rPr>
        <w:t>finanze.</w:t>
      </w:r>
      <w:r>
        <w:rPr>
          <w:spacing w:val="-4"/>
          <w:sz w:val="16"/>
        </w:rPr>
        <w:t> </w:t>
      </w:r>
      <w:r>
        <w:rPr>
          <w:sz w:val="16"/>
        </w:rPr>
        <w:t>Raccomandazione</w:t>
      </w:r>
      <w:r>
        <w:rPr>
          <w:spacing w:val="-5"/>
          <w:sz w:val="16"/>
        </w:rPr>
        <w:t> </w:t>
      </w:r>
      <w:r>
        <w:rPr>
          <w:sz w:val="16"/>
        </w:rPr>
        <w:t>del</w:t>
      </w:r>
      <w:r>
        <w:rPr>
          <w:spacing w:val="-6"/>
          <w:sz w:val="16"/>
        </w:rPr>
        <w:t> </w:t>
      </w:r>
      <w:r>
        <w:rPr>
          <w:sz w:val="16"/>
        </w:rPr>
        <w:t>Consiglio</w:t>
      </w:r>
      <w:r>
        <w:rPr>
          <w:spacing w:val="-6"/>
          <w:sz w:val="16"/>
        </w:rPr>
        <w:t> </w:t>
      </w:r>
      <w:r>
        <w:rPr>
          <w:sz w:val="16"/>
        </w:rPr>
        <w:t>dell’Unione</w:t>
      </w:r>
      <w:r>
        <w:rPr>
          <w:spacing w:val="-5"/>
          <w:sz w:val="16"/>
        </w:rPr>
        <w:t> </w:t>
      </w:r>
      <w:r>
        <w:rPr>
          <w:sz w:val="16"/>
        </w:rPr>
        <w:t>Europea</w:t>
      </w:r>
      <w:r>
        <w:rPr>
          <w:spacing w:val="-6"/>
          <w:sz w:val="16"/>
        </w:rPr>
        <w:t> </w:t>
      </w:r>
      <w:r>
        <w:rPr>
          <w:sz w:val="16"/>
        </w:rPr>
        <w:t>dell'11</w:t>
      </w:r>
      <w:r>
        <w:rPr>
          <w:spacing w:val="-9"/>
          <w:sz w:val="16"/>
        </w:rPr>
        <w:t> </w:t>
      </w:r>
      <w:r>
        <w:rPr>
          <w:sz w:val="16"/>
        </w:rPr>
        <w:t>luglio</w:t>
      </w:r>
      <w:r>
        <w:rPr>
          <w:spacing w:val="-6"/>
          <w:sz w:val="16"/>
        </w:rPr>
        <w:t> </w:t>
      </w:r>
      <w:r>
        <w:rPr>
          <w:sz w:val="16"/>
        </w:rPr>
        <w:t>2017</w:t>
      </w:r>
      <w:r>
        <w:rPr>
          <w:spacing w:val="-6"/>
          <w:sz w:val="16"/>
        </w:rPr>
        <w:t> </w:t>
      </w:r>
      <w:r>
        <w:rPr>
          <w:sz w:val="16"/>
        </w:rPr>
        <w:t>sul Programma Nazionale di Riforma 2017 dell’Italia e che formula un parere del Consiglio sul Programma di Stabilità 2017 dell’Italia (2017/C 261/11). In ragione di ciò, l’Italia ha potuto beneficiare di un margine di discrezionalità rispetto al percorso delineato dalla matrice di convergenza, che rendeva sufficiente un aggiustamento strutturale rispetto al 2017 pari allo 0,3 per cento del</w:t>
      </w:r>
      <w:r>
        <w:rPr>
          <w:spacing w:val="-6"/>
          <w:sz w:val="16"/>
        </w:rPr>
        <w:t> </w:t>
      </w:r>
      <w:r>
        <w:rPr>
          <w:sz w:val="16"/>
        </w:rPr>
        <w:t>PIL.</w:t>
      </w:r>
    </w:p>
    <w:p>
      <w:pPr>
        <w:spacing w:after="0" w:line="240" w:lineRule="auto"/>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1128" w:right="1410"/>
        <w:jc w:val="both"/>
      </w:pPr>
      <w:r>
        <w:rPr/>
        <w:t>Crescita risultava marginalmente significativa. Successivamente al pacchetto di misure fiscali adottato dal Governo Italiano nel mese di luglio, la Commissione ha ritenuto</w:t>
      </w:r>
      <w:r>
        <w:rPr>
          <w:spacing w:val="-12"/>
        </w:rPr>
        <w:t> </w:t>
      </w:r>
      <w:r>
        <w:rPr/>
        <w:t>che</w:t>
      </w:r>
      <w:r>
        <w:rPr>
          <w:spacing w:val="-12"/>
        </w:rPr>
        <w:t> </w:t>
      </w:r>
      <w:r>
        <w:rPr/>
        <w:t>la</w:t>
      </w:r>
      <w:r>
        <w:rPr>
          <w:spacing w:val="-13"/>
        </w:rPr>
        <w:t> </w:t>
      </w:r>
      <w:r>
        <w:rPr/>
        <w:t>deviazione</w:t>
      </w:r>
      <w:r>
        <w:rPr>
          <w:spacing w:val="-12"/>
        </w:rPr>
        <w:t> </w:t>
      </w:r>
      <w:r>
        <w:rPr/>
        <w:t>per</w:t>
      </w:r>
      <w:r>
        <w:rPr>
          <w:spacing w:val="-11"/>
        </w:rPr>
        <w:t> </w:t>
      </w:r>
      <w:r>
        <w:rPr/>
        <w:t>il</w:t>
      </w:r>
      <w:r>
        <w:rPr>
          <w:spacing w:val="-12"/>
        </w:rPr>
        <w:t> </w:t>
      </w:r>
      <w:r>
        <w:rPr/>
        <w:t>2018</w:t>
      </w:r>
      <w:r>
        <w:rPr>
          <w:spacing w:val="-12"/>
        </w:rPr>
        <w:t> </w:t>
      </w:r>
      <w:r>
        <w:rPr/>
        <w:t>sia</w:t>
      </w:r>
      <w:r>
        <w:rPr>
          <w:spacing w:val="-11"/>
        </w:rPr>
        <w:t> </w:t>
      </w:r>
      <w:r>
        <w:rPr/>
        <w:t>stata</w:t>
      </w:r>
      <w:r>
        <w:rPr>
          <w:spacing w:val="-12"/>
        </w:rPr>
        <w:t> </w:t>
      </w:r>
      <w:r>
        <w:rPr/>
        <w:t>compensata</w:t>
      </w:r>
      <w:r>
        <w:rPr>
          <w:spacing w:val="-12"/>
        </w:rPr>
        <w:t> </w:t>
      </w:r>
      <w:r>
        <w:rPr/>
        <w:t>dai</w:t>
      </w:r>
      <w:r>
        <w:rPr>
          <w:spacing w:val="-12"/>
        </w:rPr>
        <w:t> </w:t>
      </w:r>
      <w:r>
        <w:rPr/>
        <w:t>nuovi</w:t>
      </w:r>
      <w:r>
        <w:rPr>
          <w:spacing w:val="-12"/>
        </w:rPr>
        <w:t> </w:t>
      </w:r>
      <w:r>
        <w:rPr/>
        <w:t>e</w:t>
      </w:r>
      <w:r>
        <w:rPr>
          <w:spacing w:val="-12"/>
        </w:rPr>
        <w:t> </w:t>
      </w:r>
      <w:r>
        <w:rPr/>
        <w:t>più</w:t>
      </w:r>
      <w:r>
        <w:rPr>
          <w:spacing w:val="-10"/>
        </w:rPr>
        <w:t> </w:t>
      </w:r>
      <w:r>
        <w:rPr/>
        <w:t>ambiziosi obiettivi di finanza pubblica dichiarati dall’Italia per l’anno 2019. Per maggiori dettagli sulla interlocuzione avvenuta con la Commissione e sugli interventi effettuati si veda quanto riferito nei paragrafi III.4 e</w:t>
      </w:r>
      <w:r>
        <w:rPr>
          <w:spacing w:val="-11"/>
        </w:rPr>
        <w:t> </w:t>
      </w:r>
      <w:r>
        <w:rPr/>
        <w:t>III.5.</w:t>
      </w:r>
    </w:p>
    <w:p>
      <w:pPr>
        <w:pStyle w:val="BodyText"/>
        <w:spacing w:line="252" w:lineRule="auto" w:before="1"/>
        <w:ind w:left="1128" w:right="1410" w:firstLine="453"/>
        <w:jc w:val="both"/>
      </w:pPr>
      <w:r>
        <w:rPr/>
        <w:t>Con riferimento al 2019, a fronte di una crescita economica stimata di 0,1 per cento di PIL, l’indebitamento netto si attesta al 2,2 per cento. Rispetto al 2018 aumenta il divario tra il prodotto effettivo e quello potenziale, evidenza di condizioni cicliche sfavorevoli. Il saldo di bilancio strutturale è stimato pari a -1,2 per cento del PIL con un miglioramento 0,3 punti percentuali rispetto all’anno precedente, che segnala la ripresa del percorso di convergenza verso l’OMT. Tenendo conto del margine di flessibilità accordato dalla Commissione, pari a 0,18 punti percentuali di PIL</w:t>
      </w:r>
      <w:r>
        <w:rPr>
          <w:vertAlign w:val="superscript"/>
        </w:rPr>
        <w:t>29</w:t>
      </w:r>
      <w:r>
        <w:rPr>
          <w:vertAlign w:val="baseline"/>
        </w:rPr>
        <w:t>, la variazione è sostanzialmente conforme ai vincoli imposti dalla matrice di convergenza, come mostrato nella Tavola III.6</w:t>
      </w:r>
      <w:r>
        <w:rPr>
          <w:vertAlign w:val="superscript"/>
        </w:rPr>
        <w:t>30</w:t>
      </w:r>
      <w:r>
        <w:rPr>
          <w:vertAlign w:val="baseline"/>
        </w:rPr>
        <w:t>.</w:t>
      </w:r>
    </w:p>
    <w:p>
      <w:pPr>
        <w:pStyle w:val="BodyText"/>
        <w:spacing w:line="252" w:lineRule="auto"/>
        <w:ind w:left="1128" w:right="1416" w:firstLine="453"/>
        <w:jc w:val="both"/>
      </w:pPr>
      <w:r>
        <w:rPr/>
        <w:t>La strategia di finanza pubblica per i prossimi anni, già presentata in dettaglio nella prima parte del presente paragrafo, può essere illustrata anche in termini strutturali, facendo riferimento alla Tavola III.3.</w:t>
      </w:r>
    </w:p>
    <w:p>
      <w:pPr>
        <w:pStyle w:val="BodyText"/>
        <w:spacing w:line="252" w:lineRule="auto" w:before="1"/>
        <w:ind w:left="1128" w:right="1411" w:firstLine="427"/>
        <w:jc w:val="both"/>
      </w:pPr>
      <w:r>
        <w:rPr/>
        <w:t>A fronte di un pronunciato miglioramento del bilancio in termini nominali nel triennio 2020-2022, le variazioni in termini strutturali sono, nell’insieme, più graduali. Nel 2020 si registra solo un lieve peggioramento del saldo strutturale poiché l’output gap resta pressoché invariato rispetto al 2019 (il tasso di crescita effettivo del PIL si allinea al tasso di crescita di quello potenziale) e le</w:t>
      </w:r>
      <w:r>
        <w:rPr>
          <w:spacing w:val="-48"/>
        </w:rPr>
        <w:t> </w:t>
      </w:r>
      <w:r>
        <w:rPr/>
        <w:t>componenti transitorie sono lievemente più penalizzanti che nel 2019. Nel 2021 e 2022 il saldo strutturale riprenderebbe a migliorare, ma con variazioni più contenute rispetto a quelle</w:t>
      </w:r>
      <w:r>
        <w:rPr>
          <w:spacing w:val="-18"/>
        </w:rPr>
        <w:t> </w:t>
      </w:r>
      <w:r>
        <w:rPr/>
        <w:t>del</w:t>
      </w:r>
      <w:r>
        <w:rPr>
          <w:spacing w:val="-17"/>
        </w:rPr>
        <w:t> </w:t>
      </w:r>
      <w:r>
        <w:rPr/>
        <w:t>saldo</w:t>
      </w:r>
      <w:r>
        <w:rPr>
          <w:spacing w:val="-20"/>
        </w:rPr>
        <w:t> </w:t>
      </w:r>
      <w:r>
        <w:rPr/>
        <w:t>nominale;</w:t>
      </w:r>
      <w:r>
        <w:rPr>
          <w:spacing w:val="-16"/>
        </w:rPr>
        <w:t> </w:t>
      </w:r>
      <w:r>
        <w:rPr/>
        <w:t>nel</w:t>
      </w:r>
      <w:r>
        <w:rPr>
          <w:spacing w:val="-20"/>
        </w:rPr>
        <w:t> </w:t>
      </w:r>
      <w:r>
        <w:rPr/>
        <w:t>biennio</w:t>
      </w:r>
      <w:r>
        <w:rPr>
          <w:spacing w:val="-17"/>
        </w:rPr>
        <w:t> </w:t>
      </w:r>
      <w:r>
        <w:rPr/>
        <w:t>subentra</w:t>
      </w:r>
      <w:r>
        <w:rPr>
          <w:spacing w:val="-17"/>
        </w:rPr>
        <w:t> </w:t>
      </w:r>
      <w:r>
        <w:rPr/>
        <w:t>una</w:t>
      </w:r>
      <w:r>
        <w:rPr>
          <w:spacing w:val="-18"/>
        </w:rPr>
        <w:t> </w:t>
      </w:r>
      <w:r>
        <w:rPr/>
        <w:t>maggiore</w:t>
      </w:r>
      <w:r>
        <w:rPr>
          <w:spacing w:val="-19"/>
        </w:rPr>
        <w:t> </w:t>
      </w:r>
      <w:r>
        <w:rPr/>
        <w:t>correzione</w:t>
      </w:r>
      <w:r>
        <w:rPr>
          <w:spacing w:val="-20"/>
        </w:rPr>
        <w:t> </w:t>
      </w:r>
      <w:r>
        <w:rPr/>
        <w:t>per</w:t>
      </w:r>
      <w:r>
        <w:rPr>
          <w:spacing w:val="-16"/>
        </w:rPr>
        <w:t> </w:t>
      </w:r>
      <w:r>
        <w:rPr/>
        <w:t>il</w:t>
      </w:r>
      <w:r>
        <w:rPr>
          <w:spacing w:val="-19"/>
        </w:rPr>
        <w:t> </w:t>
      </w:r>
      <w:r>
        <w:rPr/>
        <w:t>ciclo, dovuta alla graduale chiusura dell’</w:t>
      </w:r>
      <w:r>
        <w:rPr>
          <w:i/>
        </w:rPr>
        <w:t>output</w:t>
      </w:r>
      <w:r>
        <w:rPr>
          <w:i/>
          <w:spacing w:val="-5"/>
        </w:rPr>
        <w:t> </w:t>
      </w:r>
      <w:r>
        <w:rPr>
          <w:i/>
        </w:rPr>
        <w:t>gap</w:t>
      </w:r>
      <w:r>
        <w:rPr/>
        <w:t>.</w:t>
      </w:r>
    </w:p>
    <w:p>
      <w:pPr>
        <w:pStyle w:val="BodyText"/>
        <w:spacing w:line="252" w:lineRule="auto"/>
        <w:ind w:left="1128" w:right="1412" w:firstLine="453"/>
        <w:jc w:val="both"/>
      </w:pPr>
      <w:r>
        <w:rPr/>
        <w:t>La scelta effettuata contempera l’esigenza di ricondurre verso il basso l’evoluzione del rapporto debito/PIL e di non correre il rischio, soprattutto nel breve periodo, di effettuare politiche pro-cicliche. Nel 2020 in un contesto economico</w:t>
      </w:r>
      <w:r>
        <w:rPr>
          <w:spacing w:val="16"/>
        </w:rPr>
        <w:t> </w:t>
      </w:r>
      <w:r>
        <w:rPr/>
        <w:t>ancora</w:t>
      </w:r>
      <w:r>
        <w:rPr>
          <w:spacing w:val="17"/>
        </w:rPr>
        <w:t> </w:t>
      </w:r>
      <w:r>
        <w:rPr/>
        <w:t>debole,</w:t>
      </w:r>
      <w:r>
        <w:rPr>
          <w:spacing w:val="17"/>
        </w:rPr>
        <w:t> </w:t>
      </w:r>
      <w:r>
        <w:rPr/>
        <w:t>in</w:t>
      </w:r>
      <w:r>
        <w:rPr>
          <w:spacing w:val="14"/>
        </w:rPr>
        <w:t> </w:t>
      </w:r>
      <w:r>
        <w:rPr/>
        <w:t>cui</w:t>
      </w:r>
      <w:r>
        <w:rPr>
          <w:spacing w:val="14"/>
        </w:rPr>
        <w:t> </w:t>
      </w:r>
      <w:r>
        <w:rPr/>
        <w:t>dovrebbero</w:t>
      </w:r>
      <w:r>
        <w:rPr>
          <w:spacing w:val="14"/>
        </w:rPr>
        <w:t> </w:t>
      </w:r>
      <w:r>
        <w:rPr/>
        <w:t>presentarsi</w:t>
      </w:r>
      <w:r>
        <w:rPr>
          <w:spacing w:val="16"/>
        </w:rPr>
        <w:t> </w:t>
      </w:r>
      <w:r>
        <w:rPr/>
        <w:t>i</w:t>
      </w:r>
      <w:r>
        <w:rPr>
          <w:spacing w:val="17"/>
        </w:rPr>
        <w:t> </w:t>
      </w:r>
      <w:r>
        <w:rPr/>
        <w:t>primi</w:t>
      </w:r>
      <w:r>
        <w:rPr>
          <w:spacing w:val="14"/>
        </w:rPr>
        <w:t> </w:t>
      </w:r>
      <w:r>
        <w:rPr/>
        <w:t>segnali</w:t>
      </w:r>
      <w:r>
        <w:rPr>
          <w:spacing w:val="15"/>
        </w:rPr>
        <w:t> </w:t>
      </w:r>
      <w:r>
        <w:rPr/>
        <w:t>di</w:t>
      </w:r>
      <w:r>
        <w:rPr>
          <w:spacing w:val="14"/>
        </w:rPr>
        <w:t> </w:t>
      </w:r>
      <w:r>
        <w:rPr/>
        <w:t>ripresa</w:t>
      </w:r>
    </w:p>
    <w:p>
      <w:pPr>
        <w:pStyle w:val="BodyText"/>
        <w:rPr>
          <w:sz w:val="20"/>
        </w:rPr>
      </w:pPr>
    </w:p>
    <w:p>
      <w:pPr>
        <w:pStyle w:val="BodyText"/>
        <w:spacing w:before="5"/>
        <w:rPr>
          <w:sz w:val="23"/>
        </w:rPr>
      </w:pPr>
      <w:r>
        <w:rPr/>
        <w:pict>
          <v:group style="position:absolute;margin-left:136.100006pt;margin-top:15.608252pt;width:21.4pt;height:2.15pt;mso-position-horizontal-relative:page;mso-position-vertical-relative:paragraph;z-index:-251500544;mso-wrap-distance-left:0;mso-wrap-distance-right:0" coordorigin="2722,312" coordsize="428,43">
            <v:line style="position:absolute" from="2722,333" to="3149,333" stroked="true" strokeweight="2.050pt" strokecolor="#aaaaaa">
              <v:stroke dashstyle="solid"/>
            </v:line>
            <v:rect style="position:absolute;left:2722;top:313;width:5;height:5" filled="true" fillcolor="#9f9f9f" stroked="false">
              <v:fill type="solid"/>
            </v:rect>
            <v:rect style="position:absolute;left:2722;top:313;width:5;height:5" filled="true" fillcolor="#9f9f9f" stroked="false">
              <v:fill type="solid"/>
            </v:rect>
            <v:line style="position:absolute" from="2727,316" to="3144,316" stroked="true" strokeweight=".23999pt" strokecolor="#9f9f9f">
              <v:stroke dashstyle="solid"/>
            </v:line>
            <v:rect style="position:absolute;left:3144;top:313;width:5;height:5" filled="true" fillcolor="#e2e2e2" stroked="false">
              <v:fill type="solid"/>
            </v:rect>
            <v:rect style="position:absolute;left:3144;top:313;width:5;height:5" filled="true" fillcolor="#9f9f9f" stroked="false">
              <v:fill type="solid"/>
            </v:rect>
            <v:rect style="position:absolute;left:2722;top:318;width:5;height:32" filled="true" fillcolor="#9f9f9f" stroked="false">
              <v:fill type="solid"/>
            </v:rect>
            <v:rect style="position:absolute;left:3144;top:318;width:5;height:32" filled="true" fillcolor="#e2e2e2" stroked="false">
              <v:fill type="solid"/>
            </v:rect>
            <v:rect style="position:absolute;left:2722;top:349;width:5;height:5" filled="true" fillcolor="#9f9f9f" stroked="false">
              <v:fill type="solid"/>
            </v:rect>
            <v:rect style="position:absolute;left:2722;top:349;width:5;height:5" filled="true" fillcolor="#e2e2e2" stroked="false">
              <v:fill type="solid"/>
            </v:rect>
            <v:line style="position:absolute" from="2727,352" to="3144,352" stroked="true" strokeweight=".23999pt" strokecolor="#e2e2e2">
              <v:stroke dashstyle="solid"/>
            </v:line>
            <v:rect style="position:absolute;left:3144;top:349;width:5;height:5" filled="true" fillcolor="#e2e2e2" stroked="false">
              <v:fill type="solid"/>
            </v:rect>
            <v:rect style="position:absolute;left:3144;top:349;width:5;height:5" filled="true" fillcolor="#e2e2e2" stroked="false">
              <v:fill type="solid"/>
            </v:rect>
            <w10:wrap type="topAndBottom"/>
          </v:group>
        </w:pict>
      </w:r>
    </w:p>
    <w:p>
      <w:pPr>
        <w:spacing w:before="20"/>
        <w:ind w:left="1128" w:right="1412" w:firstLine="453"/>
        <w:jc w:val="both"/>
        <w:rPr>
          <w:sz w:val="16"/>
        </w:rPr>
      </w:pPr>
      <w:r>
        <w:rPr>
          <w:position w:val="6"/>
          <w:sz w:val="10"/>
        </w:rPr>
        <w:t>29</w:t>
      </w:r>
      <w:r>
        <w:rPr>
          <w:spacing w:val="13"/>
          <w:position w:val="6"/>
          <w:sz w:val="10"/>
        </w:rPr>
        <w:t> </w:t>
      </w:r>
      <w:r>
        <w:rPr>
          <w:sz w:val="16"/>
        </w:rPr>
        <w:t>A</w:t>
      </w:r>
      <w:r>
        <w:rPr>
          <w:spacing w:val="-5"/>
          <w:sz w:val="16"/>
        </w:rPr>
        <w:t> </w:t>
      </w:r>
      <w:r>
        <w:rPr>
          <w:sz w:val="16"/>
        </w:rPr>
        <w:t>fine</w:t>
      </w:r>
      <w:r>
        <w:rPr>
          <w:spacing w:val="-7"/>
          <w:sz w:val="16"/>
        </w:rPr>
        <w:t> </w:t>
      </w:r>
      <w:r>
        <w:rPr>
          <w:sz w:val="16"/>
        </w:rPr>
        <w:t>2018,</w:t>
      </w:r>
      <w:r>
        <w:rPr>
          <w:spacing w:val="-4"/>
          <w:sz w:val="16"/>
        </w:rPr>
        <w:t> </w:t>
      </w:r>
      <w:r>
        <w:rPr>
          <w:sz w:val="16"/>
        </w:rPr>
        <w:t>il</w:t>
      </w:r>
      <w:r>
        <w:rPr>
          <w:spacing w:val="-5"/>
          <w:sz w:val="16"/>
        </w:rPr>
        <w:t> </w:t>
      </w:r>
      <w:r>
        <w:rPr>
          <w:sz w:val="16"/>
        </w:rPr>
        <w:t>Governo</w:t>
      </w:r>
      <w:r>
        <w:rPr>
          <w:spacing w:val="-5"/>
          <w:sz w:val="16"/>
        </w:rPr>
        <w:t> </w:t>
      </w:r>
      <w:r>
        <w:rPr>
          <w:sz w:val="16"/>
        </w:rPr>
        <w:t>italiano</w:t>
      </w:r>
      <w:r>
        <w:rPr>
          <w:spacing w:val="-5"/>
          <w:sz w:val="16"/>
        </w:rPr>
        <w:t> </w:t>
      </w:r>
      <w:r>
        <w:rPr>
          <w:sz w:val="16"/>
        </w:rPr>
        <w:t>aveva</w:t>
      </w:r>
      <w:r>
        <w:rPr>
          <w:spacing w:val="-5"/>
          <w:sz w:val="16"/>
        </w:rPr>
        <w:t> </w:t>
      </w:r>
      <w:r>
        <w:rPr>
          <w:sz w:val="16"/>
        </w:rPr>
        <w:t>chiesto</w:t>
      </w:r>
      <w:r>
        <w:rPr>
          <w:spacing w:val="-5"/>
          <w:sz w:val="16"/>
        </w:rPr>
        <w:t> </w:t>
      </w:r>
      <w:r>
        <w:rPr>
          <w:sz w:val="16"/>
        </w:rPr>
        <w:t>alla</w:t>
      </w:r>
      <w:r>
        <w:rPr>
          <w:spacing w:val="-6"/>
          <w:sz w:val="16"/>
        </w:rPr>
        <w:t> </w:t>
      </w:r>
      <w:r>
        <w:rPr>
          <w:sz w:val="16"/>
        </w:rPr>
        <w:t>Commissione</w:t>
      </w:r>
      <w:r>
        <w:rPr>
          <w:spacing w:val="-4"/>
          <w:sz w:val="16"/>
        </w:rPr>
        <w:t> </w:t>
      </w:r>
      <w:r>
        <w:rPr>
          <w:sz w:val="16"/>
        </w:rPr>
        <w:t>di</w:t>
      </w:r>
      <w:r>
        <w:rPr>
          <w:spacing w:val="-8"/>
          <w:sz w:val="16"/>
        </w:rPr>
        <w:t> </w:t>
      </w:r>
      <w:r>
        <w:rPr>
          <w:sz w:val="16"/>
        </w:rPr>
        <w:t>riconoscere</w:t>
      </w:r>
      <w:r>
        <w:rPr>
          <w:spacing w:val="-6"/>
          <w:sz w:val="16"/>
        </w:rPr>
        <w:t> </w:t>
      </w:r>
      <w:r>
        <w:rPr>
          <w:sz w:val="16"/>
        </w:rPr>
        <w:t>la</w:t>
      </w:r>
      <w:r>
        <w:rPr>
          <w:spacing w:val="-6"/>
          <w:sz w:val="16"/>
        </w:rPr>
        <w:t> </w:t>
      </w:r>
      <w:r>
        <w:rPr>
          <w:sz w:val="16"/>
        </w:rPr>
        <w:t>flessibilità</w:t>
      </w:r>
      <w:r>
        <w:rPr>
          <w:spacing w:val="-6"/>
          <w:sz w:val="16"/>
        </w:rPr>
        <w:t> </w:t>
      </w:r>
      <w:r>
        <w:rPr>
          <w:sz w:val="16"/>
        </w:rPr>
        <w:t>di</w:t>
      </w:r>
      <w:r>
        <w:rPr>
          <w:spacing w:val="-5"/>
          <w:sz w:val="16"/>
        </w:rPr>
        <w:t> </w:t>
      </w:r>
      <w:r>
        <w:rPr>
          <w:sz w:val="16"/>
        </w:rPr>
        <w:t>bilancio</w:t>
      </w:r>
      <w:r>
        <w:rPr>
          <w:spacing w:val="-5"/>
          <w:sz w:val="16"/>
        </w:rPr>
        <w:t> </w:t>
      </w:r>
      <w:r>
        <w:rPr>
          <w:sz w:val="16"/>
        </w:rPr>
        <w:t>per spese</w:t>
      </w:r>
      <w:r>
        <w:rPr>
          <w:spacing w:val="-4"/>
          <w:sz w:val="16"/>
        </w:rPr>
        <w:t> </w:t>
      </w:r>
      <w:r>
        <w:rPr>
          <w:sz w:val="16"/>
        </w:rPr>
        <w:t>legate</w:t>
      </w:r>
      <w:r>
        <w:rPr>
          <w:spacing w:val="-3"/>
          <w:sz w:val="16"/>
        </w:rPr>
        <w:t> </w:t>
      </w:r>
      <w:r>
        <w:rPr>
          <w:sz w:val="16"/>
        </w:rPr>
        <w:t>a</w:t>
      </w:r>
      <w:r>
        <w:rPr>
          <w:spacing w:val="-5"/>
          <w:sz w:val="16"/>
        </w:rPr>
        <w:t> </w:t>
      </w:r>
      <w:r>
        <w:rPr>
          <w:sz w:val="16"/>
        </w:rPr>
        <w:t>piano</w:t>
      </w:r>
      <w:r>
        <w:rPr>
          <w:spacing w:val="-5"/>
          <w:sz w:val="16"/>
        </w:rPr>
        <w:t> </w:t>
      </w:r>
      <w:r>
        <w:rPr>
          <w:sz w:val="16"/>
        </w:rPr>
        <w:t>straordinario</w:t>
      </w:r>
      <w:r>
        <w:rPr>
          <w:spacing w:val="-7"/>
          <w:sz w:val="16"/>
        </w:rPr>
        <w:t> </w:t>
      </w:r>
      <w:r>
        <w:rPr>
          <w:sz w:val="16"/>
        </w:rPr>
        <w:t>di</w:t>
      </w:r>
      <w:r>
        <w:rPr>
          <w:spacing w:val="-4"/>
          <w:sz w:val="16"/>
        </w:rPr>
        <w:t> </w:t>
      </w:r>
      <w:r>
        <w:rPr>
          <w:sz w:val="16"/>
        </w:rPr>
        <w:t>interventi</w:t>
      </w:r>
      <w:r>
        <w:rPr>
          <w:spacing w:val="-4"/>
          <w:sz w:val="16"/>
        </w:rPr>
        <w:t> </w:t>
      </w:r>
      <w:r>
        <w:rPr>
          <w:sz w:val="16"/>
        </w:rPr>
        <w:t>tesi</w:t>
      </w:r>
      <w:r>
        <w:rPr>
          <w:spacing w:val="-4"/>
          <w:sz w:val="16"/>
        </w:rPr>
        <w:t> </w:t>
      </w:r>
      <w:r>
        <w:rPr>
          <w:sz w:val="16"/>
        </w:rPr>
        <w:t>a</w:t>
      </w:r>
      <w:r>
        <w:rPr>
          <w:spacing w:val="-6"/>
          <w:sz w:val="16"/>
        </w:rPr>
        <w:t> </w:t>
      </w:r>
      <w:r>
        <w:rPr>
          <w:sz w:val="16"/>
        </w:rPr>
        <w:t>contrastare</w:t>
      </w:r>
      <w:r>
        <w:rPr>
          <w:spacing w:val="-3"/>
          <w:sz w:val="16"/>
        </w:rPr>
        <w:t> </w:t>
      </w:r>
      <w:r>
        <w:rPr>
          <w:sz w:val="16"/>
        </w:rPr>
        <w:t>il</w:t>
      </w:r>
      <w:r>
        <w:rPr>
          <w:spacing w:val="-4"/>
          <w:sz w:val="16"/>
        </w:rPr>
        <w:t> </w:t>
      </w:r>
      <w:r>
        <w:rPr>
          <w:sz w:val="16"/>
        </w:rPr>
        <w:t>dissesto</w:t>
      </w:r>
      <w:r>
        <w:rPr>
          <w:spacing w:val="-4"/>
          <w:sz w:val="16"/>
        </w:rPr>
        <w:t> </w:t>
      </w:r>
      <w:r>
        <w:rPr>
          <w:sz w:val="16"/>
        </w:rPr>
        <w:t>idrogeologico</w:t>
      </w:r>
      <w:r>
        <w:rPr>
          <w:spacing w:val="-5"/>
          <w:sz w:val="16"/>
        </w:rPr>
        <w:t> </w:t>
      </w:r>
      <w:r>
        <w:rPr>
          <w:sz w:val="16"/>
        </w:rPr>
        <w:t>e</w:t>
      </w:r>
      <w:r>
        <w:rPr>
          <w:spacing w:val="-3"/>
          <w:sz w:val="16"/>
        </w:rPr>
        <w:t> </w:t>
      </w:r>
      <w:r>
        <w:rPr>
          <w:sz w:val="16"/>
        </w:rPr>
        <w:t>a</w:t>
      </w:r>
      <w:r>
        <w:rPr>
          <w:spacing w:val="-5"/>
          <w:sz w:val="16"/>
        </w:rPr>
        <w:t> </w:t>
      </w:r>
      <w:r>
        <w:rPr>
          <w:sz w:val="16"/>
        </w:rPr>
        <w:t>mettere</w:t>
      </w:r>
      <w:r>
        <w:rPr>
          <w:spacing w:val="-3"/>
          <w:sz w:val="16"/>
        </w:rPr>
        <w:t> </w:t>
      </w:r>
      <w:r>
        <w:rPr>
          <w:sz w:val="16"/>
        </w:rPr>
        <w:t>in</w:t>
      </w:r>
      <w:r>
        <w:rPr>
          <w:spacing w:val="-4"/>
          <w:sz w:val="16"/>
        </w:rPr>
        <w:t> </w:t>
      </w:r>
      <w:r>
        <w:rPr>
          <w:sz w:val="16"/>
        </w:rPr>
        <w:t>sicurezza le</w:t>
      </w:r>
      <w:r>
        <w:rPr>
          <w:spacing w:val="-5"/>
          <w:sz w:val="16"/>
        </w:rPr>
        <w:t> </w:t>
      </w:r>
      <w:r>
        <w:rPr>
          <w:sz w:val="16"/>
        </w:rPr>
        <w:t>infrastrutture</w:t>
      </w:r>
      <w:r>
        <w:rPr>
          <w:spacing w:val="-5"/>
          <w:sz w:val="16"/>
        </w:rPr>
        <w:t> </w:t>
      </w:r>
      <w:r>
        <w:rPr>
          <w:sz w:val="16"/>
        </w:rPr>
        <w:t>della</w:t>
      </w:r>
      <w:r>
        <w:rPr>
          <w:spacing w:val="-6"/>
          <w:sz w:val="16"/>
        </w:rPr>
        <w:t> </w:t>
      </w:r>
      <w:r>
        <w:rPr>
          <w:sz w:val="16"/>
        </w:rPr>
        <w:t>rete</w:t>
      </w:r>
      <w:r>
        <w:rPr>
          <w:spacing w:val="-5"/>
          <w:sz w:val="16"/>
        </w:rPr>
        <w:t> </w:t>
      </w:r>
      <w:r>
        <w:rPr>
          <w:sz w:val="16"/>
        </w:rPr>
        <w:t>stradale</w:t>
      </w:r>
      <w:r>
        <w:rPr>
          <w:spacing w:val="-5"/>
          <w:sz w:val="16"/>
        </w:rPr>
        <w:t> </w:t>
      </w:r>
      <w:r>
        <w:rPr>
          <w:sz w:val="16"/>
        </w:rPr>
        <w:t>quali</w:t>
      </w:r>
      <w:r>
        <w:rPr>
          <w:spacing w:val="-5"/>
          <w:sz w:val="16"/>
        </w:rPr>
        <w:t> </w:t>
      </w:r>
      <w:r>
        <w:rPr>
          <w:sz w:val="16"/>
        </w:rPr>
        <w:t>viadotti,</w:t>
      </w:r>
      <w:r>
        <w:rPr>
          <w:spacing w:val="-5"/>
          <w:sz w:val="16"/>
        </w:rPr>
        <w:t> </w:t>
      </w:r>
      <w:r>
        <w:rPr>
          <w:sz w:val="16"/>
        </w:rPr>
        <w:t>ponti</w:t>
      </w:r>
      <w:r>
        <w:rPr>
          <w:spacing w:val="-8"/>
          <w:sz w:val="16"/>
        </w:rPr>
        <w:t> </w:t>
      </w:r>
      <w:r>
        <w:rPr>
          <w:sz w:val="16"/>
        </w:rPr>
        <w:t>e</w:t>
      </w:r>
      <w:r>
        <w:rPr>
          <w:spacing w:val="-5"/>
          <w:sz w:val="16"/>
        </w:rPr>
        <w:t> </w:t>
      </w:r>
      <w:r>
        <w:rPr>
          <w:sz w:val="16"/>
        </w:rPr>
        <w:t>gallerie</w:t>
      </w:r>
      <w:r>
        <w:rPr>
          <w:spacing w:val="-5"/>
          <w:sz w:val="16"/>
        </w:rPr>
        <w:t> </w:t>
      </w:r>
      <w:r>
        <w:rPr>
          <w:sz w:val="16"/>
        </w:rPr>
        <w:t>La</w:t>
      </w:r>
      <w:r>
        <w:rPr>
          <w:spacing w:val="-6"/>
          <w:sz w:val="16"/>
        </w:rPr>
        <w:t> </w:t>
      </w:r>
      <w:r>
        <w:rPr>
          <w:sz w:val="16"/>
        </w:rPr>
        <w:t>Commissione</w:t>
      </w:r>
      <w:r>
        <w:rPr>
          <w:spacing w:val="-5"/>
          <w:sz w:val="16"/>
        </w:rPr>
        <w:t> </w:t>
      </w:r>
      <w:r>
        <w:rPr>
          <w:sz w:val="16"/>
        </w:rPr>
        <w:t>aveva</w:t>
      </w:r>
      <w:r>
        <w:rPr>
          <w:spacing w:val="-6"/>
          <w:sz w:val="16"/>
        </w:rPr>
        <w:t> </w:t>
      </w:r>
      <w:r>
        <w:rPr>
          <w:sz w:val="16"/>
        </w:rPr>
        <w:t>preso</w:t>
      </w:r>
      <w:r>
        <w:rPr>
          <w:spacing w:val="-5"/>
          <w:sz w:val="16"/>
        </w:rPr>
        <w:t> </w:t>
      </w:r>
      <w:r>
        <w:rPr>
          <w:sz w:val="16"/>
        </w:rPr>
        <w:t>atto</w:t>
      </w:r>
      <w:r>
        <w:rPr>
          <w:spacing w:val="-6"/>
          <w:sz w:val="16"/>
        </w:rPr>
        <w:t> </w:t>
      </w:r>
      <w:r>
        <w:rPr>
          <w:sz w:val="16"/>
        </w:rPr>
        <w:t>della</w:t>
      </w:r>
      <w:r>
        <w:rPr>
          <w:spacing w:val="-6"/>
          <w:sz w:val="16"/>
        </w:rPr>
        <w:t> </w:t>
      </w:r>
      <w:r>
        <w:rPr>
          <w:sz w:val="16"/>
        </w:rPr>
        <w:t>richiesta dimostrandosi aperta ad accoglierla ed era stata concordata ex ante una flessibilità pari allo 0,18 per cento del PIL.</w:t>
      </w:r>
      <w:r>
        <w:rPr>
          <w:spacing w:val="-5"/>
          <w:sz w:val="16"/>
        </w:rPr>
        <w:t> </w:t>
      </w:r>
      <w:r>
        <w:rPr>
          <w:sz w:val="16"/>
        </w:rPr>
        <w:t>Si</w:t>
      </w:r>
      <w:r>
        <w:rPr>
          <w:spacing w:val="-5"/>
          <w:sz w:val="16"/>
        </w:rPr>
        <w:t> </w:t>
      </w:r>
      <w:r>
        <w:rPr>
          <w:sz w:val="16"/>
        </w:rPr>
        <w:t>veda</w:t>
      </w:r>
      <w:r>
        <w:rPr>
          <w:spacing w:val="-6"/>
          <w:sz w:val="16"/>
        </w:rPr>
        <w:t> </w:t>
      </w:r>
      <w:r>
        <w:rPr>
          <w:sz w:val="16"/>
        </w:rPr>
        <w:t>l’allegato</w:t>
      </w:r>
      <w:r>
        <w:rPr>
          <w:spacing w:val="-7"/>
          <w:sz w:val="16"/>
        </w:rPr>
        <w:t> </w:t>
      </w:r>
      <w:r>
        <w:rPr>
          <w:sz w:val="16"/>
        </w:rPr>
        <w:t>n.4</w:t>
      </w:r>
      <w:r>
        <w:rPr>
          <w:spacing w:val="-5"/>
          <w:sz w:val="16"/>
        </w:rPr>
        <w:t> </w:t>
      </w:r>
      <w:r>
        <w:rPr>
          <w:sz w:val="16"/>
        </w:rPr>
        <w:t>della</w:t>
      </w:r>
      <w:r>
        <w:rPr>
          <w:spacing w:val="-6"/>
          <w:sz w:val="16"/>
        </w:rPr>
        <w:t> </w:t>
      </w:r>
      <w:r>
        <w:rPr>
          <w:sz w:val="16"/>
        </w:rPr>
        <w:t>lettera</w:t>
      </w:r>
      <w:r>
        <w:rPr>
          <w:spacing w:val="-5"/>
          <w:sz w:val="16"/>
        </w:rPr>
        <w:t> </w:t>
      </w:r>
      <w:r>
        <w:rPr>
          <w:sz w:val="16"/>
        </w:rPr>
        <w:t>inviata</w:t>
      </w:r>
      <w:r>
        <w:rPr>
          <w:spacing w:val="-6"/>
          <w:sz w:val="16"/>
        </w:rPr>
        <w:t> </w:t>
      </w:r>
      <w:r>
        <w:rPr>
          <w:sz w:val="16"/>
        </w:rPr>
        <w:t>il</w:t>
      </w:r>
      <w:r>
        <w:rPr>
          <w:spacing w:val="-6"/>
          <w:sz w:val="16"/>
        </w:rPr>
        <w:t> </w:t>
      </w:r>
      <w:r>
        <w:rPr>
          <w:sz w:val="16"/>
        </w:rPr>
        <w:t>18</w:t>
      </w:r>
      <w:r>
        <w:rPr>
          <w:spacing w:val="-5"/>
          <w:sz w:val="16"/>
        </w:rPr>
        <w:t> </w:t>
      </w:r>
      <w:r>
        <w:rPr>
          <w:sz w:val="16"/>
        </w:rPr>
        <w:t>dicembre</w:t>
      </w:r>
      <w:r>
        <w:rPr>
          <w:spacing w:val="-5"/>
          <w:sz w:val="16"/>
        </w:rPr>
        <w:t> </w:t>
      </w:r>
      <w:r>
        <w:rPr>
          <w:sz w:val="16"/>
        </w:rPr>
        <w:t>2018</w:t>
      </w:r>
      <w:r>
        <w:rPr>
          <w:spacing w:val="-7"/>
          <w:sz w:val="16"/>
        </w:rPr>
        <w:t> </w:t>
      </w:r>
      <w:r>
        <w:rPr>
          <w:sz w:val="16"/>
        </w:rPr>
        <w:t>dal</w:t>
      </w:r>
      <w:r>
        <w:rPr>
          <w:spacing w:val="-5"/>
          <w:sz w:val="16"/>
        </w:rPr>
        <w:t> </w:t>
      </w:r>
      <w:r>
        <w:rPr>
          <w:sz w:val="16"/>
        </w:rPr>
        <w:t>Governo</w:t>
      </w:r>
      <w:r>
        <w:rPr>
          <w:spacing w:val="-7"/>
          <w:sz w:val="16"/>
        </w:rPr>
        <w:t> </w:t>
      </w:r>
      <w:r>
        <w:rPr>
          <w:sz w:val="16"/>
        </w:rPr>
        <w:t>Italiano</w:t>
      </w:r>
      <w:r>
        <w:rPr>
          <w:spacing w:val="-5"/>
          <w:sz w:val="16"/>
        </w:rPr>
        <w:t> </w:t>
      </w:r>
      <w:r>
        <w:rPr>
          <w:sz w:val="16"/>
        </w:rPr>
        <w:t>alla</w:t>
      </w:r>
      <w:r>
        <w:rPr>
          <w:spacing w:val="-6"/>
          <w:sz w:val="16"/>
        </w:rPr>
        <w:t> </w:t>
      </w:r>
      <w:r>
        <w:rPr>
          <w:sz w:val="16"/>
        </w:rPr>
        <w:t>Commissione</w:t>
      </w:r>
      <w:r>
        <w:rPr>
          <w:spacing w:val="-7"/>
          <w:sz w:val="16"/>
        </w:rPr>
        <w:t> </w:t>
      </w:r>
      <w:r>
        <w:rPr>
          <w:sz w:val="16"/>
        </w:rPr>
        <w:t>Europea: Scheda  che  illustra  la  richiesta  di  flessibilità: </w:t>
      </w:r>
      <w:r>
        <w:rPr>
          <w:spacing w:val="2"/>
          <w:sz w:val="16"/>
        </w:rPr>
        <w:t> </w:t>
      </w:r>
      <w:hyperlink r:id="rId57">
        <w:r>
          <w:rPr>
            <w:color w:val="006247"/>
            <w:sz w:val="16"/>
            <w:u w:val="single" w:color="006247"/>
          </w:rPr>
          <w:t>http://www.mef.gov.it/documenti-allegati/2018/Allegato_4_-</w:t>
        </w:r>
      </w:hyperlink>
    </w:p>
    <w:p>
      <w:pPr>
        <w:spacing w:line="184" w:lineRule="exact" w:before="0"/>
        <w:ind w:left="1128" w:right="0" w:firstLine="0"/>
        <w:jc w:val="left"/>
        <w:rPr>
          <w:sz w:val="16"/>
        </w:rPr>
      </w:pPr>
      <w:hyperlink r:id="rId57">
        <w:r>
          <w:rPr>
            <w:color w:val="006247"/>
            <w:sz w:val="16"/>
            <w:u w:val="single" w:color="006247"/>
          </w:rPr>
          <w:t>_richiesta_di_flessibilitx.pdf</w:t>
        </w:r>
      </w:hyperlink>
      <w:r>
        <w:rPr>
          <w:sz w:val="16"/>
        </w:rPr>
        <w:t>.</w:t>
      </w:r>
    </w:p>
    <w:p>
      <w:pPr>
        <w:spacing w:line="240" w:lineRule="auto" w:before="0"/>
        <w:ind w:left="1128" w:right="1412" w:firstLine="453"/>
        <w:jc w:val="both"/>
        <w:rPr>
          <w:sz w:val="16"/>
        </w:rPr>
      </w:pPr>
      <w:r>
        <w:rPr>
          <w:position w:val="6"/>
          <w:sz w:val="10"/>
        </w:rPr>
        <w:t>30 </w:t>
      </w:r>
      <w:r>
        <w:rPr>
          <w:sz w:val="16"/>
        </w:rPr>
        <w:t>Il Governo Italiano stima per il 2019: 1) un output gap negativo e inferiore a -1,5 punti percentuali di PIL, segnalando all’interno della matrice una condizione di “bad times”; 2) un tasso di crescita effettivo inferiore a quello potenziale. Come risultato delle due condizioni la matrice che quantifica gli aggiustamenti fiscali richiesti in funzione delle condizioni cicliche dell’economia e del livello di debito pubblico indica un requisito annuale di convergenza verso l’OMT di 0,25 punti percentuali di PIL, che scende a 0,075 una volta che vengono applicate le clausole di flessibilità concesse per il 2019. Il miglioramento del saldo strutturale di 0,3 punti percentuali renderebbe l’Italia pienamente compliant in base al criterio annuale. Per quanto riguarda il criterio biennale (valutazione combinata sul 2018 e 2019), si renderebbe necessario un miglioramento medio sul biennio di circa 0,19</w:t>
      </w:r>
      <w:r>
        <w:rPr>
          <w:spacing w:val="-8"/>
          <w:sz w:val="16"/>
        </w:rPr>
        <w:t> </w:t>
      </w:r>
      <w:r>
        <w:rPr>
          <w:sz w:val="16"/>
        </w:rPr>
        <w:t>punti</w:t>
      </w:r>
      <w:r>
        <w:rPr>
          <w:spacing w:val="-10"/>
          <w:sz w:val="16"/>
        </w:rPr>
        <w:t> </w:t>
      </w:r>
      <w:r>
        <w:rPr>
          <w:sz w:val="16"/>
        </w:rPr>
        <w:t>percentuali</w:t>
      </w:r>
      <w:r>
        <w:rPr>
          <w:spacing w:val="-8"/>
          <w:sz w:val="16"/>
        </w:rPr>
        <w:t> </w:t>
      </w:r>
      <w:r>
        <w:rPr>
          <w:sz w:val="16"/>
        </w:rPr>
        <w:t>di</w:t>
      </w:r>
      <w:r>
        <w:rPr>
          <w:spacing w:val="-8"/>
          <w:sz w:val="16"/>
        </w:rPr>
        <w:t> </w:t>
      </w:r>
      <w:r>
        <w:rPr>
          <w:sz w:val="16"/>
        </w:rPr>
        <w:t>PIL.</w:t>
      </w:r>
      <w:r>
        <w:rPr>
          <w:spacing w:val="-7"/>
          <w:sz w:val="16"/>
        </w:rPr>
        <w:t> </w:t>
      </w:r>
      <w:r>
        <w:rPr>
          <w:sz w:val="16"/>
        </w:rPr>
        <w:t>A</w:t>
      </w:r>
      <w:r>
        <w:rPr>
          <w:spacing w:val="-6"/>
          <w:sz w:val="16"/>
        </w:rPr>
        <w:t> </w:t>
      </w:r>
      <w:r>
        <w:rPr>
          <w:sz w:val="16"/>
        </w:rPr>
        <w:t>fronte</w:t>
      </w:r>
      <w:r>
        <w:rPr>
          <w:spacing w:val="-7"/>
          <w:sz w:val="16"/>
        </w:rPr>
        <w:t> </w:t>
      </w:r>
      <w:r>
        <w:rPr>
          <w:sz w:val="16"/>
        </w:rPr>
        <w:t>di</w:t>
      </w:r>
      <w:r>
        <w:rPr>
          <w:spacing w:val="-10"/>
          <w:sz w:val="16"/>
        </w:rPr>
        <w:t> </w:t>
      </w:r>
      <w:r>
        <w:rPr>
          <w:sz w:val="16"/>
        </w:rPr>
        <w:t>una</w:t>
      </w:r>
      <w:r>
        <w:rPr>
          <w:spacing w:val="-10"/>
          <w:sz w:val="16"/>
        </w:rPr>
        <w:t> </w:t>
      </w:r>
      <w:r>
        <w:rPr>
          <w:sz w:val="16"/>
        </w:rPr>
        <w:t>variazione</w:t>
      </w:r>
      <w:r>
        <w:rPr>
          <w:spacing w:val="-7"/>
          <w:sz w:val="16"/>
        </w:rPr>
        <w:t> </w:t>
      </w:r>
      <w:r>
        <w:rPr>
          <w:sz w:val="16"/>
        </w:rPr>
        <w:t>media</w:t>
      </w:r>
      <w:r>
        <w:rPr>
          <w:spacing w:val="-11"/>
          <w:sz w:val="16"/>
        </w:rPr>
        <w:t> </w:t>
      </w:r>
      <w:r>
        <w:rPr>
          <w:sz w:val="16"/>
        </w:rPr>
        <w:t>(2018-2019)</w:t>
      </w:r>
      <w:r>
        <w:rPr>
          <w:spacing w:val="-7"/>
          <w:sz w:val="16"/>
        </w:rPr>
        <w:t> </w:t>
      </w:r>
      <w:r>
        <w:rPr>
          <w:sz w:val="16"/>
        </w:rPr>
        <w:t>dello</w:t>
      </w:r>
      <w:r>
        <w:rPr>
          <w:spacing w:val="-7"/>
          <w:sz w:val="16"/>
        </w:rPr>
        <w:t> </w:t>
      </w:r>
      <w:r>
        <w:rPr>
          <w:sz w:val="16"/>
        </w:rPr>
        <w:t>saldo</w:t>
      </w:r>
      <w:r>
        <w:rPr>
          <w:spacing w:val="-10"/>
          <w:sz w:val="16"/>
        </w:rPr>
        <w:t> </w:t>
      </w:r>
      <w:r>
        <w:rPr>
          <w:sz w:val="16"/>
        </w:rPr>
        <w:t>strutturale</w:t>
      </w:r>
      <w:r>
        <w:rPr>
          <w:spacing w:val="-8"/>
          <w:sz w:val="16"/>
        </w:rPr>
        <w:t> </w:t>
      </w:r>
      <w:r>
        <w:rPr>
          <w:sz w:val="16"/>
        </w:rPr>
        <w:t>pari</w:t>
      </w:r>
      <w:r>
        <w:rPr>
          <w:spacing w:val="-8"/>
          <w:sz w:val="16"/>
        </w:rPr>
        <w:t> </w:t>
      </w:r>
      <w:r>
        <w:rPr>
          <w:sz w:val="16"/>
        </w:rPr>
        <w:t>0,11,</w:t>
      </w:r>
      <w:r>
        <w:rPr>
          <w:spacing w:val="-9"/>
          <w:sz w:val="16"/>
        </w:rPr>
        <w:t> </w:t>
      </w:r>
      <w:r>
        <w:rPr>
          <w:sz w:val="16"/>
        </w:rPr>
        <w:t>l’Italia risulterebbe in deviazione non significativa sul criterio</w:t>
      </w:r>
      <w:r>
        <w:rPr>
          <w:spacing w:val="-5"/>
          <w:sz w:val="16"/>
        </w:rPr>
        <w:t> </w:t>
      </w:r>
      <w:r>
        <w:rPr>
          <w:sz w:val="16"/>
        </w:rPr>
        <w:t>biennale.</w:t>
      </w:r>
    </w:p>
    <w:p>
      <w:pPr>
        <w:spacing w:before="0"/>
        <w:ind w:left="1128" w:right="1412" w:firstLine="453"/>
        <w:jc w:val="both"/>
        <w:rPr>
          <w:sz w:val="16"/>
        </w:rPr>
      </w:pPr>
      <w:r>
        <w:rPr>
          <w:sz w:val="16"/>
        </w:rPr>
        <w:t>Si rileva, infine, che qualora per il 2019 la crescita del PIL risultasse inferiore a 0, non sarebbe necessario alcun aggiustamento strutturale per lo stesso anno. Un tale evento è al momento improbabile e non fa parte delle previsioni del Governo né di quelle di consenso, ma tecnicamente non può essere escluso.</w:t>
      </w:r>
    </w:p>
    <w:p>
      <w:pPr>
        <w:spacing w:after="0"/>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278" w:right="2260"/>
        <w:jc w:val="both"/>
      </w:pPr>
      <w:r>
        <w:rPr/>
        <w:t>del</w:t>
      </w:r>
      <w:r>
        <w:rPr>
          <w:spacing w:val="-20"/>
        </w:rPr>
        <w:t> </w:t>
      </w:r>
      <w:r>
        <w:rPr/>
        <w:t>ciclo</w:t>
      </w:r>
      <w:r>
        <w:rPr>
          <w:spacing w:val="-20"/>
        </w:rPr>
        <w:t> </w:t>
      </w:r>
      <w:r>
        <w:rPr/>
        <w:t>internazionale,</w:t>
      </w:r>
      <w:r>
        <w:rPr>
          <w:spacing w:val="-21"/>
        </w:rPr>
        <w:t> </w:t>
      </w:r>
      <w:r>
        <w:rPr/>
        <w:t>sarebbe</w:t>
      </w:r>
      <w:r>
        <w:rPr>
          <w:spacing w:val="-20"/>
        </w:rPr>
        <w:t> </w:t>
      </w:r>
      <w:r>
        <w:rPr/>
        <w:t>inopportuno</w:t>
      </w:r>
      <w:r>
        <w:rPr>
          <w:spacing w:val="-20"/>
        </w:rPr>
        <w:t> </w:t>
      </w:r>
      <w:r>
        <w:rPr/>
        <w:t>dare</w:t>
      </w:r>
      <w:r>
        <w:rPr>
          <w:spacing w:val="-20"/>
        </w:rPr>
        <w:t> </w:t>
      </w:r>
      <w:r>
        <w:rPr/>
        <w:t>luogo</w:t>
      </w:r>
      <w:r>
        <w:rPr>
          <w:spacing w:val="-21"/>
        </w:rPr>
        <w:t> </w:t>
      </w:r>
      <w:r>
        <w:rPr/>
        <w:t>ad</w:t>
      </w:r>
      <w:r>
        <w:rPr>
          <w:spacing w:val="-20"/>
        </w:rPr>
        <w:t> </w:t>
      </w:r>
      <w:r>
        <w:rPr/>
        <w:t>eccessive</w:t>
      </w:r>
      <w:r>
        <w:rPr>
          <w:spacing w:val="-20"/>
        </w:rPr>
        <w:t> </w:t>
      </w:r>
      <w:r>
        <w:rPr/>
        <w:t>strette</w:t>
      </w:r>
      <w:r>
        <w:rPr>
          <w:spacing w:val="-19"/>
        </w:rPr>
        <w:t> </w:t>
      </w:r>
      <w:r>
        <w:rPr/>
        <w:t>fiscali. Pertanto,</w:t>
      </w:r>
      <w:r>
        <w:rPr>
          <w:spacing w:val="-9"/>
        </w:rPr>
        <w:t> </w:t>
      </w:r>
      <w:r>
        <w:rPr/>
        <w:t>misure</w:t>
      </w:r>
      <w:r>
        <w:rPr>
          <w:spacing w:val="-10"/>
        </w:rPr>
        <w:t> </w:t>
      </w:r>
      <w:r>
        <w:rPr/>
        <w:t>di</w:t>
      </w:r>
      <w:r>
        <w:rPr>
          <w:spacing w:val="-11"/>
        </w:rPr>
        <w:t> </w:t>
      </w:r>
      <w:r>
        <w:rPr/>
        <w:t>portata</w:t>
      </w:r>
      <w:r>
        <w:rPr>
          <w:spacing w:val="-9"/>
        </w:rPr>
        <w:t> </w:t>
      </w:r>
      <w:r>
        <w:rPr/>
        <w:t>maggiore</w:t>
      </w:r>
      <w:r>
        <w:rPr>
          <w:spacing w:val="-9"/>
        </w:rPr>
        <w:t> </w:t>
      </w:r>
      <w:r>
        <w:rPr/>
        <w:t>a</w:t>
      </w:r>
      <w:r>
        <w:rPr>
          <w:spacing w:val="-10"/>
        </w:rPr>
        <w:t> </w:t>
      </w:r>
      <w:r>
        <w:rPr/>
        <w:t>quelle</w:t>
      </w:r>
      <w:r>
        <w:rPr>
          <w:spacing w:val="-9"/>
        </w:rPr>
        <w:t> </w:t>
      </w:r>
      <w:r>
        <w:rPr/>
        <w:t>necessarie</w:t>
      </w:r>
      <w:r>
        <w:rPr>
          <w:spacing w:val="-10"/>
        </w:rPr>
        <w:t> </w:t>
      </w:r>
      <w:r>
        <w:rPr/>
        <w:t>per</w:t>
      </w:r>
      <w:r>
        <w:rPr>
          <w:spacing w:val="-12"/>
        </w:rPr>
        <w:t> </w:t>
      </w:r>
      <w:r>
        <w:rPr/>
        <w:t>compensare</w:t>
      </w:r>
      <w:r>
        <w:rPr>
          <w:spacing w:val="-8"/>
        </w:rPr>
        <w:t> </w:t>
      </w:r>
      <w:r>
        <w:rPr/>
        <w:t>gli</w:t>
      </w:r>
      <w:r>
        <w:rPr>
          <w:spacing w:val="-10"/>
        </w:rPr>
        <w:t> </w:t>
      </w:r>
      <w:r>
        <w:rPr/>
        <w:t>effetti sul bilancio della disattivazione delle clausole IVA sarebbero controproducenti. Il lieve peggioramento del saldo di bilancio strutturale Italiano si pone nell’ottica di una </w:t>
      </w:r>
      <w:r>
        <w:rPr>
          <w:i/>
        </w:rPr>
        <w:t>stance </w:t>
      </w:r>
      <w:r>
        <w:rPr/>
        <w:t>fiscale complessiva per l’area dell’euro maggiormente a supporto della crescita; quest’approccio comporterebbe interventi di stimolo all’economia da parte di quei paesi che dispongono di maggiori spazi</w:t>
      </w:r>
      <w:r>
        <w:rPr>
          <w:spacing w:val="-7"/>
        </w:rPr>
        <w:t> </w:t>
      </w:r>
      <w:r>
        <w:rPr/>
        <w:t>fiscali.</w:t>
      </w:r>
    </w:p>
    <w:p>
      <w:pPr>
        <w:pStyle w:val="BodyText"/>
        <w:spacing w:line="252" w:lineRule="auto"/>
        <w:ind w:left="278" w:right="2261" w:firstLine="453"/>
        <w:jc w:val="both"/>
      </w:pPr>
      <w:r>
        <w:rPr/>
        <w:t>In termini di </w:t>
      </w:r>
      <w:r>
        <w:rPr>
          <w:i/>
        </w:rPr>
        <w:t>compliance </w:t>
      </w:r>
      <w:r>
        <w:rPr/>
        <w:t>con il braccio preventivo del Patto di Stabilità e Crescita, si segnala che – tenendo conto della richiesta di flessibilità per 0,2 punti percentuali di PIL nel 2020 che sarà presentata alla Commissione Europea nell’imminente </w:t>
      </w:r>
      <w:r>
        <w:rPr>
          <w:i/>
        </w:rPr>
        <w:t>Draft Budgetary Plan </w:t>
      </w:r>
      <w:r>
        <w:rPr/>
        <w:t>– secondo le proiezioni del Governo Italiano non si registrano deviazioni significative dal sentiero di convergenza all' OMT</w:t>
      </w:r>
      <w:r>
        <w:rPr>
          <w:vertAlign w:val="superscript"/>
        </w:rPr>
        <w:t>31</w:t>
      </w:r>
      <w:r>
        <w:rPr>
          <w:vertAlign w:val="baseline"/>
        </w:rPr>
        <w:t>.</w:t>
      </w:r>
    </w:p>
    <w:p>
      <w:pPr>
        <w:pStyle w:val="BodyText"/>
        <w:spacing w:line="252" w:lineRule="auto"/>
        <w:ind w:left="278" w:right="2260" w:firstLine="453"/>
        <w:jc w:val="both"/>
      </w:pPr>
      <w:r>
        <w:rPr/>
        <w:t>Per</w:t>
      </w:r>
      <w:r>
        <w:rPr>
          <w:spacing w:val="-9"/>
        </w:rPr>
        <w:t> </w:t>
      </w:r>
      <w:r>
        <w:rPr/>
        <w:t>il</w:t>
      </w:r>
      <w:r>
        <w:rPr>
          <w:spacing w:val="-10"/>
        </w:rPr>
        <w:t> </w:t>
      </w:r>
      <w:r>
        <w:rPr/>
        <w:t>biennio</w:t>
      </w:r>
      <w:r>
        <w:rPr>
          <w:spacing w:val="-9"/>
        </w:rPr>
        <w:t> </w:t>
      </w:r>
      <w:r>
        <w:rPr/>
        <w:t>2021-2022</w:t>
      </w:r>
      <w:r>
        <w:rPr>
          <w:spacing w:val="-8"/>
        </w:rPr>
        <w:t> </w:t>
      </w:r>
      <w:r>
        <w:rPr/>
        <w:t>le</w:t>
      </w:r>
      <w:r>
        <w:rPr>
          <w:spacing w:val="-9"/>
        </w:rPr>
        <w:t> </w:t>
      </w:r>
      <w:r>
        <w:rPr/>
        <w:t>variazioni</w:t>
      </w:r>
      <w:r>
        <w:rPr>
          <w:spacing w:val="-9"/>
        </w:rPr>
        <w:t> </w:t>
      </w:r>
      <w:r>
        <w:rPr/>
        <w:t>dei</w:t>
      </w:r>
      <w:r>
        <w:rPr>
          <w:spacing w:val="-9"/>
        </w:rPr>
        <w:t> </w:t>
      </w:r>
      <w:r>
        <w:rPr/>
        <w:t>saldi</w:t>
      </w:r>
      <w:r>
        <w:rPr>
          <w:spacing w:val="-8"/>
        </w:rPr>
        <w:t> </w:t>
      </w:r>
      <w:r>
        <w:rPr/>
        <w:t>strutturali</w:t>
      </w:r>
      <w:r>
        <w:rPr>
          <w:spacing w:val="-10"/>
        </w:rPr>
        <w:t> </w:t>
      </w:r>
      <w:r>
        <w:rPr/>
        <w:t>segnano</w:t>
      </w:r>
      <w:r>
        <w:rPr>
          <w:spacing w:val="-10"/>
        </w:rPr>
        <w:t> </w:t>
      </w:r>
      <w:r>
        <w:rPr/>
        <w:t>la</w:t>
      </w:r>
      <w:r>
        <w:rPr>
          <w:spacing w:val="-9"/>
        </w:rPr>
        <w:t> </w:t>
      </w:r>
      <w:r>
        <w:rPr/>
        <w:t>ripresa</w:t>
      </w:r>
      <w:r>
        <w:rPr>
          <w:spacing w:val="-9"/>
        </w:rPr>
        <w:t> </w:t>
      </w:r>
      <w:r>
        <w:rPr/>
        <w:t>del processo di consolidamento dei conti pubblici. Come premesso, il deciso miglioramento del bilancio in termini nominali non è pienamente riflesso da miglioramenti strutturali poiché le stime di variazioni del prodotto potenziale risultano particolarmente punitive in termini di correzione per il</w:t>
      </w:r>
      <w:r>
        <w:rPr>
          <w:spacing w:val="-17"/>
        </w:rPr>
        <w:t> </w:t>
      </w:r>
      <w:r>
        <w:rPr/>
        <w:t>ciclo</w:t>
      </w:r>
      <w:r>
        <w:rPr>
          <w:vertAlign w:val="superscript"/>
        </w:rPr>
        <w:t>32</w:t>
      </w:r>
      <w:r>
        <w:rPr>
          <w:vertAlign w:val="baseline"/>
        </w:rPr>
        <w:t>.</w:t>
      </w:r>
    </w:p>
    <w:p>
      <w:pPr>
        <w:pStyle w:val="BodyText"/>
        <w:spacing w:line="252" w:lineRule="auto" w:before="1"/>
        <w:ind w:left="278" w:right="2260" w:firstLine="453"/>
        <w:jc w:val="both"/>
      </w:pPr>
      <w:r>
        <w:rPr/>
        <w:pict>
          <v:line style="position:absolute;mso-position-horizontal-relative:page;mso-position-vertical-relative:paragraph;z-index:251819008" from="71.664001pt,107.814621pt" to="71.664001pt,185.838621pt" stroked="true" strokeweight="1.44pt" strokecolor="#086d44">
            <v:stroke dashstyle="solid"/>
            <w10:wrap type="none"/>
          </v:line>
        </w:pict>
      </w:r>
      <w:r>
        <w:rPr/>
        <w:pict>
          <v:shape style="position:absolute;margin-left:71.305954pt;margin-top:109.406761pt;width:15.65pt;height:39.550pt;mso-position-horizontal-relative:page;mso-position-vertical-relative:paragraph;z-index:251820032" type="#_x0000_t202" filled="false" stroked="false">
            <v:textbox inset="0,0,0,0" style="layout-flow:vertical;mso-layout-flow-alt:bottom-to-top">
              <w:txbxContent>
                <w:p>
                  <w:pPr>
                    <w:spacing w:before="20"/>
                    <w:ind w:left="20" w:right="0" w:firstLine="0"/>
                    <w:jc w:val="left"/>
                    <w:rPr>
                      <w:rFonts w:ascii="Franklin Gothic Heavy"/>
                      <w:b/>
                      <w:sz w:val="24"/>
                    </w:rPr>
                  </w:pPr>
                  <w:r>
                    <w:rPr>
                      <w:rFonts w:ascii="Franklin Gothic Heavy"/>
                      <w:b/>
                      <w:color w:val="006247"/>
                      <w:sz w:val="24"/>
                    </w:rPr>
                    <w:t>FOCUS</w:t>
                  </w:r>
                </w:p>
              </w:txbxContent>
            </v:textbox>
            <w10:wrap type="none"/>
          </v:shape>
        </w:pict>
      </w:r>
      <w:r>
        <w:rPr/>
        <w:t>Si rileva infine che la valutazione circa il rispetto delle regole di bilancio da parte</w:t>
      </w:r>
      <w:r>
        <w:rPr>
          <w:spacing w:val="-15"/>
        </w:rPr>
        <w:t> </w:t>
      </w:r>
      <w:r>
        <w:rPr/>
        <w:t>della</w:t>
      </w:r>
      <w:r>
        <w:rPr>
          <w:spacing w:val="-15"/>
        </w:rPr>
        <w:t> </w:t>
      </w:r>
      <w:r>
        <w:rPr/>
        <w:t>Commissione</w:t>
      </w:r>
      <w:r>
        <w:rPr>
          <w:spacing w:val="-13"/>
        </w:rPr>
        <w:t> </w:t>
      </w:r>
      <w:r>
        <w:rPr/>
        <w:t>potrebbe</w:t>
      </w:r>
      <w:r>
        <w:rPr>
          <w:spacing w:val="-14"/>
        </w:rPr>
        <w:t> </w:t>
      </w:r>
      <w:r>
        <w:rPr/>
        <w:t>non</w:t>
      </w:r>
      <w:r>
        <w:rPr>
          <w:spacing w:val="-15"/>
        </w:rPr>
        <w:t> </w:t>
      </w:r>
      <w:r>
        <w:rPr/>
        <w:t>coincidere</w:t>
      </w:r>
      <w:r>
        <w:rPr>
          <w:spacing w:val="-17"/>
        </w:rPr>
        <w:t> </w:t>
      </w:r>
      <w:r>
        <w:rPr/>
        <w:t>con</w:t>
      </w:r>
      <w:r>
        <w:rPr>
          <w:spacing w:val="-14"/>
        </w:rPr>
        <w:t> </w:t>
      </w:r>
      <w:r>
        <w:rPr/>
        <w:t>quella</w:t>
      </w:r>
      <w:r>
        <w:rPr>
          <w:spacing w:val="-15"/>
        </w:rPr>
        <w:t> </w:t>
      </w:r>
      <w:r>
        <w:rPr/>
        <w:t>effettuata</w:t>
      </w:r>
      <w:r>
        <w:rPr>
          <w:spacing w:val="-15"/>
        </w:rPr>
        <w:t> </w:t>
      </w:r>
      <w:r>
        <w:rPr/>
        <w:t>dal</w:t>
      </w:r>
      <w:r>
        <w:rPr>
          <w:spacing w:val="-14"/>
        </w:rPr>
        <w:t> </w:t>
      </w:r>
      <w:r>
        <w:rPr/>
        <w:t>Governo Italiano; ciò anche in ragione di diverse stime di </w:t>
      </w:r>
      <w:r>
        <w:rPr>
          <w:i/>
        </w:rPr>
        <w:t>output gap</w:t>
      </w:r>
      <w:r>
        <w:rPr>
          <w:vertAlign w:val="superscript"/>
        </w:rPr>
        <w:t>33</w:t>
      </w:r>
      <w:r>
        <w:rPr>
          <w:vertAlign w:val="baseline"/>
        </w:rPr>
        <w:t>, caratteristica ricorrente negli ultimi anni</w:t>
      </w:r>
      <w:r>
        <w:rPr>
          <w:vertAlign w:val="superscript"/>
        </w:rPr>
        <w:t>34</w:t>
      </w:r>
      <w:r>
        <w:rPr>
          <w:vertAlign w:val="baseline"/>
        </w:rPr>
        <w:t>. Tali diverse valutazioni, d’altra parte, sono compatibili con l’incertezza nella misurazione di questa variabile, rispecchiata anche dalle differenze nelle metodologie e nei risultati dei diversi organismi internazionali.</w:t>
      </w:r>
    </w:p>
    <w:p>
      <w:pPr>
        <w:pStyle w:val="BodyText"/>
        <w:spacing w:before="10"/>
        <w:rPr>
          <w:sz w:val="21"/>
        </w:rPr>
      </w:pPr>
      <w:r>
        <w:rPr/>
        <w:pict>
          <v:shape style="position:absolute;margin-left:72.384003pt;margin-top:13.917168pt;width:411.2pt;height:78.05pt;mso-position-horizontal-relative:page;mso-position-vertical-relative:paragraph;z-index:-251499520;mso-wrap-distance-left:0;mso-wrap-distance-right:0" type="#_x0000_t202" filled="true" fillcolor="#efefef" stroked="false">
            <v:textbox inset="0,0,0,0">
              <w:txbxContent>
                <w:p>
                  <w:pPr>
                    <w:spacing w:before="41"/>
                    <w:ind w:left="453" w:right="0" w:firstLine="0"/>
                    <w:jc w:val="both"/>
                    <w:rPr>
                      <w:rFonts w:ascii="Franklin Gothic Demi Cond" w:hAnsi="Franklin Gothic Demi Cond"/>
                      <w:b/>
                      <w:sz w:val="22"/>
                    </w:rPr>
                  </w:pPr>
                  <w:r>
                    <w:rPr>
                      <w:rFonts w:ascii="Franklin Gothic Demi Cond" w:hAnsi="Franklin Gothic Demi Cond"/>
                      <w:b/>
                      <w:sz w:val="22"/>
                    </w:rPr>
                    <w:t>La stima del Pil potenziale e dell’</w:t>
                  </w:r>
                  <w:r>
                    <w:rPr>
                      <w:rFonts w:ascii="Franklin Gothic Demi Cond" w:hAnsi="Franklin Gothic Demi Cond"/>
                      <w:b/>
                      <w:i/>
                      <w:sz w:val="23"/>
                    </w:rPr>
                    <w:t>output gap </w:t>
                  </w:r>
                  <w:r>
                    <w:rPr>
                      <w:rFonts w:ascii="Franklin Gothic Demi Cond" w:hAnsi="Franklin Gothic Demi Cond"/>
                      <w:b/>
                      <w:sz w:val="22"/>
                    </w:rPr>
                    <w:t>nelle diverse istituzioni internazionali</w:t>
                  </w:r>
                </w:p>
                <w:p>
                  <w:pPr>
                    <w:spacing w:line="254" w:lineRule="auto" w:before="67"/>
                    <w:ind w:left="453" w:right="4" w:firstLine="0"/>
                    <w:jc w:val="both"/>
                    <w:rPr>
                      <w:rFonts w:ascii="Franklin Gothic Book" w:hAnsi="Franklin Gothic Book"/>
                      <w:sz w:val="20"/>
                    </w:rPr>
                  </w:pPr>
                  <w:r>
                    <w:rPr>
                      <w:rFonts w:ascii="Franklin Gothic Book" w:hAnsi="Franklin Gothic Book"/>
                      <w:sz w:val="20"/>
                    </w:rPr>
                    <w:t>Il prodotto potenziale e l’output gap (OG) rivestono un ruolo fondamentale, nell'ambito della legislazione europea (Six Pack) e di quella italiana che la recepisce (L. n. 243/2012). Infatti la</w:t>
                  </w:r>
                  <w:r>
                    <w:rPr>
                      <w:rFonts w:ascii="Franklin Gothic Book" w:hAnsi="Franklin Gothic Book"/>
                      <w:spacing w:val="-13"/>
                      <w:sz w:val="20"/>
                    </w:rPr>
                    <w:t> </w:t>
                  </w:r>
                  <w:r>
                    <w:rPr>
                      <w:rFonts w:ascii="Franklin Gothic Book" w:hAnsi="Franklin Gothic Book"/>
                      <w:sz w:val="20"/>
                    </w:rPr>
                    <w:t>stima</w:t>
                  </w:r>
                  <w:r>
                    <w:rPr>
                      <w:rFonts w:ascii="Franklin Gothic Book" w:hAnsi="Franklin Gothic Book"/>
                      <w:spacing w:val="-12"/>
                      <w:sz w:val="20"/>
                    </w:rPr>
                    <w:t> </w:t>
                  </w:r>
                  <w:r>
                    <w:rPr>
                      <w:rFonts w:ascii="Franklin Gothic Book" w:hAnsi="Franklin Gothic Book"/>
                      <w:sz w:val="20"/>
                    </w:rPr>
                    <w:t>dell’output</w:t>
                  </w:r>
                  <w:r>
                    <w:rPr>
                      <w:rFonts w:ascii="Franklin Gothic Book" w:hAnsi="Franklin Gothic Book"/>
                      <w:spacing w:val="-12"/>
                      <w:sz w:val="20"/>
                    </w:rPr>
                    <w:t> </w:t>
                  </w:r>
                  <w:r>
                    <w:rPr>
                      <w:rFonts w:ascii="Franklin Gothic Book" w:hAnsi="Franklin Gothic Book"/>
                      <w:sz w:val="20"/>
                    </w:rPr>
                    <w:t>gap</w:t>
                  </w:r>
                  <w:r>
                    <w:rPr>
                      <w:rFonts w:ascii="Franklin Gothic Book" w:hAnsi="Franklin Gothic Book"/>
                      <w:spacing w:val="-13"/>
                      <w:sz w:val="20"/>
                    </w:rPr>
                    <w:t> </w:t>
                  </w:r>
                  <w:r>
                    <w:rPr>
                      <w:rFonts w:ascii="Franklin Gothic Book" w:hAnsi="Franklin Gothic Book"/>
                      <w:sz w:val="20"/>
                    </w:rPr>
                    <w:t>concorre</w:t>
                  </w:r>
                  <w:r>
                    <w:rPr>
                      <w:rFonts w:ascii="Franklin Gothic Book" w:hAnsi="Franklin Gothic Book"/>
                      <w:spacing w:val="-13"/>
                      <w:sz w:val="20"/>
                    </w:rPr>
                    <w:t> </w:t>
                  </w:r>
                  <w:r>
                    <w:rPr>
                      <w:rFonts w:ascii="Franklin Gothic Book" w:hAnsi="Franklin Gothic Book"/>
                      <w:sz w:val="20"/>
                    </w:rPr>
                    <w:t>a</w:t>
                  </w:r>
                  <w:r>
                    <w:rPr>
                      <w:rFonts w:ascii="Franklin Gothic Book" w:hAnsi="Franklin Gothic Book"/>
                      <w:spacing w:val="-11"/>
                      <w:sz w:val="20"/>
                    </w:rPr>
                    <w:t> </w:t>
                  </w:r>
                  <w:r>
                    <w:rPr>
                      <w:rFonts w:ascii="Franklin Gothic Book" w:hAnsi="Franklin Gothic Book"/>
                      <w:sz w:val="20"/>
                    </w:rPr>
                    <w:t>determinare</w:t>
                  </w:r>
                  <w:r>
                    <w:rPr>
                      <w:rFonts w:ascii="Franklin Gothic Book" w:hAnsi="Franklin Gothic Book"/>
                      <w:spacing w:val="-13"/>
                      <w:sz w:val="20"/>
                    </w:rPr>
                    <w:t> </w:t>
                  </w:r>
                  <w:r>
                    <w:rPr>
                      <w:rFonts w:ascii="Franklin Gothic Book" w:hAnsi="Franklin Gothic Book"/>
                      <w:sz w:val="20"/>
                    </w:rPr>
                    <w:t>la</w:t>
                  </w:r>
                  <w:r>
                    <w:rPr>
                      <w:rFonts w:ascii="Franklin Gothic Book" w:hAnsi="Franklin Gothic Book"/>
                      <w:spacing w:val="-13"/>
                      <w:sz w:val="20"/>
                    </w:rPr>
                    <w:t> </w:t>
                  </w:r>
                  <w:r>
                    <w:rPr>
                      <w:rFonts w:ascii="Franklin Gothic Book" w:hAnsi="Franklin Gothic Book"/>
                      <w:sz w:val="20"/>
                    </w:rPr>
                    <w:t>correzione</w:t>
                  </w:r>
                  <w:r>
                    <w:rPr>
                      <w:rFonts w:ascii="Franklin Gothic Book" w:hAnsi="Franklin Gothic Book"/>
                      <w:spacing w:val="-14"/>
                      <w:sz w:val="20"/>
                    </w:rPr>
                    <w:t> </w:t>
                  </w:r>
                  <w:r>
                    <w:rPr>
                      <w:rFonts w:ascii="Franklin Gothic Book" w:hAnsi="Franklin Gothic Book"/>
                      <w:sz w:val="20"/>
                    </w:rPr>
                    <w:t>del</w:t>
                  </w:r>
                  <w:r>
                    <w:rPr>
                      <w:rFonts w:ascii="Franklin Gothic Book" w:hAnsi="Franklin Gothic Book"/>
                      <w:spacing w:val="-13"/>
                      <w:sz w:val="20"/>
                    </w:rPr>
                    <w:t> </w:t>
                  </w:r>
                  <w:r>
                    <w:rPr>
                      <w:rFonts w:ascii="Franklin Gothic Book" w:hAnsi="Franklin Gothic Book"/>
                      <w:sz w:val="20"/>
                    </w:rPr>
                    <w:t>saldo</w:t>
                  </w:r>
                  <w:r>
                    <w:rPr>
                      <w:rFonts w:ascii="Franklin Gothic Book" w:hAnsi="Franklin Gothic Book"/>
                      <w:spacing w:val="-12"/>
                      <w:sz w:val="20"/>
                    </w:rPr>
                    <w:t> </w:t>
                  </w:r>
                  <w:r>
                    <w:rPr>
                      <w:rFonts w:ascii="Franklin Gothic Book" w:hAnsi="Franklin Gothic Book"/>
                      <w:sz w:val="20"/>
                    </w:rPr>
                    <w:t>nominale</w:t>
                  </w:r>
                  <w:r>
                    <w:rPr>
                      <w:rFonts w:ascii="Franklin Gothic Book" w:hAnsi="Franklin Gothic Book"/>
                      <w:spacing w:val="-13"/>
                      <w:sz w:val="20"/>
                    </w:rPr>
                    <w:t> </w:t>
                  </w:r>
                  <w:r>
                    <w:rPr>
                      <w:rFonts w:ascii="Franklin Gothic Book" w:hAnsi="Franklin Gothic Book"/>
                      <w:sz w:val="20"/>
                    </w:rPr>
                    <w:t>per</w:t>
                  </w:r>
                  <w:r>
                    <w:rPr>
                      <w:rFonts w:ascii="Franklin Gothic Book" w:hAnsi="Franklin Gothic Book"/>
                      <w:spacing w:val="-14"/>
                      <w:sz w:val="20"/>
                    </w:rPr>
                    <w:t> </w:t>
                  </w:r>
                  <w:r>
                    <w:rPr>
                      <w:rFonts w:ascii="Franklin Gothic Book" w:hAnsi="Franklin Gothic Book"/>
                      <w:sz w:val="20"/>
                    </w:rPr>
                    <w:t>gli</w:t>
                  </w:r>
                  <w:r>
                    <w:rPr>
                      <w:rFonts w:ascii="Franklin Gothic Book" w:hAnsi="Franklin Gothic Book"/>
                      <w:spacing w:val="-13"/>
                      <w:sz w:val="20"/>
                    </w:rPr>
                    <w:t> </w:t>
                  </w:r>
                  <w:r>
                    <w:rPr>
                      <w:rFonts w:ascii="Franklin Gothic Book" w:hAnsi="Franklin Gothic Book"/>
                      <w:sz w:val="20"/>
                    </w:rPr>
                    <w:t>effetti del ciclo economico, e la sua ampiezza, in ragione di diverse soglie, influenza il percorso di avvicinamento</w:t>
                  </w:r>
                  <w:r>
                    <w:rPr>
                      <w:rFonts w:ascii="Franklin Gothic Book" w:hAnsi="Franklin Gothic Book"/>
                      <w:spacing w:val="9"/>
                      <w:sz w:val="20"/>
                    </w:rPr>
                    <w:t> </w:t>
                  </w:r>
                  <w:r>
                    <w:rPr>
                      <w:rFonts w:ascii="Franklin Gothic Book" w:hAnsi="Franklin Gothic Book"/>
                      <w:sz w:val="20"/>
                    </w:rPr>
                    <w:t>verso</w:t>
                  </w:r>
                  <w:r>
                    <w:rPr>
                      <w:rFonts w:ascii="Franklin Gothic Book" w:hAnsi="Franklin Gothic Book"/>
                      <w:spacing w:val="9"/>
                      <w:sz w:val="20"/>
                    </w:rPr>
                    <w:t> </w:t>
                  </w:r>
                  <w:r>
                    <w:rPr>
                      <w:rFonts w:ascii="Franklin Gothic Book" w:hAnsi="Franklin Gothic Book"/>
                      <w:sz w:val="20"/>
                    </w:rPr>
                    <w:t>l'Obiettivo</w:t>
                  </w:r>
                  <w:r>
                    <w:rPr>
                      <w:rFonts w:ascii="Franklin Gothic Book" w:hAnsi="Franklin Gothic Book"/>
                      <w:spacing w:val="9"/>
                      <w:sz w:val="20"/>
                    </w:rPr>
                    <w:t> </w:t>
                  </w:r>
                  <w:r>
                    <w:rPr>
                      <w:rFonts w:ascii="Franklin Gothic Book" w:hAnsi="Franklin Gothic Book"/>
                      <w:sz w:val="20"/>
                    </w:rPr>
                    <w:t>di</w:t>
                  </w:r>
                  <w:r>
                    <w:rPr>
                      <w:rFonts w:ascii="Franklin Gothic Book" w:hAnsi="Franklin Gothic Book"/>
                      <w:spacing w:val="8"/>
                      <w:sz w:val="20"/>
                    </w:rPr>
                    <w:t> </w:t>
                  </w:r>
                  <w:r>
                    <w:rPr>
                      <w:rFonts w:ascii="Franklin Gothic Book" w:hAnsi="Franklin Gothic Book"/>
                      <w:sz w:val="20"/>
                    </w:rPr>
                    <w:t>Medio</w:t>
                  </w:r>
                  <w:r>
                    <w:rPr>
                      <w:rFonts w:ascii="Franklin Gothic Book" w:hAnsi="Franklin Gothic Book"/>
                      <w:spacing w:val="9"/>
                      <w:sz w:val="20"/>
                    </w:rPr>
                    <w:t> </w:t>
                  </w:r>
                  <w:r>
                    <w:rPr>
                      <w:rFonts w:ascii="Franklin Gothic Book" w:hAnsi="Franklin Gothic Book"/>
                      <w:sz w:val="20"/>
                    </w:rPr>
                    <w:t>Periodo</w:t>
                  </w:r>
                  <w:r>
                    <w:rPr>
                      <w:rFonts w:ascii="Franklin Gothic Book" w:hAnsi="Franklin Gothic Book"/>
                      <w:spacing w:val="10"/>
                      <w:sz w:val="20"/>
                    </w:rPr>
                    <w:t> </w:t>
                  </w:r>
                  <w:r>
                    <w:rPr>
                      <w:rFonts w:ascii="Franklin Gothic Book" w:hAnsi="Franklin Gothic Book"/>
                      <w:sz w:val="20"/>
                    </w:rPr>
                    <w:t>(OMT)</w:t>
                  </w:r>
                  <w:r>
                    <w:rPr>
                      <w:rFonts w:ascii="Franklin Gothic Book" w:hAnsi="Franklin Gothic Book"/>
                      <w:spacing w:val="8"/>
                      <w:sz w:val="20"/>
                    </w:rPr>
                    <w:t> </w:t>
                  </w:r>
                  <w:r>
                    <w:rPr>
                      <w:rFonts w:ascii="Franklin Gothic Book" w:hAnsi="Franklin Gothic Book"/>
                      <w:sz w:val="20"/>
                    </w:rPr>
                    <w:t>dettato</w:t>
                  </w:r>
                  <w:r>
                    <w:rPr>
                      <w:rFonts w:ascii="Franklin Gothic Book" w:hAnsi="Franklin Gothic Book"/>
                      <w:spacing w:val="9"/>
                      <w:sz w:val="20"/>
                    </w:rPr>
                    <w:t> </w:t>
                  </w:r>
                  <w:r>
                    <w:rPr>
                      <w:rFonts w:ascii="Franklin Gothic Book" w:hAnsi="Franklin Gothic Book"/>
                      <w:sz w:val="20"/>
                    </w:rPr>
                    <w:t>dalla</w:t>
                  </w:r>
                  <w:r>
                    <w:rPr>
                      <w:rFonts w:ascii="Franklin Gothic Book" w:hAnsi="Franklin Gothic Book"/>
                      <w:spacing w:val="10"/>
                      <w:sz w:val="20"/>
                    </w:rPr>
                    <w:t> </w:t>
                  </w:r>
                  <w:r>
                    <w:rPr>
                      <w:rFonts w:ascii="Franklin Gothic Book" w:hAnsi="Franklin Gothic Book"/>
                      <w:sz w:val="20"/>
                    </w:rPr>
                    <w:t>matrice</w:t>
                  </w:r>
                  <w:r>
                    <w:rPr>
                      <w:rFonts w:ascii="Franklin Gothic Book" w:hAnsi="Franklin Gothic Book"/>
                      <w:spacing w:val="9"/>
                      <w:sz w:val="20"/>
                    </w:rPr>
                    <w:t> </w:t>
                  </w:r>
                  <w:r>
                    <w:rPr>
                      <w:rFonts w:ascii="Franklin Gothic Book" w:hAnsi="Franklin Gothic Book"/>
                      <w:sz w:val="20"/>
                    </w:rPr>
                    <w:t>di</w:t>
                  </w:r>
                </w:p>
              </w:txbxContent>
            </v:textbox>
            <v:fill type="solid"/>
            <w10:wrap type="topAndBottom"/>
          </v:shape>
        </w:pict>
      </w:r>
    </w:p>
    <w:p>
      <w:pPr>
        <w:pStyle w:val="BodyText"/>
        <w:rPr>
          <w:sz w:val="20"/>
        </w:rPr>
      </w:pPr>
    </w:p>
    <w:p>
      <w:pPr>
        <w:pStyle w:val="BodyText"/>
        <w:rPr>
          <w:sz w:val="20"/>
        </w:rPr>
      </w:pPr>
    </w:p>
    <w:p>
      <w:pPr>
        <w:pStyle w:val="BodyText"/>
        <w:spacing w:before="8"/>
        <w:rPr>
          <w:sz w:val="21"/>
        </w:rPr>
      </w:pPr>
      <w:r>
        <w:rPr/>
        <w:pict>
          <v:group style="position:absolute;margin-left:93.599998pt;margin-top:14.587344pt;width:21.4pt;height:2.15pt;mso-position-horizontal-relative:page;mso-position-vertical-relative:paragraph;z-index:-251498496;mso-wrap-distance-left:0;mso-wrap-distance-right:0" coordorigin="1872,292" coordsize="428,43">
            <v:line style="position:absolute" from="1872,312" to="2299,312" stroked="true" strokeweight="2.050pt" strokecolor="#aaaaaa">
              <v:stroke dashstyle="solid"/>
            </v:line>
            <v:rect style="position:absolute;left:1872;top:293;width:5;height:5" filled="true" fillcolor="#9f9f9f" stroked="false">
              <v:fill type="solid"/>
            </v:rect>
            <v:rect style="position:absolute;left:1872;top:293;width:5;height:5" filled="true" fillcolor="#9f9f9f" stroked="false">
              <v:fill type="solid"/>
            </v:rect>
            <v:line style="position:absolute" from="1877,296" to="2295,296" stroked="true" strokeweight=".23999pt" strokecolor="#9f9f9f">
              <v:stroke dashstyle="solid"/>
            </v:line>
            <v:rect style="position:absolute;left:2294;top:293;width:5;height:5" filled="true" fillcolor="#e2e2e2" stroked="false">
              <v:fill type="solid"/>
            </v:rect>
            <v:rect style="position:absolute;left:2294;top:293;width:5;height:5" filled="true" fillcolor="#9f9f9f" stroked="false">
              <v:fill type="solid"/>
            </v:rect>
            <v:rect style="position:absolute;left:1872;top:298;width:5;height:32" filled="true" fillcolor="#9f9f9f" stroked="false">
              <v:fill type="solid"/>
            </v:rect>
            <v:rect style="position:absolute;left:2294;top:298;width:5;height:32" filled="true" fillcolor="#e2e2e2" stroked="false">
              <v:fill type="solid"/>
            </v:rect>
            <v:rect style="position:absolute;left:1872;top:329;width:5;height:5" filled="true" fillcolor="#9f9f9f" stroked="false">
              <v:fill type="solid"/>
            </v:rect>
            <v:rect style="position:absolute;left:1872;top:329;width:5;height:5" filled="true" fillcolor="#e2e2e2" stroked="false">
              <v:fill type="solid"/>
            </v:rect>
            <v:line style="position:absolute" from="1877,332" to="2295,332" stroked="true" strokeweight=".24005pt" strokecolor="#e2e2e2">
              <v:stroke dashstyle="solid"/>
            </v:line>
            <v:rect style="position:absolute;left:2294;top:329;width:5;height:5" filled="true" fillcolor="#e2e2e2" stroked="false">
              <v:fill type="solid"/>
            </v:rect>
            <v:rect style="position:absolute;left:2294;top:329;width:5;height:5" filled="true" fillcolor="#e2e2e2" stroked="false">
              <v:fill type="solid"/>
            </v:rect>
            <w10:wrap type="topAndBottom"/>
          </v:group>
        </w:pict>
      </w:r>
    </w:p>
    <w:p>
      <w:pPr>
        <w:spacing w:before="18"/>
        <w:ind w:left="278" w:right="2261" w:firstLine="453"/>
        <w:jc w:val="both"/>
        <w:rPr>
          <w:sz w:val="16"/>
        </w:rPr>
      </w:pPr>
      <w:r>
        <w:rPr>
          <w:position w:val="6"/>
          <w:sz w:val="10"/>
        </w:rPr>
        <w:t>31 </w:t>
      </w:r>
      <w:r>
        <w:rPr>
          <w:sz w:val="16"/>
        </w:rPr>
        <w:t>Per il 2020 si osserva un output gap maggiore di 1.5 in valore assoluto ma – a differenza del 2019 – il tasso di crescita del potenziale e, sia pur marginalmente, inferiore a quello del PIL effettivo. Secondo la matrice di convergenza</w:t>
      </w:r>
      <w:r>
        <w:rPr>
          <w:spacing w:val="-5"/>
          <w:sz w:val="16"/>
        </w:rPr>
        <w:t> </w:t>
      </w:r>
      <w:r>
        <w:rPr>
          <w:sz w:val="16"/>
        </w:rPr>
        <w:t>l’avvicinamento</w:t>
      </w:r>
      <w:r>
        <w:rPr>
          <w:spacing w:val="-5"/>
          <w:sz w:val="16"/>
        </w:rPr>
        <w:t> </w:t>
      </w:r>
      <w:r>
        <w:rPr>
          <w:sz w:val="16"/>
        </w:rPr>
        <w:t>al</w:t>
      </w:r>
      <w:r>
        <w:rPr>
          <w:spacing w:val="-7"/>
          <w:sz w:val="16"/>
        </w:rPr>
        <w:t> </w:t>
      </w:r>
      <w:r>
        <w:rPr>
          <w:sz w:val="16"/>
        </w:rPr>
        <w:t>MTO</w:t>
      </w:r>
      <w:r>
        <w:rPr>
          <w:spacing w:val="-5"/>
          <w:sz w:val="16"/>
        </w:rPr>
        <w:t> </w:t>
      </w:r>
      <w:r>
        <w:rPr>
          <w:sz w:val="16"/>
        </w:rPr>
        <w:t>deve</w:t>
      </w:r>
      <w:r>
        <w:rPr>
          <w:spacing w:val="-7"/>
          <w:sz w:val="16"/>
        </w:rPr>
        <w:t> </w:t>
      </w:r>
      <w:r>
        <w:rPr>
          <w:sz w:val="16"/>
        </w:rPr>
        <w:t>essere</w:t>
      </w:r>
      <w:r>
        <w:rPr>
          <w:spacing w:val="-4"/>
          <w:sz w:val="16"/>
        </w:rPr>
        <w:t> </w:t>
      </w:r>
      <w:r>
        <w:rPr>
          <w:sz w:val="16"/>
        </w:rPr>
        <w:t>almeno</w:t>
      </w:r>
      <w:r>
        <w:rPr>
          <w:spacing w:val="-5"/>
          <w:sz w:val="16"/>
        </w:rPr>
        <w:t> </w:t>
      </w:r>
      <w:r>
        <w:rPr>
          <w:sz w:val="16"/>
        </w:rPr>
        <w:t>pari</w:t>
      </w:r>
      <w:r>
        <w:rPr>
          <w:spacing w:val="-4"/>
          <w:sz w:val="16"/>
        </w:rPr>
        <w:t> </w:t>
      </w:r>
      <w:r>
        <w:rPr>
          <w:sz w:val="16"/>
        </w:rPr>
        <w:t>a</w:t>
      </w:r>
      <w:r>
        <w:rPr>
          <w:spacing w:val="-6"/>
          <w:sz w:val="16"/>
        </w:rPr>
        <w:t> </w:t>
      </w:r>
      <w:r>
        <w:rPr>
          <w:sz w:val="16"/>
        </w:rPr>
        <w:t>0.5.</w:t>
      </w:r>
      <w:r>
        <w:rPr>
          <w:spacing w:val="-7"/>
          <w:sz w:val="16"/>
        </w:rPr>
        <w:t> </w:t>
      </w:r>
      <w:r>
        <w:rPr>
          <w:sz w:val="16"/>
        </w:rPr>
        <w:t>Tenendo</w:t>
      </w:r>
      <w:r>
        <w:rPr>
          <w:spacing w:val="-5"/>
          <w:sz w:val="16"/>
        </w:rPr>
        <w:t> </w:t>
      </w:r>
      <w:r>
        <w:rPr>
          <w:sz w:val="16"/>
        </w:rPr>
        <w:t>conto</w:t>
      </w:r>
      <w:r>
        <w:rPr>
          <w:spacing w:val="-5"/>
          <w:sz w:val="16"/>
        </w:rPr>
        <w:t> </w:t>
      </w:r>
      <w:r>
        <w:rPr>
          <w:sz w:val="16"/>
        </w:rPr>
        <w:t>di</w:t>
      </w:r>
      <w:r>
        <w:rPr>
          <w:spacing w:val="-8"/>
          <w:sz w:val="16"/>
        </w:rPr>
        <w:t> </w:t>
      </w:r>
      <w:r>
        <w:rPr>
          <w:sz w:val="16"/>
        </w:rPr>
        <w:t>una</w:t>
      </w:r>
      <w:r>
        <w:rPr>
          <w:spacing w:val="-7"/>
          <w:sz w:val="16"/>
        </w:rPr>
        <w:t> </w:t>
      </w:r>
      <w:r>
        <w:rPr>
          <w:sz w:val="16"/>
        </w:rPr>
        <w:t>flessibilità</w:t>
      </w:r>
      <w:r>
        <w:rPr>
          <w:spacing w:val="-10"/>
          <w:sz w:val="16"/>
        </w:rPr>
        <w:t> </w:t>
      </w:r>
      <w:r>
        <w:rPr>
          <w:sz w:val="16"/>
        </w:rPr>
        <w:t>di</w:t>
      </w:r>
      <w:r>
        <w:rPr>
          <w:spacing w:val="-5"/>
          <w:sz w:val="16"/>
        </w:rPr>
        <w:t> </w:t>
      </w:r>
      <w:r>
        <w:rPr>
          <w:sz w:val="16"/>
        </w:rPr>
        <w:t>0.2</w:t>
      </w:r>
      <w:r>
        <w:rPr>
          <w:spacing w:val="-5"/>
          <w:sz w:val="16"/>
        </w:rPr>
        <w:t> </w:t>
      </w:r>
      <w:r>
        <w:rPr>
          <w:sz w:val="16"/>
        </w:rPr>
        <w:t>decimi di</w:t>
      </w:r>
      <w:r>
        <w:rPr>
          <w:spacing w:val="-4"/>
          <w:sz w:val="16"/>
        </w:rPr>
        <w:t> </w:t>
      </w:r>
      <w:r>
        <w:rPr>
          <w:sz w:val="16"/>
        </w:rPr>
        <w:t>PIL</w:t>
      </w:r>
      <w:r>
        <w:rPr>
          <w:spacing w:val="-3"/>
          <w:sz w:val="16"/>
        </w:rPr>
        <w:t> </w:t>
      </w:r>
      <w:r>
        <w:rPr>
          <w:sz w:val="16"/>
        </w:rPr>
        <w:t>che</w:t>
      </w:r>
      <w:r>
        <w:rPr>
          <w:spacing w:val="-2"/>
          <w:sz w:val="16"/>
        </w:rPr>
        <w:t> </w:t>
      </w:r>
      <w:r>
        <w:rPr>
          <w:sz w:val="16"/>
        </w:rPr>
        <w:t>il</w:t>
      </w:r>
      <w:r>
        <w:rPr>
          <w:spacing w:val="-4"/>
          <w:sz w:val="16"/>
        </w:rPr>
        <w:t> </w:t>
      </w:r>
      <w:r>
        <w:rPr>
          <w:sz w:val="16"/>
        </w:rPr>
        <w:t>governo</w:t>
      </w:r>
      <w:r>
        <w:rPr>
          <w:spacing w:val="-3"/>
          <w:sz w:val="16"/>
        </w:rPr>
        <w:t> </w:t>
      </w:r>
      <w:r>
        <w:rPr>
          <w:sz w:val="16"/>
        </w:rPr>
        <w:t>intende</w:t>
      </w:r>
      <w:r>
        <w:rPr>
          <w:spacing w:val="-5"/>
          <w:sz w:val="16"/>
        </w:rPr>
        <w:t> </w:t>
      </w:r>
      <w:r>
        <w:rPr>
          <w:sz w:val="16"/>
        </w:rPr>
        <w:t>presentare,</w:t>
      </w:r>
      <w:r>
        <w:rPr>
          <w:spacing w:val="-4"/>
          <w:sz w:val="16"/>
        </w:rPr>
        <w:t> </w:t>
      </w:r>
      <w:r>
        <w:rPr>
          <w:sz w:val="16"/>
        </w:rPr>
        <w:t>la</w:t>
      </w:r>
      <w:r>
        <w:rPr>
          <w:spacing w:val="-4"/>
          <w:sz w:val="16"/>
        </w:rPr>
        <w:t> </w:t>
      </w:r>
      <w:r>
        <w:rPr>
          <w:sz w:val="16"/>
        </w:rPr>
        <w:t>deviazione</w:t>
      </w:r>
      <w:r>
        <w:rPr>
          <w:spacing w:val="-2"/>
          <w:sz w:val="16"/>
        </w:rPr>
        <w:t> </w:t>
      </w:r>
      <w:r>
        <w:rPr>
          <w:sz w:val="16"/>
        </w:rPr>
        <w:t>dal</w:t>
      </w:r>
      <w:r>
        <w:rPr>
          <w:spacing w:val="-3"/>
          <w:sz w:val="16"/>
        </w:rPr>
        <w:t> </w:t>
      </w:r>
      <w:r>
        <w:rPr>
          <w:sz w:val="16"/>
        </w:rPr>
        <w:t>sentiero</w:t>
      </w:r>
      <w:r>
        <w:rPr>
          <w:spacing w:val="-5"/>
          <w:sz w:val="16"/>
        </w:rPr>
        <w:t> </w:t>
      </w:r>
      <w:r>
        <w:rPr>
          <w:sz w:val="16"/>
        </w:rPr>
        <w:t>di</w:t>
      </w:r>
      <w:r>
        <w:rPr>
          <w:spacing w:val="-4"/>
          <w:sz w:val="16"/>
        </w:rPr>
        <w:t> </w:t>
      </w:r>
      <w:r>
        <w:rPr>
          <w:sz w:val="16"/>
        </w:rPr>
        <w:t>aggiustamento</w:t>
      </w:r>
      <w:r>
        <w:rPr>
          <w:spacing w:val="-6"/>
          <w:sz w:val="16"/>
        </w:rPr>
        <w:t> </w:t>
      </w:r>
      <w:r>
        <w:rPr>
          <w:sz w:val="16"/>
        </w:rPr>
        <w:t>verso</w:t>
      </w:r>
      <w:r>
        <w:rPr>
          <w:spacing w:val="-2"/>
          <w:sz w:val="16"/>
        </w:rPr>
        <w:t> </w:t>
      </w:r>
      <w:r>
        <w:rPr>
          <w:sz w:val="16"/>
        </w:rPr>
        <w:t>l’OMT</w:t>
      </w:r>
      <w:r>
        <w:rPr>
          <w:spacing w:val="-3"/>
          <w:sz w:val="16"/>
        </w:rPr>
        <w:t> </w:t>
      </w:r>
      <w:r>
        <w:rPr>
          <w:sz w:val="16"/>
        </w:rPr>
        <w:t>risulterebbe</w:t>
      </w:r>
      <w:r>
        <w:rPr>
          <w:spacing w:val="-5"/>
          <w:sz w:val="16"/>
        </w:rPr>
        <w:t> </w:t>
      </w:r>
      <w:r>
        <w:rPr>
          <w:sz w:val="16"/>
        </w:rPr>
        <w:t>non significativa.</w:t>
      </w:r>
    </w:p>
    <w:p>
      <w:pPr>
        <w:spacing w:line="240" w:lineRule="auto" w:before="0"/>
        <w:ind w:left="278" w:right="2264" w:firstLine="453"/>
        <w:jc w:val="both"/>
        <w:rPr>
          <w:sz w:val="16"/>
        </w:rPr>
      </w:pPr>
      <w:r>
        <w:rPr>
          <w:position w:val="6"/>
          <w:sz w:val="10"/>
        </w:rPr>
        <w:t>32 </w:t>
      </w:r>
      <w:r>
        <w:rPr>
          <w:sz w:val="16"/>
        </w:rPr>
        <w:t>Si consideri inoltre </w:t>
      </w:r>
      <w:r>
        <w:rPr>
          <w:spacing w:val="-2"/>
          <w:sz w:val="16"/>
        </w:rPr>
        <w:t>che </w:t>
      </w:r>
      <w:r>
        <w:rPr>
          <w:sz w:val="16"/>
        </w:rPr>
        <w:t>nelle stime del governo, a partire dal 2021 l’output gap negativo diventa inferiore in</w:t>
      </w:r>
      <w:r>
        <w:rPr>
          <w:spacing w:val="-13"/>
          <w:sz w:val="16"/>
        </w:rPr>
        <w:t> </w:t>
      </w:r>
      <w:r>
        <w:rPr>
          <w:sz w:val="16"/>
        </w:rPr>
        <w:t>valore</w:t>
      </w:r>
      <w:r>
        <w:rPr>
          <w:spacing w:val="-12"/>
          <w:sz w:val="16"/>
        </w:rPr>
        <w:t> </w:t>
      </w:r>
      <w:r>
        <w:rPr>
          <w:sz w:val="16"/>
        </w:rPr>
        <w:t>assoluto</w:t>
      </w:r>
      <w:r>
        <w:rPr>
          <w:spacing w:val="-13"/>
          <w:sz w:val="16"/>
        </w:rPr>
        <w:t> </w:t>
      </w:r>
      <w:r>
        <w:rPr>
          <w:sz w:val="16"/>
        </w:rPr>
        <w:t>alla</w:t>
      </w:r>
      <w:r>
        <w:rPr>
          <w:spacing w:val="-13"/>
          <w:sz w:val="16"/>
        </w:rPr>
        <w:t> </w:t>
      </w:r>
      <w:r>
        <w:rPr>
          <w:sz w:val="16"/>
        </w:rPr>
        <w:t>soglia</w:t>
      </w:r>
      <w:r>
        <w:rPr>
          <w:spacing w:val="-14"/>
          <w:sz w:val="16"/>
        </w:rPr>
        <w:t> </w:t>
      </w:r>
      <w:r>
        <w:rPr>
          <w:sz w:val="16"/>
        </w:rPr>
        <w:t>del</w:t>
      </w:r>
      <w:r>
        <w:rPr>
          <w:spacing w:val="-13"/>
          <w:sz w:val="16"/>
        </w:rPr>
        <w:t> </w:t>
      </w:r>
      <w:r>
        <w:rPr>
          <w:sz w:val="16"/>
        </w:rPr>
        <w:t>1,5</w:t>
      </w:r>
      <w:r>
        <w:rPr>
          <w:spacing w:val="-13"/>
          <w:sz w:val="16"/>
        </w:rPr>
        <w:t> </w:t>
      </w:r>
      <w:r>
        <w:rPr>
          <w:sz w:val="16"/>
        </w:rPr>
        <w:t>percento</w:t>
      </w:r>
      <w:r>
        <w:rPr>
          <w:spacing w:val="-13"/>
          <w:sz w:val="16"/>
        </w:rPr>
        <w:t> </w:t>
      </w:r>
      <w:r>
        <w:rPr>
          <w:sz w:val="16"/>
        </w:rPr>
        <w:t>del</w:t>
      </w:r>
      <w:r>
        <w:rPr>
          <w:spacing w:val="-13"/>
          <w:sz w:val="16"/>
        </w:rPr>
        <w:t> </w:t>
      </w:r>
      <w:r>
        <w:rPr>
          <w:sz w:val="16"/>
        </w:rPr>
        <w:t>PIL.</w:t>
      </w:r>
      <w:r>
        <w:rPr>
          <w:spacing w:val="-11"/>
          <w:sz w:val="16"/>
        </w:rPr>
        <w:t> </w:t>
      </w:r>
      <w:r>
        <w:rPr>
          <w:sz w:val="16"/>
        </w:rPr>
        <w:t>Pertanto,</w:t>
      </w:r>
      <w:r>
        <w:rPr>
          <w:spacing w:val="-12"/>
          <w:sz w:val="16"/>
        </w:rPr>
        <w:t> </w:t>
      </w:r>
      <w:r>
        <w:rPr>
          <w:sz w:val="16"/>
        </w:rPr>
        <w:t>secondo</w:t>
      </w:r>
      <w:r>
        <w:rPr>
          <w:spacing w:val="-13"/>
          <w:sz w:val="16"/>
        </w:rPr>
        <w:t> </w:t>
      </w:r>
      <w:r>
        <w:rPr>
          <w:sz w:val="16"/>
        </w:rPr>
        <w:t>la</w:t>
      </w:r>
      <w:r>
        <w:rPr>
          <w:spacing w:val="-15"/>
          <w:sz w:val="16"/>
        </w:rPr>
        <w:t> </w:t>
      </w:r>
      <w:r>
        <w:rPr>
          <w:sz w:val="16"/>
        </w:rPr>
        <w:t>matrice</w:t>
      </w:r>
      <w:r>
        <w:rPr>
          <w:spacing w:val="-12"/>
          <w:sz w:val="16"/>
        </w:rPr>
        <w:t> </w:t>
      </w:r>
      <w:r>
        <w:rPr>
          <w:sz w:val="16"/>
        </w:rPr>
        <w:t>di</w:t>
      </w:r>
      <w:r>
        <w:rPr>
          <w:spacing w:val="-14"/>
          <w:sz w:val="16"/>
        </w:rPr>
        <w:t> </w:t>
      </w:r>
      <w:r>
        <w:rPr>
          <w:sz w:val="16"/>
        </w:rPr>
        <w:t>convergenza,</w:t>
      </w:r>
      <w:r>
        <w:rPr>
          <w:spacing w:val="-14"/>
          <w:sz w:val="16"/>
        </w:rPr>
        <w:t> </w:t>
      </w:r>
      <w:r>
        <w:rPr>
          <w:sz w:val="16"/>
        </w:rPr>
        <w:t>l’aggiustamento minimo da effettuare sarebbe pari a 0,6 punti percentuali di</w:t>
      </w:r>
      <w:r>
        <w:rPr>
          <w:spacing w:val="-9"/>
          <w:sz w:val="16"/>
        </w:rPr>
        <w:t> </w:t>
      </w:r>
      <w:r>
        <w:rPr>
          <w:sz w:val="16"/>
        </w:rPr>
        <w:t>PIL.</w:t>
      </w:r>
    </w:p>
    <w:p>
      <w:pPr>
        <w:spacing w:before="0"/>
        <w:ind w:left="239" w:right="2264" w:firstLine="453"/>
        <w:jc w:val="right"/>
        <w:rPr>
          <w:sz w:val="16"/>
        </w:rPr>
      </w:pPr>
      <w:r>
        <w:rPr>
          <w:position w:val="6"/>
          <w:sz w:val="10"/>
        </w:rPr>
        <w:t>33 </w:t>
      </w:r>
      <w:r>
        <w:rPr>
          <w:sz w:val="16"/>
        </w:rPr>
        <w:t>Le discrepanze tra le stime di output gap del Governo e quelle della Commissione sono imputabili a</w:t>
      </w:r>
      <w:r>
        <w:rPr>
          <w:w w:val="100"/>
          <w:sz w:val="16"/>
        </w:rPr>
        <w:t> </w:t>
      </w:r>
      <w:r>
        <w:rPr>
          <w:sz w:val="16"/>
        </w:rPr>
        <w:t>differenti: i) scenari macroeconomici di riferimento; ii) orizzonti temporali; iii) valutazioni sui parametri di</w:t>
      </w:r>
      <w:r>
        <w:rPr>
          <w:w w:val="100"/>
          <w:sz w:val="16"/>
        </w:rPr>
        <w:t> </w:t>
      </w:r>
      <w:r>
        <w:rPr>
          <w:sz w:val="16"/>
        </w:rPr>
        <w:t>inizializzazione per la scomposizione trend/ciclo del tasso di disoccupazione e della produttività totale dei fattori.</w:t>
      </w:r>
      <w:r>
        <w:rPr>
          <w:w w:val="100"/>
          <w:sz w:val="16"/>
        </w:rPr>
        <w:t> </w:t>
      </w:r>
      <w:r>
        <w:rPr>
          <w:position w:val="6"/>
          <w:sz w:val="10"/>
        </w:rPr>
        <w:t>34 </w:t>
      </w:r>
      <w:r>
        <w:rPr>
          <w:sz w:val="16"/>
        </w:rPr>
        <w:t>Le più recenti proiezioni di output gap della Commissione (contenute nelle Spring Forecasts 2019) stimano</w:t>
      </w:r>
    </w:p>
    <w:p>
      <w:pPr>
        <w:spacing w:line="240" w:lineRule="auto" w:before="0"/>
        <w:ind w:left="278" w:right="2265" w:firstLine="0"/>
        <w:jc w:val="both"/>
        <w:rPr>
          <w:sz w:val="16"/>
        </w:rPr>
      </w:pPr>
      <w:r>
        <w:rPr>
          <w:sz w:val="16"/>
        </w:rPr>
        <w:t>per l’Italia un output gap su valori superiori a -1,5 per cento di PIL potenziale già dal 2017. Per la Commissione quindi l'Italia beneficia di condizioni cicliche normali già da due anni. Di conseguenza, la matrice prescriverebbe all'Italia un miglioramento del saldo strutturale per ciascun anno di almeno 0,6 punti percentuali di PIL. Una valutazione preliminare del risultato della Commissione – non sono disponibili né le previsioni di finanza pubblica né le nuove previsioni macroeconomiche Autumn Forecasts 2019 – segnalerebbe sul 2019 una situazione di deviazione non significativa per il criterio annuale e di deviazione significativa sul criterio biennale. Il requisito resta sempre di 0,6, per tutti gli anni della previsione.</w:t>
      </w:r>
    </w:p>
    <w:p>
      <w:pPr>
        <w:spacing w:after="0" w:line="240" w:lineRule="auto"/>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rPr>
          <w:sz w:val="27"/>
        </w:rPr>
      </w:pPr>
    </w:p>
    <w:p>
      <w:pPr>
        <w:spacing w:line="254" w:lineRule="auto" w:before="100"/>
        <w:ind w:left="1610" w:right="1385" w:firstLine="0"/>
        <w:jc w:val="both"/>
        <w:rPr>
          <w:rFonts w:ascii="Franklin Gothic Book" w:hAnsi="Franklin Gothic Book"/>
          <w:sz w:val="20"/>
        </w:rPr>
      </w:pPr>
      <w:r>
        <w:rPr/>
        <w:pict>
          <v:group style="position:absolute;margin-left:113.419998pt;margin-top:4.565037pt;width:412.65pt;height:468.05pt;mso-position-horizontal-relative:page;mso-position-vertical-relative:paragraph;z-index:-266185728" coordorigin="2268,91" coordsize="8253,9361">
            <v:shape style="position:absolute;left:2297;top:91;width:8224;height:9361" coordorigin="2297,91" coordsize="8224,9361" path="m10521,91l2751,91,2297,91,2297,9452,2751,9452,10521,9452,10521,9212,10521,3571,2751,3571,10521,3571,10521,3331,10521,331,10521,91e" filled="true" fillcolor="#efefef" stroked="false">
              <v:path arrowok="t"/>
              <v:fill type="solid"/>
            </v:shape>
            <v:line style="position:absolute" from="2283,91" to="2283,9452" stroked="true" strokeweight="1.44pt" strokecolor="#086d44">
              <v:stroke dashstyle="solid"/>
            </v:line>
            <w10:wrap type="none"/>
          </v:group>
        </w:pict>
      </w:r>
      <w:r>
        <w:rPr>
          <w:rFonts w:ascii="Franklin Gothic Book" w:hAnsi="Franklin Gothic Book"/>
          <w:sz w:val="20"/>
        </w:rPr>
        <w:t>convergenza</w:t>
      </w:r>
      <w:r>
        <w:rPr>
          <w:rFonts w:ascii="Franklin Gothic Book" w:hAnsi="Franklin Gothic Book"/>
          <w:position w:val="5"/>
          <w:sz w:val="13"/>
        </w:rPr>
        <w:t>35</w:t>
      </w:r>
      <w:r>
        <w:rPr>
          <w:rFonts w:ascii="Franklin Gothic Book" w:hAnsi="Franklin Gothic Book"/>
          <w:sz w:val="20"/>
        </w:rPr>
        <w:t>.</w:t>
      </w:r>
      <w:r>
        <w:rPr>
          <w:rFonts w:ascii="Franklin Gothic Book" w:hAnsi="Franklin Gothic Book"/>
          <w:spacing w:val="-13"/>
          <w:sz w:val="20"/>
        </w:rPr>
        <w:t> </w:t>
      </w:r>
      <w:r>
        <w:rPr>
          <w:rFonts w:ascii="Franklin Gothic Book" w:hAnsi="Franklin Gothic Book"/>
          <w:sz w:val="20"/>
        </w:rPr>
        <w:t>L’indicatore</w:t>
      </w:r>
      <w:r>
        <w:rPr>
          <w:rFonts w:ascii="Franklin Gothic Book" w:hAnsi="Franklin Gothic Book"/>
          <w:spacing w:val="-14"/>
          <w:sz w:val="20"/>
        </w:rPr>
        <w:t> </w:t>
      </w:r>
      <w:r>
        <w:rPr>
          <w:rFonts w:ascii="Franklin Gothic Book" w:hAnsi="Franklin Gothic Book"/>
          <w:sz w:val="20"/>
        </w:rPr>
        <w:t>che</w:t>
      </w:r>
      <w:r>
        <w:rPr>
          <w:rFonts w:ascii="Franklin Gothic Book" w:hAnsi="Franklin Gothic Book"/>
          <w:spacing w:val="-14"/>
          <w:sz w:val="20"/>
        </w:rPr>
        <w:t> </w:t>
      </w:r>
      <w:r>
        <w:rPr>
          <w:rFonts w:ascii="Franklin Gothic Book" w:hAnsi="Franklin Gothic Book"/>
          <w:sz w:val="20"/>
        </w:rPr>
        <w:t>sintetizza</w:t>
      </w:r>
      <w:r>
        <w:rPr>
          <w:rFonts w:ascii="Franklin Gothic Book" w:hAnsi="Franklin Gothic Book"/>
          <w:spacing w:val="-13"/>
          <w:sz w:val="20"/>
        </w:rPr>
        <w:t> </w:t>
      </w:r>
      <w:r>
        <w:rPr>
          <w:rFonts w:ascii="Franklin Gothic Book" w:hAnsi="Franklin Gothic Book"/>
          <w:sz w:val="20"/>
        </w:rPr>
        <w:t>la</w:t>
      </w:r>
      <w:r>
        <w:rPr>
          <w:rFonts w:ascii="Franklin Gothic Book" w:hAnsi="Franklin Gothic Book"/>
          <w:spacing w:val="-14"/>
          <w:sz w:val="20"/>
        </w:rPr>
        <w:t> </w:t>
      </w:r>
      <w:r>
        <w:rPr>
          <w:rFonts w:ascii="Franklin Gothic Book" w:hAnsi="Franklin Gothic Book"/>
          <w:sz w:val="20"/>
        </w:rPr>
        <w:t>posizione</w:t>
      </w:r>
      <w:r>
        <w:rPr>
          <w:rFonts w:ascii="Franklin Gothic Book" w:hAnsi="Franklin Gothic Book"/>
          <w:spacing w:val="-14"/>
          <w:sz w:val="20"/>
        </w:rPr>
        <w:t> </w:t>
      </w:r>
      <w:r>
        <w:rPr>
          <w:rFonts w:ascii="Franklin Gothic Book" w:hAnsi="Franklin Gothic Book"/>
          <w:sz w:val="20"/>
        </w:rPr>
        <w:t>ciclica</w:t>
      </w:r>
      <w:r>
        <w:rPr>
          <w:rFonts w:ascii="Franklin Gothic Book" w:hAnsi="Franklin Gothic Book"/>
          <w:spacing w:val="-12"/>
          <w:sz w:val="20"/>
        </w:rPr>
        <w:t> </w:t>
      </w:r>
      <w:r>
        <w:rPr>
          <w:rFonts w:ascii="Franklin Gothic Book" w:hAnsi="Franklin Gothic Book"/>
          <w:sz w:val="20"/>
        </w:rPr>
        <w:t>di</w:t>
      </w:r>
      <w:r>
        <w:rPr>
          <w:rFonts w:ascii="Franklin Gothic Book" w:hAnsi="Franklin Gothic Book"/>
          <w:spacing w:val="-14"/>
          <w:sz w:val="20"/>
        </w:rPr>
        <w:t> </w:t>
      </w:r>
      <w:r>
        <w:rPr>
          <w:rFonts w:ascii="Franklin Gothic Book" w:hAnsi="Franklin Gothic Book"/>
          <w:sz w:val="20"/>
        </w:rPr>
        <w:t>un</w:t>
      </w:r>
      <w:r>
        <w:rPr>
          <w:rFonts w:ascii="Franklin Gothic Book" w:hAnsi="Franklin Gothic Book"/>
          <w:spacing w:val="-13"/>
          <w:sz w:val="20"/>
        </w:rPr>
        <w:t> </w:t>
      </w:r>
      <w:r>
        <w:rPr>
          <w:rFonts w:ascii="Franklin Gothic Book" w:hAnsi="Franklin Gothic Book"/>
          <w:sz w:val="20"/>
        </w:rPr>
        <w:t>paese,</w:t>
      </w:r>
      <w:r>
        <w:rPr>
          <w:rFonts w:ascii="Franklin Gothic Book" w:hAnsi="Franklin Gothic Book"/>
          <w:spacing w:val="-13"/>
          <w:sz w:val="20"/>
        </w:rPr>
        <w:t> </w:t>
      </w:r>
      <w:r>
        <w:rPr>
          <w:rFonts w:ascii="Franklin Gothic Book" w:hAnsi="Franklin Gothic Book"/>
          <w:sz w:val="20"/>
        </w:rPr>
        <w:t>il</w:t>
      </w:r>
      <w:r>
        <w:rPr>
          <w:rFonts w:ascii="Franklin Gothic Book" w:hAnsi="Franklin Gothic Book"/>
          <w:spacing w:val="-14"/>
          <w:sz w:val="20"/>
        </w:rPr>
        <w:t> </w:t>
      </w:r>
      <w:r>
        <w:rPr>
          <w:rFonts w:ascii="Franklin Gothic Book" w:hAnsi="Franklin Gothic Book"/>
          <w:sz w:val="20"/>
        </w:rPr>
        <w:t>cosiddetto</w:t>
      </w:r>
      <w:r>
        <w:rPr>
          <w:rFonts w:ascii="Franklin Gothic Book" w:hAnsi="Franklin Gothic Book"/>
          <w:spacing w:val="-9"/>
          <w:sz w:val="20"/>
        </w:rPr>
        <w:t> </w:t>
      </w:r>
      <w:r>
        <w:rPr>
          <w:rFonts w:ascii="Franklin Gothic Book" w:hAnsi="Franklin Gothic Book"/>
          <w:i/>
          <w:sz w:val="20"/>
        </w:rPr>
        <w:t>output </w:t>
      </w:r>
      <w:r>
        <w:rPr>
          <w:rFonts w:ascii="Franklin Gothic Book" w:hAnsi="Franklin Gothic Book"/>
          <w:i/>
          <w:sz w:val="20"/>
        </w:rPr>
        <w:t>gap</w:t>
      </w:r>
      <w:r>
        <w:rPr>
          <w:rFonts w:ascii="Franklin Gothic Book" w:hAnsi="Franklin Gothic Book"/>
          <w:sz w:val="20"/>
        </w:rPr>
        <w:t>, è misurato come differenza tra il Pil reale e il Pil potenziale, in percentuale di quest’ultimo.</w:t>
      </w:r>
      <w:r>
        <w:rPr>
          <w:rFonts w:ascii="Franklin Gothic Book" w:hAnsi="Franklin Gothic Book"/>
          <w:spacing w:val="-4"/>
          <w:sz w:val="20"/>
        </w:rPr>
        <w:t> </w:t>
      </w:r>
      <w:r>
        <w:rPr>
          <w:rFonts w:ascii="Franklin Gothic Book" w:hAnsi="Franklin Gothic Book"/>
          <w:sz w:val="20"/>
        </w:rPr>
        <w:t>Tuttavia,</w:t>
      </w:r>
      <w:r>
        <w:rPr>
          <w:rFonts w:ascii="Franklin Gothic Book" w:hAnsi="Franklin Gothic Book"/>
          <w:spacing w:val="-4"/>
          <w:sz w:val="20"/>
        </w:rPr>
        <w:t> </w:t>
      </w:r>
      <w:r>
        <w:rPr>
          <w:rFonts w:ascii="Franklin Gothic Book" w:hAnsi="Franklin Gothic Book"/>
          <w:sz w:val="20"/>
        </w:rPr>
        <w:t>mentre</w:t>
      </w:r>
      <w:r>
        <w:rPr>
          <w:rFonts w:ascii="Franklin Gothic Book" w:hAnsi="Franklin Gothic Book"/>
          <w:spacing w:val="-4"/>
          <w:sz w:val="20"/>
        </w:rPr>
        <w:t> </w:t>
      </w:r>
      <w:r>
        <w:rPr>
          <w:rFonts w:ascii="Franklin Gothic Book" w:hAnsi="Franklin Gothic Book"/>
          <w:sz w:val="20"/>
        </w:rPr>
        <w:t>il</w:t>
      </w:r>
      <w:r>
        <w:rPr>
          <w:rFonts w:ascii="Franklin Gothic Book" w:hAnsi="Franklin Gothic Book"/>
          <w:spacing w:val="-5"/>
          <w:sz w:val="20"/>
        </w:rPr>
        <w:t> </w:t>
      </w:r>
      <w:r>
        <w:rPr>
          <w:rFonts w:ascii="Franklin Gothic Book" w:hAnsi="Franklin Gothic Book"/>
          <w:sz w:val="20"/>
        </w:rPr>
        <w:t>livello</w:t>
      </w:r>
      <w:r>
        <w:rPr>
          <w:rFonts w:ascii="Franklin Gothic Book" w:hAnsi="Franklin Gothic Book"/>
          <w:spacing w:val="-5"/>
          <w:sz w:val="20"/>
        </w:rPr>
        <w:t> </w:t>
      </w:r>
      <w:r>
        <w:rPr>
          <w:rFonts w:ascii="Franklin Gothic Book" w:hAnsi="Franklin Gothic Book"/>
          <w:sz w:val="20"/>
        </w:rPr>
        <w:t>del</w:t>
      </w:r>
      <w:r>
        <w:rPr>
          <w:rFonts w:ascii="Franklin Gothic Book" w:hAnsi="Franklin Gothic Book"/>
          <w:spacing w:val="-2"/>
          <w:sz w:val="20"/>
        </w:rPr>
        <w:t> </w:t>
      </w:r>
      <w:r>
        <w:rPr>
          <w:rFonts w:ascii="Franklin Gothic Book" w:hAnsi="Franklin Gothic Book"/>
          <w:sz w:val="20"/>
        </w:rPr>
        <w:t>PIL</w:t>
      </w:r>
      <w:r>
        <w:rPr>
          <w:rFonts w:ascii="Franklin Gothic Book" w:hAnsi="Franklin Gothic Book"/>
          <w:spacing w:val="-4"/>
          <w:sz w:val="20"/>
        </w:rPr>
        <w:t> </w:t>
      </w:r>
      <w:r>
        <w:rPr>
          <w:rFonts w:ascii="Franklin Gothic Book" w:hAnsi="Franklin Gothic Book"/>
          <w:sz w:val="20"/>
        </w:rPr>
        <w:t>reale</w:t>
      </w:r>
      <w:r>
        <w:rPr>
          <w:rFonts w:ascii="Franklin Gothic Book" w:hAnsi="Franklin Gothic Book"/>
          <w:spacing w:val="-3"/>
          <w:sz w:val="20"/>
        </w:rPr>
        <w:t> </w:t>
      </w:r>
      <w:r>
        <w:rPr>
          <w:rFonts w:ascii="Franklin Gothic Book" w:hAnsi="Franklin Gothic Book"/>
          <w:sz w:val="20"/>
        </w:rPr>
        <w:t>è</w:t>
      </w:r>
      <w:r>
        <w:rPr>
          <w:rFonts w:ascii="Franklin Gothic Book" w:hAnsi="Franklin Gothic Book"/>
          <w:spacing w:val="-4"/>
          <w:sz w:val="20"/>
        </w:rPr>
        <w:t> </w:t>
      </w:r>
      <w:r>
        <w:rPr>
          <w:rFonts w:ascii="Franklin Gothic Book" w:hAnsi="Franklin Gothic Book"/>
          <w:sz w:val="20"/>
        </w:rPr>
        <w:t>un</w:t>
      </w:r>
      <w:r>
        <w:rPr>
          <w:rFonts w:ascii="Franklin Gothic Book" w:hAnsi="Franklin Gothic Book"/>
          <w:spacing w:val="-2"/>
          <w:sz w:val="20"/>
        </w:rPr>
        <w:t> </w:t>
      </w:r>
      <w:r>
        <w:rPr>
          <w:rFonts w:ascii="Franklin Gothic Book" w:hAnsi="Franklin Gothic Book"/>
          <w:sz w:val="20"/>
        </w:rPr>
        <w:t>dato</w:t>
      </w:r>
      <w:r>
        <w:rPr>
          <w:rFonts w:ascii="Franklin Gothic Book" w:hAnsi="Franklin Gothic Book"/>
          <w:spacing w:val="-5"/>
          <w:sz w:val="20"/>
        </w:rPr>
        <w:t> </w:t>
      </w:r>
      <w:r>
        <w:rPr>
          <w:rFonts w:ascii="Franklin Gothic Book" w:hAnsi="Franklin Gothic Book"/>
          <w:sz w:val="20"/>
        </w:rPr>
        <w:t>che</w:t>
      </w:r>
      <w:r>
        <w:rPr>
          <w:rFonts w:ascii="Franklin Gothic Book" w:hAnsi="Franklin Gothic Book"/>
          <w:spacing w:val="-4"/>
          <w:sz w:val="20"/>
        </w:rPr>
        <w:t> </w:t>
      </w:r>
      <w:r>
        <w:rPr>
          <w:rFonts w:ascii="Franklin Gothic Book" w:hAnsi="Franklin Gothic Book"/>
          <w:sz w:val="20"/>
        </w:rPr>
        <w:t>può</w:t>
      </w:r>
      <w:r>
        <w:rPr>
          <w:rFonts w:ascii="Franklin Gothic Book" w:hAnsi="Franklin Gothic Book"/>
          <w:spacing w:val="-5"/>
          <w:sz w:val="20"/>
        </w:rPr>
        <w:t> </w:t>
      </w:r>
      <w:r>
        <w:rPr>
          <w:rFonts w:ascii="Franklin Gothic Book" w:hAnsi="Franklin Gothic Book"/>
          <w:sz w:val="20"/>
        </w:rPr>
        <w:t>essere</w:t>
      </w:r>
      <w:r>
        <w:rPr>
          <w:rFonts w:ascii="Franklin Gothic Book" w:hAnsi="Franklin Gothic Book"/>
          <w:spacing w:val="-4"/>
          <w:sz w:val="20"/>
        </w:rPr>
        <w:t> </w:t>
      </w:r>
      <w:r>
        <w:rPr>
          <w:rFonts w:ascii="Franklin Gothic Book" w:hAnsi="Franklin Gothic Book"/>
          <w:sz w:val="20"/>
        </w:rPr>
        <w:t>misurato,</w:t>
      </w:r>
      <w:r>
        <w:rPr>
          <w:rFonts w:ascii="Franklin Gothic Book" w:hAnsi="Franklin Gothic Book"/>
          <w:spacing w:val="-4"/>
          <w:sz w:val="20"/>
        </w:rPr>
        <w:t> </w:t>
      </w:r>
      <w:r>
        <w:rPr>
          <w:rFonts w:ascii="Franklin Gothic Book" w:hAnsi="Franklin Gothic Book"/>
          <w:sz w:val="20"/>
        </w:rPr>
        <w:t>il</w:t>
      </w:r>
      <w:r>
        <w:rPr>
          <w:rFonts w:ascii="Franklin Gothic Book" w:hAnsi="Franklin Gothic Book"/>
          <w:spacing w:val="-5"/>
          <w:sz w:val="20"/>
        </w:rPr>
        <w:t> </w:t>
      </w:r>
      <w:r>
        <w:rPr>
          <w:rFonts w:ascii="Franklin Gothic Book" w:hAnsi="Franklin Gothic Book"/>
          <w:sz w:val="20"/>
        </w:rPr>
        <w:t>PIL potenziale, definito come il massimo output ottenibile senza generare pressioni inflazionistiche, è una variabile non osservabile e che quindi va</w:t>
      </w:r>
      <w:r>
        <w:rPr>
          <w:rFonts w:ascii="Franklin Gothic Book" w:hAnsi="Franklin Gothic Book"/>
          <w:spacing w:val="-12"/>
          <w:sz w:val="20"/>
        </w:rPr>
        <w:t> </w:t>
      </w:r>
      <w:r>
        <w:rPr>
          <w:rFonts w:ascii="Franklin Gothic Book" w:hAnsi="Franklin Gothic Book"/>
          <w:sz w:val="20"/>
        </w:rPr>
        <w:t>stimata.</w:t>
      </w:r>
    </w:p>
    <w:p>
      <w:pPr>
        <w:spacing w:line="254" w:lineRule="auto" w:before="58"/>
        <w:ind w:left="1610" w:right="1383" w:firstLine="0"/>
        <w:jc w:val="both"/>
        <w:rPr>
          <w:rFonts w:ascii="Franklin Gothic Book" w:hAnsi="Franklin Gothic Book"/>
          <w:sz w:val="20"/>
        </w:rPr>
      </w:pPr>
      <w:r>
        <w:rPr>
          <w:rFonts w:ascii="Franklin Gothic Book" w:hAnsi="Franklin Gothic Book"/>
          <w:sz w:val="20"/>
        </w:rPr>
        <w:t>Per</w:t>
      </w:r>
      <w:r>
        <w:rPr>
          <w:rFonts w:ascii="Franklin Gothic Book" w:hAnsi="Franklin Gothic Book"/>
          <w:spacing w:val="-5"/>
          <w:sz w:val="20"/>
        </w:rPr>
        <w:t> </w:t>
      </w:r>
      <w:r>
        <w:rPr>
          <w:rFonts w:ascii="Franklin Gothic Book" w:hAnsi="Franklin Gothic Book"/>
          <w:sz w:val="20"/>
        </w:rPr>
        <w:t>il</w:t>
      </w:r>
      <w:r>
        <w:rPr>
          <w:rFonts w:ascii="Franklin Gothic Book" w:hAnsi="Franklin Gothic Book"/>
          <w:spacing w:val="-4"/>
          <w:sz w:val="20"/>
        </w:rPr>
        <w:t> </w:t>
      </w:r>
      <w:r>
        <w:rPr>
          <w:rFonts w:ascii="Franklin Gothic Book" w:hAnsi="Franklin Gothic Book"/>
          <w:sz w:val="20"/>
        </w:rPr>
        <w:t>calcolo</w:t>
      </w:r>
      <w:r>
        <w:rPr>
          <w:rFonts w:ascii="Franklin Gothic Book" w:hAnsi="Franklin Gothic Book"/>
          <w:spacing w:val="-4"/>
          <w:sz w:val="20"/>
        </w:rPr>
        <w:t> </w:t>
      </w:r>
      <w:r>
        <w:rPr>
          <w:rFonts w:ascii="Franklin Gothic Book" w:hAnsi="Franklin Gothic Book"/>
          <w:sz w:val="20"/>
        </w:rPr>
        <w:t>del</w:t>
      </w:r>
      <w:r>
        <w:rPr>
          <w:rFonts w:ascii="Franklin Gothic Book" w:hAnsi="Franklin Gothic Book"/>
          <w:spacing w:val="-4"/>
          <w:sz w:val="20"/>
        </w:rPr>
        <w:t> </w:t>
      </w:r>
      <w:r>
        <w:rPr>
          <w:rFonts w:ascii="Franklin Gothic Book" w:hAnsi="Franklin Gothic Book"/>
          <w:sz w:val="20"/>
        </w:rPr>
        <w:t>PIL</w:t>
      </w:r>
      <w:r>
        <w:rPr>
          <w:rFonts w:ascii="Franklin Gothic Book" w:hAnsi="Franklin Gothic Book"/>
          <w:spacing w:val="-3"/>
          <w:sz w:val="20"/>
        </w:rPr>
        <w:t> </w:t>
      </w:r>
      <w:r>
        <w:rPr>
          <w:rFonts w:ascii="Franklin Gothic Book" w:hAnsi="Franklin Gothic Book"/>
          <w:sz w:val="20"/>
        </w:rPr>
        <w:t>potenziale</w:t>
      </w:r>
      <w:r>
        <w:rPr>
          <w:rFonts w:ascii="Franklin Gothic Book" w:hAnsi="Franklin Gothic Book"/>
          <w:spacing w:val="-4"/>
          <w:sz w:val="20"/>
        </w:rPr>
        <w:t> </w:t>
      </w:r>
      <w:r>
        <w:rPr>
          <w:rFonts w:ascii="Franklin Gothic Book" w:hAnsi="Franklin Gothic Book"/>
          <w:sz w:val="20"/>
        </w:rPr>
        <w:t>si</w:t>
      </w:r>
      <w:r>
        <w:rPr>
          <w:rFonts w:ascii="Franklin Gothic Book" w:hAnsi="Franklin Gothic Book"/>
          <w:spacing w:val="-4"/>
          <w:sz w:val="20"/>
        </w:rPr>
        <w:t> </w:t>
      </w:r>
      <w:r>
        <w:rPr>
          <w:rFonts w:ascii="Franklin Gothic Book" w:hAnsi="Franklin Gothic Book"/>
          <w:sz w:val="20"/>
        </w:rPr>
        <w:t>possono</w:t>
      </w:r>
      <w:r>
        <w:rPr>
          <w:rFonts w:ascii="Franklin Gothic Book" w:hAnsi="Franklin Gothic Book"/>
          <w:spacing w:val="-4"/>
          <w:sz w:val="20"/>
        </w:rPr>
        <w:t> </w:t>
      </w:r>
      <w:r>
        <w:rPr>
          <w:rFonts w:ascii="Franklin Gothic Book" w:hAnsi="Franklin Gothic Book"/>
          <w:sz w:val="20"/>
        </w:rPr>
        <w:t>usare</w:t>
      </w:r>
      <w:r>
        <w:rPr>
          <w:rFonts w:ascii="Franklin Gothic Book" w:hAnsi="Franklin Gothic Book"/>
          <w:spacing w:val="-3"/>
          <w:sz w:val="20"/>
        </w:rPr>
        <w:t> </w:t>
      </w:r>
      <w:r>
        <w:rPr>
          <w:rFonts w:ascii="Franklin Gothic Book" w:hAnsi="Franklin Gothic Book"/>
          <w:sz w:val="20"/>
        </w:rPr>
        <w:t>diverse</w:t>
      </w:r>
      <w:r>
        <w:rPr>
          <w:rFonts w:ascii="Franklin Gothic Book" w:hAnsi="Franklin Gothic Book"/>
          <w:spacing w:val="-3"/>
          <w:sz w:val="20"/>
        </w:rPr>
        <w:t> </w:t>
      </w:r>
      <w:r>
        <w:rPr>
          <w:rFonts w:ascii="Franklin Gothic Book" w:hAnsi="Franklin Gothic Book"/>
          <w:sz w:val="20"/>
        </w:rPr>
        <w:t>tecniche</w:t>
      </w:r>
      <w:r>
        <w:rPr>
          <w:rFonts w:ascii="Franklin Gothic Book" w:hAnsi="Franklin Gothic Book"/>
          <w:spacing w:val="-4"/>
          <w:sz w:val="20"/>
        </w:rPr>
        <w:t> </w:t>
      </w:r>
      <w:r>
        <w:rPr>
          <w:rFonts w:ascii="Franklin Gothic Book" w:hAnsi="Franklin Gothic Book"/>
          <w:sz w:val="20"/>
        </w:rPr>
        <w:t>statistico-econometriche,</w:t>
      </w:r>
      <w:r>
        <w:rPr>
          <w:rFonts w:ascii="Franklin Gothic Book" w:hAnsi="Franklin Gothic Book"/>
          <w:spacing w:val="-3"/>
          <w:sz w:val="20"/>
        </w:rPr>
        <w:t> </w:t>
      </w:r>
      <w:r>
        <w:rPr>
          <w:rFonts w:ascii="Franklin Gothic Book" w:hAnsi="Franklin Gothic Book"/>
          <w:sz w:val="20"/>
        </w:rPr>
        <w:t>i cui risultati risentono sensibilmente delle ipotesi teoriche di base. In questo box si dà conto sinteticamente delle metodologie di stima adottate dalle principali organizzazioni non governative (Commissione Europea (COMM), Organizzazione per la cooperazione e lo sviluppo economico (OCSE) e il Fondo Monetario Internazionale (FMI)). </w:t>
      </w:r>
      <w:r>
        <w:rPr>
          <w:rFonts w:ascii="Franklin Gothic Book" w:hAnsi="Franklin Gothic Book"/>
          <w:spacing w:val="3"/>
          <w:sz w:val="20"/>
        </w:rPr>
        <w:t>Si </w:t>
      </w:r>
      <w:r>
        <w:rPr>
          <w:rFonts w:ascii="Franklin Gothic Book" w:hAnsi="Franklin Gothic Book"/>
          <w:sz w:val="20"/>
        </w:rPr>
        <w:t>riportano inoltre le stime di output gap prodotte nel corso dei mesi primaverili da queste autorità congiuntamente a quelle prodotte dal MEF e pubblicate nel più recente</w:t>
      </w:r>
      <w:r>
        <w:rPr>
          <w:rFonts w:ascii="Franklin Gothic Book" w:hAnsi="Franklin Gothic Book"/>
          <w:spacing w:val="-7"/>
          <w:sz w:val="20"/>
        </w:rPr>
        <w:t> </w:t>
      </w:r>
      <w:r>
        <w:rPr>
          <w:rFonts w:ascii="Franklin Gothic Book" w:hAnsi="Franklin Gothic Book"/>
          <w:sz w:val="20"/>
        </w:rPr>
        <w:t>DEF.</w:t>
      </w:r>
    </w:p>
    <w:p>
      <w:pPr>
        <w:spacing w:line="254" w:lineRule="auto" w:before="57"/>
        <w:ind w:left="1610" w:right="1383" w:firstLine="0"/>
        <w:jc w:val="both"/>
        <w:rPr>
          <w:rFonts w:ascii="Franklin Gothic Book"/>
          <w:sz w:val="20"/>
        </w:rPr>
      </w:pPr>
      <w:r>
        <w:rPr>
          <w:rFonts w:ascii="Franklin Gothic Book"/>
          <w:sz w:val="20"/>
        </w:rPr>
        <w:t>La COMM utilizza una metodologia, concordata con i singoli Stati Membri, basata su una funzione di produzione di Tipo Cobb-Douglas con rendimenti di scala costanti.</w:t>
      </w:r>
    </w:p>
    <w:p>
      <w:pPr>
        <w:spacing w:line="254" w:lineRule="auto" w:before="60"/>
        <w:ind w:left="1610" w:right="1393" w:firstLine="0"/>
        <w:jc w:val="both"/>
        <w:rPr>
          <w:rFonts w:ascii="Franklin Gothic Book" w:hAnsi="Franklin Gothic Book"/>
          <w:sz w:val="20"/>
        </w:rPr>
      </w:pPr>
      <w:r>
        <w:rPr>
          <w:rFonts w:ascii="Franklin Gothic Book" w:hAnsi="Franklin Gothic Book"/>
          <w:sz w:val="20"/>
        </w:rPr>
        <w:t>In tale contesto, il prodotto reale viene scomposto nei fattori lavoro, capitale e produttività opportunamente pesati:</w:t>
      </w:r>
    </w:p>
    <w:p>
      <w:pPr>
        <w:spacing w:before="59"/>
        <w:ind w:left="2544" w:right="0" w:firstLine="0"/>
        <w:jc w:val="both"/>
        <w:rPr>
          <w:rFonts w:ascii="Franklin Gothic Book" w:hAnsi="Franklin Gothic Book"/>
          <w:sz w:val="20"/>
        </w:rPr>
      </w:pPr>
      <w:r>
        <w:rPr>
          <w:rFonts w:ascii="Franklin Gothic Book" w:hAnsi="Franklin Gothic Book"/>
          <w:sz w:val="20"/>
        </w:rPr>
        <w:t>Y=TFP*L^α*K^(1-α) ; con α uguale a 0,65 per tutti gli Stati membri.</w:t>
      </w:r>
    </w:p>
    <w:p>
      <w:pPr>
        <w:spacing w:line="254" w:lineRule="auto" w:before="74"/>
        <w:ind w:left="1610" w:right="1387" w:firstLine="0"/>
        <w:jc w:val="both"/>
        <w:rPr>
          <w:rFonts w:ascii="Franklin Gothic Book" w:hAnsi="Franklin Gothic Book"/>
          <w:sz w:val="20"/>
        </w:rPr>
      </w:pPr>
      <w:r>
        <w:rPr>
          <w:rFonts w:ascii="Franklin Gothic Book" w:hAnsi="Franklin Gothic Book"/>
          <w:sz w:val="20"/>
        </w:rPr>
        <w:t>Il fattore lavoro è ottenuto moltiplicando la popolazione attiva, le ore lavorate, il tasso di partecipazione e il complemento a uno del tasso di disoccupazione.</w:t>
      </w:r>
    </w:p>
    <w:p>
      <w:pPr>
        <w:spacing w:line="254" w:lineRule="auto" w:before="59"/>
        <w:ind w:left="1610" w:right="1384" w:firstLine="0"/>
        <w:jc w:val="both"/>
        <w:rPr>
          <w:rFonts w:ascii="Franklin Gothic Book" w:hAnsi="Franklin Gothic Book"/>
          <w:sz w:val="20"/>
        </w:rPr>
      </w:pPr>
      <w:r>
        <w:rPr>
          <w:rFonts w:ascii="Franklin Gothic Book" w:hAnsi="Franklin Gothic Book"/>
          <w:sz w:val="20"/>
        </w:rPr>
        <w:t>Il passaggio dal PIL reale al Pil potenziale si ottiene estraendo le componenti di trend dei fattori della produzione (tranne che per lo stock di capitale, di cui si considera il valore effettivo) utilizzando differenti tecniche statistiche. Nel caso del fattore lavoro, per il tasso di partecipazione e le ore lavorate viene impiegato il filtro di Hodrick-Prescott, mentre il valore di trend del tasso di disoccupazione (NAWRU, tasso di disoccupazione a cui la teoria economica</w:t>
      </w:r>
      <w:r>
        <w:rPr>
          <w:rFonts w:ascii="Franklin Gothic Book" w:hAnsi="Franklin Gothic Book"/>
          <w:spacing w:val="-7"/>
          <w:sz w:val="20"/>
        </w:rPr>
        <w:t> </w:t>
      </w:r>
      <w:r>
        <w:rPr>
          <w:rFonts w:ascii="Franklin Gothic Book" w:hAnsi="Franklin Gothic Book"/>
          <w:sz w:val="20"/>
        </w:rPr>
        <w:t>associa</w:t>
      </w:r>
      <w:r>
        <w:rPr>
          <w:rFonts w:ascii="Franklin Gothic Book" w:hAnsi="Franklin Gothic Book"/>
          <w:spacing w:val="-7"/>
          <w:sz w:val="20"/>
        </w:rPr>
        <w:t> </w:t>
      </w:r>
      <w:r>
        <w:rPr>
          <w:rFonts w:ascii="Franklin Gothic Book" w:hAnsi="Franklin Gothic Book"/>
          <w:sz w:val="20"/>
        </w:rPr>
        <w:t>assenza</w:t>
      </w:r>
      <w:r>
        <w:rPr>
          <w:rFonts w:ascii="Franklin Gothic Book" w:hAnsi="Franklin Gothic Book"/>
          <w:spacing w:val="-7"/>
          <w:sz w:val="20"/>
        </w:rPr>
        <w:t> </w:t>
      </w:r>
      <w:r>
        <w:rPr>
          <w:rFonts w:ascii="Franklin Gothic Book" w:hAnsi="Franklin Gothic Book"/>
          <w:sz w:val="20"/>
        </w:rPr>
        <w:t>di</w:t>
      </w:r>
      <w:r>
        <w:rPr>
          <w:rFonts w:ascii="Franklin Gothic Book" w:hAnsi="Franklin Gothic Book"/>
          <w:spacing w:val="-7"/>
          <w:sz w:val="20"/>
        </w:rPr>
        <w:t> </w:t>
      </w:r>
      <w:r>
        <w:rPr>
          <w:rFonts w:ascii="Franklin Gothic Book" w:hAnsi="Franklin Gothic Book"/>
          <w:sz w:val="20"/>
        </w:rPr>
        <w:t>pressioni</w:t>
      </w:r>
      <w:r>
        <w:rPr>
          <w:rFonts w:ascii="Franklin Gothic Book" w:hAnsi="Franklin Gothic Book"/>
          <w:spacing w:val="-7"/>
          <w:sz w:val="20"/>
        </w:rPr>
        <w:t> </w:t>
      </w:r>
      <w:r>
        <w:rPr>
          <w:rFonts w:ascii="Franklin Gothic Book" w:hAnsi="Franklin Gothic Book"/>
          <w:sz w:val="20"/>
        </w:rPr>
        <w:t>inflazionistiche)</w:t>
      </w:r>
      <w:r>
        <w:rPr>
          <w:rFonts w:ascii="Franklin Gothic Book" w:hAnsi="Franklin Gothic Book"/>
          <w:spacing w:val="-5"/>
          <w:sz w:val="20"/>
        </w:rPr>
        <w:t> </w:t>
      </w:r>
      <w:r>
        <w:rPr>
          <w:rFonts w:ascii="Franklin Gothic Book" w:hAnsi="Franklin Gothic Book"/>
          <w:sz w:val="20"/>
        </w:rPr>
        <w:t>è</w:t>
      </w:r>
      <w:r>
        <w:rPr>
          <w:rFonts w:ascii="Franklin Gothic Book" w:hAnsi="Franklin Gothic Book"/>
          <w:spacing w:val="-7"/>
          <w:sz w:val="20"/>
        </w:rPr>
        <w:t> </w:t>
      </w:r>
      <w:r>
        <w:rPr>
          <w:rFonts w:ascii="Franklin Gothic Book" w:hAnsi="Franklin Gothic Book"/>
          <w:sz w:val="20"/>
        </w:rPr>
        <w:t>ottenuto</w:t>
      </w:r>
      <w:r>
        <w:rPr>
          <w:rFonts w:ascii="Franklin Gothic Book" w:hAnsi="Franklin Gothic Book"/>
          <w:spacing w:val="-6"/>
          <w:sz w:val="20"/>
        </w:rPr>
        <w:t> </w:t>
      </w:r>
      <w:r>
        <w:rPr>
          <w:rFonts w:ascii="Franklin Gothic Book" w:hAnsi="Franklin Gothic Book"/>
          <w:sz w:val="20"/>
        </w:rPr>
        <w:t>con</w:t>
      </w:r>
      <w:r>
        <w:rPr>
          <w:rFonts w:ascii="Franklin Gothic Book" w:hAnsi="Franklin Gothic Book"/>
          <w:spacing w:val="-7"/>
          <w:sz w:val="20"/>
        </w:rPr>
        <w:t> </w:t>
      </w:r>
      <w:r>
        <w:rPr>
          <w:rFonts w:ascii="Franklin Gothic Book" w:hAnsi="Franklin Gothic Book"/>
          <w:sz w:val="20"/>
        </w:rPr>
        <w:t>un</w:t>
      </w:r>
      <w:r>
        <w:rPr>
          <w:rFonts w:ascii="Franklin Gothic Book" w:hAnsi="Franklin Gothic Book"/>
          <w:spacing w:val="-7"/>
          <w:sz w:val="20"/>
        </w:rPr>
        <w:t> </w:t>
      </w:r>
      <w:r>
        <w:rPr>
          <w:rFonts w:ascii="Franklin Gothic Book" w:hAnsi="Franklin Gothic Book"/>
          <w:sz w:val="20"/>
        </w:rPr>
        <w:t>filtro</w:t>
      </w:r>
      <w:r>
        <w:rPr>
          <w:rFonts w:ascii="Franklin Gothic Book" w:hAnsi="Franklin Gothic Book"/>
          <w:spacing w:val="-7"/>
          <w:sz w:val="20"/>
        </w:rPr>
        <w:t> </w:t>
      </w:r>
      <w:r>
        <w:rPr>
          <w:rFonts w:ascii="Franklin Gothic Book" w:hAnsi="Franklin Gothic Book"/>
          <w:sz w:val="20"/>
        </w:rPr>
        <w:t>di</w:t>
      </w:r>
      <w:r>
        <w:rPr>
          <w:rFonts w:ascii="Franklin Gothic Book" w:hAnsi="Franklin Gothic Book"/>
          <w:spacing w:val="-7"/>
          <w:sz w:val="20"/>
        </w:rPr>
        <w:t> </w:t>
      </w:r>
      <w:r>
        <w:rPr>
          <w:rFonts w:ascii="Franklin Gothic Book" w:hAnsi="Franklin Gothic Book"/>
          <w:sz w:val="20"/>
        </w:rPr>
        <w:t>Kalman</w:t>
      </w:r>
      <w:r>
        <w:rPr>
          <w:rFonts w:ascii="Franklin Gothic Book" w:hAnsi="Franklin Gothic Book"/>
          <w:spacing w:val="-7"/>
          <w:sz w:val="20"/>
        </w:rPr>
        <w:t> </w:t>
      </w:r>
      <w:r>
        <w:rPr>
          <w:rFonts w:ascii="Franklin Gothic Book" w:hAnsi="Franklin Gothic Book"/>
          <w:sz w:val="20"/>
        </w:rPr>
        <w:t>in cui la scomposizione trend-ciclo è “indirizzata” da una curva di Phillips</w:t>
      </w:r>
      <w:r>
        <w:rPr>
          <w:rFonts w:ascii="Franklin Gothic Book" w:hAnsi="Franklin Gothic Book"/>
          <w:position w:val="5"/>
          <w:sz w:val="13"/>
        </w:rPr>
        <w:t>36</w:t>
      </w:r>
      <w:r>
        <w:rPr>
          <w:rFonts w:ascii="Franklin Gothic Book" w:hAnsi="Franklin Gothic Book"/>
          <w:sz w:val="20"/>
        </w:rPr>
        <w:t>. Il trend della TFP è anch’esso stimato con un filtro di Kalman attraverso un modello bivariato, che lega il ciclo a un indicatore di capacità</w:t>
      </w:r>
      <w:r>
        <w:rPr>
          <w:rFonts w:ascii="Franklin Gothic Book" w:hAnsi="Franklin Gothic Book"/>
          <w:spacing w:val="-2"/>
          <w:sz w:val="20"/>
        </w:rPr>
        <w:t> </w:t>
      </w:r>
      <w:r>
        <w:rPr>
          <w:rFonts w:ascii="Franklin Gothic Book" w:hAnsi="Franklin Gothic Book"/>
          <w:sz w:val="20"/>
        </w:rPr>
        <w:t>utilizzata.</w:t>
      </w:r>
    </w:p>
    <w:p>
      <w:pPr>
        <w:spacing w:line="254" w:lineRule="auto" w:before="57"/>
        <w:ind w:left="1610" w:right="1391" w:firstLine="0"/>
        <w:jc w:val="both"/>
        <w:rPr>
          <w:rFonts w:ascii="Franklin Gothic Book" w:hAnsi="Franklin Gothic Book"/>
          <w:sz w:val="20"/>
        </w:rPr>
      </w:pPr>
      <w:r>
        <w:rPr>
          <w:rFonts w:ascii="Franklin Gothic Book" w:hAnsi="Franklin Gothic Book"/>
          <w:sz w:val="20"/>
        </w:rPr>
        <w:t>La metodologia impiegata dall’OCSE si discosta lievemente da quella della Commissione. Il framework</w:t>
      </w:r>
      <w:r>
        <w:rPr>
          <w:rFonts w:ascii="Franklin Gothic Book" w:hAnsi="Franklin Gothic Book"/>
          <w:spacing w:val="-6"/>
          <w:sz w:val="20"/>
        </w:rPr>
        <w:t> </w:t>
      </w:r>
      <w:r>
        <w:rPr>
          <w:rFonts w:ascii="Franklin Gothic Book" w:hAnsi="Franklin Gothic Book"/>
          <w:sz w:val="20"/>
        </w:rPr>
        <w:t>è</w:t>
      </w:r>
      <w:r>
        <w:rPr>
          <w:rFonts w:ascii="Franklin Gothic Book" w:hAnsi="Franklin Gothic Book"/>
          <w:spacing w:val="-7"/>
          <w:sz w:val="20"/>
        </w:rPr>
        <w:t> </w:t>
      </w:r>
      <w:r>
        <w:rPr>
          <w:rFonts w:ascii="Franklin Gothic Book" w:hAnsi="Franklin Gothic Book"/>
          <w:sz w:val="20"/>
        </w:rPr>
        <w:t>molto</w:t>
      </w:r>
      <w:r>
        <w:rPr>
          <w:rFonts w:ascii="Franklin Gothic Book" w:hAnsi="Franklin Gothic Book"/>
          <w:spacing w:val="-7"/>
          <w:sz w:val="20"/>
        </w:rPr>
        <w:t> </w:t>
      </w:r>
      <w:r>
        <w:rPr>
          <w:rFonts w:ascii="Franklin Gothic Book" w:hAnsi="Franklin Gothic Book"/>
          <w:sz w:val="20"/>
        </w:rPr>
        <w:t>simile,</w:t>
      </w:r>
      <w:r>
        <w:rPr>
          <w:rFonts w:ascii="Franklin Gothic Book" w:hAnsi="Franklin Gothic Book"/>
          <w:spacing w:val="-6"/>
          <w:sz w:val="20"/>
        </w:rPr>
        <w:t> </w:t>
      </w:r>
      <w:r>
        <w:rPr>
          <w:rFonts w:ascii="Franklin Gothic Book" w:hAnsi="Franklin Gothic Book"/>
          <w:sz w:val="20"/>
        </w:rPr>
        <w:t>funzione</w:t>
      </w:r>
      <w:r>
        <w:rPr>
          <w:rFonts w:ascii="Franklin Gothic Book" w:hAnsi="Franklin Gothic Book"/>
          <w:spacing w:val="-5"/>
          <w:sz w:val="20"/>
        </w:rPr>
        <w:t> </w:t>
      </w:r>
      <w:r>
        <w:rPr>
          <w:rFonts w:ascii="Franklin Gothic Book" w:hAnsi="Franklin Gothic Book"/>
          <w:sz w:val="20"/>
        </w:rPr>
        <w:t>di</w:t>
      </w:r>
      <w:r>
        <w:rPr>
          <w:rFonts w:ascii="Franklin Gothic Book" w:hAnsi="Franklin Gothic Book"/>
          <w:spacing w:val="-7"/>
          <w:sz w:val="20"/>
        </w:rPr>
        <w:t> </w:t>
      </w:r>
      <w:r>
        <w:rPr>
          <w:rFonts w:ascii="Franklin Gothic Book" w:hAnsi="Franklin Gothic Book"/>
          <w:sz w:val="20"/>
        </w:rPr>
        <w:t>produzione</w:t>
      </w:r>
      <w:r>
        <w:rPr>
          <w:rFonts w:ascii="Franklin Gothic Book" w:hAnsi="Franklin Gothic Book"/>
          <w:spacing w:val="-5"/>
          <w:sz w:val="20"/>
        </w:rPr>
        <w:t> </w:t>
      </w:r>
      <w:r>
        <w:rPr>
          <w:rFonts w:ascii="Franklin Gothic Book" w:hAnsi="Franklin Gothic Book"/>
          <w:sz w:val="20"/>
        </w:rPr>
        <w:t>con</w:t>
      </w:r>
      <w:r>
        <w:rPr>
          <w:rFonts w:ascii="Franklin Gothic Book" w:hAnsi="Franklin Gothic Book"/>
          <w:spacing w:val="-7"/>
          <w:sz w:val="20"/>
        </w:rPr>
        <w:t> </w:t>
      </w:r>
      <w:r>
        <w:rPr>
          <w:rFonts w:ascii="Franklin Gothic Book" w:hAnsi="Franklin Gothic Book"/>
          <w:sz w:val="20"/>
        </w:rPr>
        <w:t>fattori</w:t>
      </w:r>
      <w:r>
        <w:rPr>
          <w:rFonts w:ascii="Franklin Gothic Book" w:hAnsi="Franklin Gothic Book"/>
          <w:spacing w:val="-7"/>
          <w:sz w:val="20"/>
        </w:rPr>
        <w:t> </w:t>
      </w:r>
      <w:r>
        <w:rPr>
          <w:rFonts w:ascii="Franklin Gothic Book" w:hAnsi="Franklin Gothic Book"/>
          <w:sz w:val="20"/>
        </w:rPr>
        <w:t>di</w:t>
      </w:r>
      <w:r>
        <w:rPr>
          <w:rFonts w:ascii="Franklin Gothic Book" w:hAnsi="Franklin Gothic Book"/>
          <w:spacing w:val="-7"/>
          <w:sz w:val="20"/>
        </w:rPr>
        <w:t> </w:t>
      </w:r>
      <w:r>
        <w:rPr>
          <w:rFonts w:ascii="Franklin Gothic Book" w:hAnsi="Franklin Gothic Book"/>
          <w:sz w:val="20"/>
        </w:rPr>
        <w:t>scala</w:t>
      </w:r>
      <w:r>
        <w:rPr>
          <w:rFonts w:ascii="Franklin Gothic Book" w:hAnsi="Franklin Gothic Book"/>
          <w:spacing w:val="-7"/>
          <w:sz w:val="20"/>
        </w:rPr>
        <w:t> </w:t>
      </w:r>
      <w:r>
        <w:rPr>
          <w:rFonts w:ascii="Franklin Gothic Book" w:hAnsi="Franklin Gothic Book"/>
          <w:sz w:val="20"/>
        </w:rPr>
        <w:t>costanti</w:t>
      </w:r>
      <w:r>
        <w:rPr>
          <w:rFonts w:ascii="Franklin Gothic Book" w:hAnsi="Franklin Gothic Book"/>
          <w:spacing w:val="-7"/>
          <w:sz w:val="20"/>
        </w:rPr>
        <w:t> </w:t>
      </w:r>
      <w:r>
        <w:rPr>
          <w:rFonts w:ascii="Franklin Gothic Book" w:hAnsi="Franklin Gothic Book"/>
          <w:sz w:val="20"/>
        </w:rPr>
        <w:t>e</w:t>
      </w:r>
      <w:r>
        <w:rPr>
          <w:rFonts w:ascii="Franklin Gothic Book" w:hAnsi="Franklin Gothic Book"/>
          <w:spacing w:val="-4"/>
          <w:sz w:val="20"/>
        </w:rPr>
        <w:t> </w:t>
      </w:r>
      <w:r>
        <w:rPr>
          <w:rFonts w:ascii="Franklin Gothic Book" w:hAnsi="Franklin Gothic Book"/>
          <w:sz w:val="20"/>
        </w:rPr>
        <w:t>α</w:t>
      </w:r>
      <w:r>
        <w:rPr>
          <w:rFonts w:ascii="Franklin Gothic Book" w:hAnsi="Franklin Gothic Book"/>
          <w:spacing w:val="-5"/>
          <w:sz w:val="20"/>
        </w:rPr>
        <w:t> </w:t>
      </w:r>
      <w:r>
        <w:rPr>
          <w:rFonts w:ascii="Franklin Gothic Book" w:hAnsi="Franklin Gothic Book"/>
          <w:sz w:val="20"/>
        </w:rPr>
        <w:t>pari</w:t>
      </w:r>
      <w:r>
        <w:rPr>
          <w:rFonts w:ascii="Franklin Gothic Book" w:hAnsi="Franklin Gothic Book"/>
          <w:spacing w:val="-2"/>
          <w:sz w:val="20"/>
        </w:rPr>
        <w:t> </w:t>
      </w:r>
      <w:r>
        <w:rPr>
          <w:rFonts w:ascii="Franklin Gothic Book" w:hAnsi="Franklin Gothic Book"/>
          <w:sz w:val="20"/>
        </w:rPr>
        <w:t>a</w:t>
      </w:r>
      <w:r>
        <w:rPr>
          <w:rFonts w:ascii="Franklin Gothic Book" w:hAnsi="Franklin Gothic Book"/>
          <w:spacing w:val="-7"/>
          <w:sz w:val="20"/>
        </w:rPr>
        <w:t> </w:t>
      </w:r>
      <w:r>
        <w:rPr>
          <w:rFonts w:ascii="Franklin Gothic Book" w:hAnsi="Franklin Gothic Book"/>
          <w:sz w:val="20"/>
        </w:rPr>
        <w:t>0,67; la differenza principale riguarda le tecniche di filtraggio utilizzate. Per la stima del tasso di disoccupazione strutturale il filtro di Kalman impiegato dall’OCSE incorpora una curva di Phillips in cui l’unemployment gap è messo in relazione con l’inflazione dei prezzi (e non dei salari) e in cui le aspettative di inflazione sono</w:t>
      </w:r>
      <w:r>
        <w:rPr>
          <w:rFonts w:ascii="Franklin Gothic Book" w:hAnsi="Franklin Gothic Book"/>
          <w:spacing w:val="-3"/>
          <w:sz w:val="20"/>
        </w:rPr>
        <w:t> </w:t>
      </w:r>
      <w:r>
        <w:rPr>
          <w:rFonts w:ascii="Franklin Gothic Book" w:hAnsi="Franklin Gothic Book"/>
          <w:sz w:val="20"/>
        </w:rPr>
        <w:t>ancorate</w:t>
      </w:r>
      <w:r>
        <w:rPr>
          <w:rFonts w:ascii="Franklin Gothic Book" w:hAnsi="Franklin Gothic Book"/>
          <w:position w:val="5"/>
          <w:sz w:val="13"/>
        </w:rPr>
        <w:t>37</w:t>
      </w:r>
      <w:r>
        <w:rPr>
          <w:rFonts w:ascii="Franklin Gothic Book" w:hAnsi="Franklin Gothic Book"/>
          <w:sz w:val="20"/>
        </w:rPr>
        <w:t>.</w:t>
      </w:r>
    </w:p>
    <w:p>
      <w:pPr>
        <w:spacing w:line="254" w:lineRule="auto" w:before="58"/>
        <w:ind w:left="1610" w:right="1389" w:firstLine="0"/>
        <w:jc w:val="both"/>
        <w:rPr>
          <w:rFonts w:ascii="Franklin Gothic Book" w:hAnsi="Franklin Gothic Book"/>
          <w:sz w:val="20"/>
        </w:rPr>
      </w:pPr>
      <w:r>
        <w:rPr>
          <w:rFonts w:ascii="Franklin Gothic Book" w:hAnsi="Franklin Gothic Book"/>
          <w:sz w:val="20"/>
        </w:rPr>
        <w:t>Il FMI dispone di una vasta gamma di modelli basati sia sulla funzione di produzione che su filtri multivariati complessi e non utilizza un metodo unico per la stima del Pil potenziale dei diversi Paesi. I valori di PIL potenziale e di output gap pubblicati all’interno del World</w:t>
      </w:r>
    </w:p>
    <w:p>
      <w:pPr>
        <w:pStyle w:val="BodyText"/>
        <w:rPr>
          <w:rFonts w:ascii="Franklin Gothic Book"/>
          <w:sz w:val="20"/>
        </w:rPr>
      </w:pPr>
    </w:p>
    <w:p>
      <w:pPr>
        <w:pStyle w:val="BodyText"/>
        <w:rPr>
          <w:rFonts w:ascii="Franklin Gothic Book"/>
          <w:sz w:val="20"/>
        </w:rPr>
      </w:pPr>
    </w:p>
    <w:p>
      <w:pPr>
        <w:pStyle w:val="BodyText"/>
        <w:spacing w:before="6"/>
        <w:rPr>
          <w:rFonts w:ascii="Franklin Gothic Book"/>
          <w:sz w:val="24"/>
        </w:rPr>
      </w:pPr>
      <w:r>
        <w:rPr/>
        <w:pict>
          <v:group style="position:absolute;margin-left:136.100006pt;margin-top:15.884473pt;width:21.4pt;height:2.15pt;mso-position-horizontal-relative:page;mso-position-vertical-relative:paragraph;z-index:-251495424;mso-wrap-distance-left:0;mso-wrap-distance-right:0" coordorigin="2722,318" coordsize="428,43">
            <v:line style="position:absolute" from="2722,338" to="3149,338" stroked="true" strokeweight="2.050pt" strokecolor="#aaaaaa">
              <v:stroke dashstyle="solid"/>
            </v:line>
            <v:rect style="position:absolute;left:2722;top:319;width:5;height:5" filled="true" fillcolor="#9f9f9f" stroked="false">
              <v:fill type="solid"/>
            </v:rect>
            <v:rect style="position:absolute;left:2722;top:319;width:5;height:5" filled="true" fillcolor="#9f9f9f" stroked="false">
              <v:fill type="solid"/>
            </v:rect>
            <v:line style="position:absolute" from="2727,322" to="3144,322" stroked="true" strokeweight=".23999pt" strokecolor="#9f9f9f">
              <v:stroke dashstyle="solid"/>
            </v:line>
            <v:rect style="position:absolute;left:3144;top:319;width:5;height:5" filled="true" fillcolor="#e2e2e2" stroked="false">
              <v:fill type="solid"/>
            </v:rect>
            <v:rect style="position:absolute;left:3144;top:319;width:5;height:5" filled="true" fillcolor="#9f9f9f" stroked="false">
              <v:fill type="solid"/>
            </v:rect>
            <v:rect style="position:absolute;left:2722;top:324;width:5;height:32" filled="true" fillcolor="#9f9f9f" stroked="false">
              <v:fill type="solid"/>
            </v:rect>
            <v:rect style="position:absolute;left:3144;top:324;width:5;height:32" filled="true" fillcolor="#e2e2e2" stroked="false">
              <v:fill type="solid"/>
            </v:rect>
            <v:rect style="position:absolute;left:2722;top:355;width:5;height:5" filled="true" fillcolor="#9f9f9f" stroked="false">
              <v:fill type="solid"/>
            </v:rect>
            <v:rect style="position:absolute;left:2722;top:355;width:5;height:5" filled="true" fillcolor="#e2e2e2" stroked="false">
              <v:fill type="solid"/>
            </v:rect>
            <v:line style="position:absolute" from="2727,358" to="3144,358" stroked="true" strokeweight=".23999pt" strokecolor="#e2e2e2">
              <v:stroke dashstyle="solid"/>
            </v:line>
            <v:rect style="position:absolute;left:3144;top:355;width:5;height:5" filled="true" fillcolor="#e2e2e2" stroked="false">
              <v:fill type="solid"/>
            </v:rect>
            <v:rect style="position:absolute;left:3144;top:355;width:5;height:5" filled="true" fillcolor="#e2e2e2" stroked="false">
              <v:fill type="solid"/>
            </v:rect>
            <w10:wrap type="topAndBottom"/>
          </v:group>
        </w:pict>
      </w:r>
    </w:p>
    <w:p>
      <w:pPr>
        <w:spacing w:line="240" w:lineRule="auto" w:before="33"/>
        <w:ind w:left="1128" w:right="1412" w:firstLine="453"/>
        <w:jc w:val="both"/>
        <w:rPr>
          <w:sz w:val="16"/>
        </w:rPr>
      </w:pPr>
      <w:r>
        <w:rPr>
          <w:rFonts w:ascii="Calibri" w:hAnsi="Calibri"/>
          <w:position w:val="5"/>
          <w:sz w:val="10"/>
        </w:rPr>
        <w:t>35 </w:t>
      </w:r>
      <w:r>
        <w:rPr>
          <w:sz w:val="16"/>
        </w:rPr>
        <w:t>La velocità di convergenza è modulata in funzione di alcuni parametri, tra cui le condizioni cicliche dell'economia</w:t>
      </w:r>
      <w:r>
        <w:rPr>
          <w:spacing w:val="-18"/>
          <w:sz w:val="16"/>
        </w:rPr>
        <w:t> </w:t>
      </w:r>
      <w:r>
        <w:rPr>
          <w:sz w:val="16"/>
        </w:rPr>
        <w:t>A</w:t>
      </w:r>
      <w:r>
        <w:rPr>
          <w:spacing w:val="-2"/>
          <w:sz w:val="16"/>
        </w:rPr>
        <w:t> </w:t>
      </w:r>
      <w:r>
        <w:rPr>
          <w:sz w:val="16"/>
        </w:rPr>
        <w:t>seconda</w:t>
      </w:r>
      <w:r>
        <w:rPr>
          <w:spacing w:val="-3"/>
          <w:sz w:val="16"/>
        </w:rPr>
        <w:t> </w:t>
      </w:r>
      <w:r>
        <w:rPr>
          <w:sz w:val="16"/>
        </w:rPr>
        <w:t>del</w:t>
      </w:r>
      <w:r>
        <w:rPr>
          <w:spacing w:val="-3"/>
          <w:sz w:val="16"/>
        </w:rPr>
        <w:t> </w:t>
      </w:r>
      <w:r>
        <w:rPr>
          <w:sz w:val="16"/>
        </w:rPr>
        <w:t>livello</w:t>
      </w:r>
      <w:r>
        <w:rPr>
          <w:spacing w:val="-3"/>
          <w:sz w:val="16"/>
        </w:rPr>
        <w:t> </w:t>
      </w:r>
      <w:r>
        <w:rPr>
          <w:sz w:val="16"/>
        </w:rPr>
        <w:t>dell’output</w:t>
      </w:r>
      <w:r>
        <w:rPr>
          <w:spacing w:val="-5"/>
          <w:sz w:val="16"/>
        </w:rPr>
        <w:t> </w:t>
      </w:r>
      <w:r>
        <w:rPr>
          <w:sz w:val="16"/>
        </w:rPr>
        <w:t>gap</w:t>
      </w:r>
      <w:r>
        <w:rPr>
          <w:spacing w:val="-4"/>
          <w:sz w:val="16"/>
        </w:rPr>
        <w:t> </w:t>
      </w:r>
      <w:r>
        <w:rPr>
          <w:sz w:val="16"/>
        </w:rPr>
        <w:t>rispetto</w:t>
      </w:r>
      <w:r>
        <w:rPr>
          <w:spacing w:val="-3"/>
          <w:sz w:val="16"/>
        </w:rPr>
        <w:t> </w:t>
      </w:r>
      <w:r>
        <w:rPr>
          <w:sz w:val="16"/>
        </w:rPr>
        <w:t>al</w:t>
      </w:r>
      <w:r>
        <w:rPr>
          <w:spacing w:val="-3"/>
          <w:sz w:val="16"/>
        </w:rPr>
        <w:t> </w:t>
      </w:r>
      <w:r>
        <w:rPr>
          <w:sz w:val="16"/>
        </w:rPr>
        <w:t>PIL</w:t>
      </w:r>
      <w:r>
        <w:rPr>
          <w:spacing w:val="-3"/>
          <w:sz w:val="16"/>
        </w:rPr>
        <w:t> </w:t>
      </w:r>
      <w:r>
        <w:rPr>
          <w:sz w:val="16"/>
        </w:rPr>
        <w:t>potenziale,</w:t>
      </w:r>
      <w:r>
        <w:rPr>
          <w:spacing w:val="-3"/>
          <w:sz w:val="16"/>
        </w:rPr>
        <w:t> </w:t>
      </w:r>
      <w:r>
        <w:rPr>
          <w:sz w:val="16"/>
        </w:rPr>
        <w:t>un</w:t>
      </w:r>
      <w:r>
        <w:rPr>
          <w:spacing w:val="-3"/>
          <w:sz w:val="16"/>
        </w:rPr>
        <w:t> </w:t>
      </w:r>
      <w:r>
        <w:rPr>
          <w:sz w:val="16"/>
        </w:rPr>
        <w:t>Paese</w:t>
      </w:r>
      <w:r>
        <w:rPr>
          <w:spacing w:val="-5"/>
          <w:sz w:val="16"/>
        </w:rPr>
        <w:t> </w:t>
      </w:r>
      <w:r>
        <w:rPr>
          <w:sz w:val="16"/>
        </w:rPr>
        <w:t>è</w:t>
      </w:r>
      <w:r>
        <w:rPr>
          <w:spacing w:val="-2"/>
          <w:sz w:val="16"/>
        </w:rPr>
        <w:t> </w:t>
      </w:r>
      <w:r>
        <w:rPr>
          <w:sz w:val="16"/>
        </w:rPr>
        <w:t>considerato</w:t>
      </w:r>
      <w:r>
        <w:rPr>
          <w:spacing w:val="-5"/>
          <w:sz w:val="16"/>
        </w:rPr>
        <w:t> </w:t>
      </w:r>
      <w:r>
        <w:rPr>
          <w:sz w:val="16"/>
        </w:rPr>
        <w:t>in</w:t>
      </w:r>
      <w:r>
        <w:rPr>
          <w:spacing w:val="-3"/>
          <w:sz w:val="16"/>
        </w:rPr>
        <w:t> </w:t>
      </w:r>
      <w:r>
        <w:rPr>
          <w:sz w:val="16"/>
        </w:rPr>
        <w:t>condizioni cicliche:</w:t>
      </w:r>
      <w:r>
        <w:rPr>
          <w:spacing w:val="-3"/>
          <w:sz w:val="16"/>
        </w:rPr>
        <w:t> </w:t>
      </w:r>
      <w:r>
        <w:rPr>
          <w:sz w:val="16"/>
        </w:rPr>
        <w:t>a)</w:t>
      </w:r>
      <w:r>
        <w:rPr>
          <w:spacing w:val="-2"/>
          <w:sz w:val="16"/>
        </w:rPr>
        <w:t> </w:t>
      </w:r>
      <w:r>
        <w:rPr>
          <w:sz w:val="16"/>
        </w:rPr>
        <w:t>positive</w:t>
      </w:r>
      <w:r>
        <w:rPr>
          <w:spacing w:val="-2"/>
          <w:sz w:val="16"/>
        </w:rPr>
        <w:t> </w:t>
      </w:r>
      <w:r>
        <w:rPr>
          <w:sz w:val="16"/>
        </w:rPr>
        <w:t>(output</w:t>
      </w:r>
      <w:r>
        <w:rPr>
          <w:spacing w:val="-4"/>
          <w:sz w:val="16"/>
        </w:rPr>
        <w:t> </w:t>
      </w:r>
      <w:r>
        <w:rPr>
          <w:sz w:val="16"/>
        </w:rPr>
        <w:t>gap</w:t>
      </w:r>
      <w:r>
        <w:rPr>
          <w:spacing w:val="-7"/>
          <w:sz w:val="16"/>
        </w:rPr>
        <w:t> </w:t>
      </w:r>
      <w:r>
        <w:rPr>
          <w:sz w:val="16"/>
        </w:rPr>
        <w:t>maggiore</w:t>
      </w:r>
      <w:r>
        <w:rPr>
          <w:spacing w:val="-1"/>
          <w:sz w:val="16"/>
        </w:rPr>
        <w:t> </w:t>
      </w:r>
      <w:r>
        <w:rPr>
          <w:sz w:val="16"/>
        </w:rPr>
        <w:t>di</w:t>
      </w:r>
      <w:r>
        <w:rPr>
          <w:spacing w:val="-4"/>
          <w:sz w:val="16"/>
        </w:rPr>
        <w:t> </w:t>
      </w:r>
      <w:r>
        <w:rPr>
          <w:sz w:val="16"/>
        </w:rPr>
        <w:t>1,5</w:t>
      </w:r>
      <w:r>
        <w:rPr>
          <w:spacing w:val="-3"/>
          <w:sz w:val="16"/>
        </w:rPr>
        <w:t> </w:t>
      </w:r>
      <w:r>
        <w:rPr>
          <w:sz w:val="16"/>
        </w:rPr>
        <w:t>per</w:t>
      </w:r>
      <w:r>
        <w:rPr>
          <w:spacing w:val="-5"/>
          <w:sz w:val="16"/>
        </w:rPr>
        <w:t> </w:t>
      </w:r>
      <w:r>
        <w:rPr>
          <w:sz w:val="16"/>
        </w:rPr>
        <w:t>cento</w:t>
      </w:r>
      <w:r>
        <w:rPr>
          <w:spacing w:val="-3"/>
          <w:sz w:val="16"/>
        </w:rPr>
        <w:t> </w:t>
      </w:r>
      <w:r>
        <w:rPr>
          <w:sz w:val="16"/>
        </w:rPr>
        <w:t>del</w:t>
      </w:r>
      <w:r>
        <w:rPr>
          <w:spacing w:val="-2"/>
          <w:sz w:val="16"/>
        </w:rPr>
        <w:t> </w:t>
      </w:r>
      <w:r>
        <w:rPr>
          <w:sz w:val="16"/>
        </w:rPr>
        <w:t>PIL</w:t>
      </w:r>
      <w:r>
        <w:rPr>
          <w:spacing w:val="-6"/>
          <w:sz w:val="16"/>
        </w:rPr>
        <w:t> </w:t>
      </w:r>
      <w:r>
        <w:rPr>
          <w:sz w:val="16"/>
        </w:rPr>
        <w:t>potenziale);</w:t>
      </w:r>
      <w:r>
        <w:rPr>
          <w:spacing w:val="-2"/>
          <w:sz w:val="16"/>
        </w:rPr>
        <w:t> </w:t>
      </w:r>
      <w:r>
        <w:rPr>
          <w:sz w:val="16"/>
        </w:rPr>
        <w:t>b)</w:t>
      </w:r>
      <w:r>
        <w:rPr>
          <w:spacing w:val="-4"/>
          <w:sz w:val="16"/>
        </w:rPr>
        <w:t> </w:t>
      </w:r>
      <w:r>
        <w:rPr>
          <w:sz w:val="16"/>
        </w:rPr>
        <w:t>normali</w:t>
      </w:r>
      <w:r>
        <w:rPr>
          <w:spacing w:val="-6"/>
          <w:sz w:val="16"/>
        </w:rPr>
        <w:t> </w:t>
      </w:r>
      <w:r>
        <w:rPr>
          <w:sz w:val="16"/>
        </w:rPr>
        <w:t>(tra</w:t>
      </w:r>
      <w:r>
        <w:rPr>
          <w:spacing w:val="1"/>
          <w:sz w:val="16"/>
        </w:rPr>
        <w:t> </w:t>
      </w:r>
      <w:r>
        <w:rPr>
          <w:sz w:val="16"/>
        </w:rPr>
        <w:t>-1,5</w:t>
      </w:r>
      <w:r>
        <w:rPr>
          <w:spacing w:val="-4"/>
          <w:sz w:val="16"/>
        </w:rPr>
        <w:t> </w:t>
      </w:r>
      <w:r>
        <w:rPr>
          <w:sz w:val="16"/>
        </w:rPr>
        <w:t>per</w:t>
      </w:r>
      <w:r>
        <w:rPr>
          <w:spacing w:val="-3"/>
          <w:sz w:val="16"/>
        </w:rPr>
        <w:t> </w:t>
      </w:r>
      <w:r>
        <w:rPr>
          <w:sz w:val="16"/>
        </w:rPr>
        <w:t>cento</w:t>
      </w:r>
      <w:r>
        <w:rPr>
          <w:spacing w:val="-5"/>
          <w:sz w:val="16"/>
        </w:rPr>
        <w:t> </w:t>
      </w:r>
      <w:r>
        <w:rPr>
          <w:sz w:val="16"/>
        </w:rPr>
        <w:t>e</w:t>
      </w:r>
      <w:r>
        <w:rPr>
          <w:spacing w:val="-2"/>
          <w:sz w:val="16"/>
        </w:rPr>
        <w:t> </w:t>
      </w:r>
      <w:r>
        <w:rPr>
          <w:sz w:val="16"/>
        </w:rPr>
        <w:t>1,5 per cento); c) negative (tra -1,5 per cento e -3,0 per cento); d) molto negative (tra -3,0 e -4,0 per cento); e) eccezionalmente</w:t>
      </w:r>
      <w:r>
        <w:rPr>
          <w:spacing w:val="-4"/>
          <w:sz w:val="16"/>
        </w:rPr>
        <w:t> </w:t>
      </w:r>
      <w:r>
        <w:rPr>
          <w:sz w:val="16"/>
        </w:rPr>
        <w:t>negative</w:t>
      </w:r>
      <w:r>
        <w:rPr>
          <w:spacing w:val="-4"/>
          <w:sz w:val="16"/>
        </w:rPr>
        <w:t> </w:t>
      </w:r>
      <w:r>
        <w:rPr>
          <w:sz w:val="16"/>
        </w:rPr>
        <w:t>(per</w:t>
      </w:r>
      <w:r>
        <w:rPr>
          <w:spacing w:val="-5"/>
          <w:sz w:val="16"/>
        </w:rPr>
        <w:t> </w:t>
      </w:r>
      <w:r>
        <w:rPr>
          <w:sz w:val="16"/>
        </w:rPr>
        <w:t>valori</w:t>
      </w:r>
      <w:r>
        <w:rPr>
          <w:spacing w:val="-3"/>
          <w:sz w:val="16"/>
        </w:rPr>
        <w:t> </w:t>
      </w:r>
      <w:r>
        <w:rPr>
          <w:sz w:val="16"/>
        </w:rPr>
        <w:t>di</w:t>
      </w:r>
      <w:r>
        <w:rPr>
          <w:spacing w:val="-3"/>
          <w:sz w:val="16"/>
        </w:rPr>
        <w:t> </w:t>
      </w:r>
      <w:r>
        <w:rPr>
          <w:sz w:val="16"/>
        </w:rPr>
        <w:t>output</w:t>
      </w:r>
      <w:r>
        <w:rPr>
          <w:spacing w:val="-4"/>
          <w:sz w:val="16"/>
        </w:rPr>
        <w:t> </w:t>
      </w:r>
      <w:r>
        <w:rPr>
          <w:sz w:val="16"/>
        </w:rPr>
        <w:t>gap</w:t>
      </w:r>
      <w:r>
        <w:rPr>
          <w:spacing w:val="-3"/>
          <w:sz w:val="16"/>
        </w:rPr>
        <w:t> </w:t>
      </w:r>
      <w:r>
        <w:rPr>
          <w:sz w:val="16"/>
        </w:rPr>
        <w:t>inferiori</w:t>
      </w:r>
      <w:r>
        <w:rPr>
          <w:spacing w:val="-3"/>
          <w:sz w:val="16"/>
        </w:rPr>
        <w:t> </w:t>
      </w:r>
      <w:r>
        <w:rPr>
          <w:sz w:val="16"/>
        </w:rPr>
        <w:t>al</w:t>
      </w:r>
      <w:r>
        <w:rPr>
          <w:spacing w:val="-1"/>
          <w:sz w:val="16"/>
        </w:rPr>
        <w:t> </w:t>
      </w:r>
      <w:r>
        <w:rPr>
          <w:sz w:val="16"/>
        </w:rPr>
        <w:t>-4,0</w:t>
      </w:r>
      <w:r>
        <w:rPr>
          <w:spacing w:val="-5"/>
          <w:sz w:val="16"/>
        </w:rPr>
        <w:t> </w:t>
      </w:r>
      <w:r>
        <w:rPr>
          <w:sz w:val="16"/>
        </w:rPr>
        <w:t>per</w:t>
      </w:r>
      <w:r>
        <w:rPr>
          <w:spacing w:val="-3"/>
          <w:sz w:val="16"/>
        </w:rPr>
        <w:t> </w:t>
      </w:r>
      <w:r>
        <w:rPr>
          <w:sz w:val="16"/>
        </w:rPr>
        <w:t>cento</w:t>
      </w:r>
      <w:r>
        <w:rPr>
          <w:spacing w:val="-2"/>
          <w:sz w:val="16"/>
        </w:rPr>
        <w:t> </w:t>
      </w:r>
      <w:r>
        <w:rPr>
          <w:sz w:val="16"/>
        </w:rPr>
        <w:t>o</w:t>
      </w:r>
      <w:r>
        <w:rPr>
          <w:spacing w:val="-3"/>
          <w:sz w:val="16"/>
        </w:rPr>
        <w:t> </w:t>
      </w:r>
      <w:r>
        <w:rPr>
          <w:sz w:val="16"/>
        </w:rPr>
        <w:t>in</w:t>
      </w:r>
      <w:r>
        <w:rPr>
          <w:spacing w:val="-2"/>
          <w:sz w:val="16"/>
        </w:rPr>
        <w:t> </w:t>
      </w:r>
      <w:r>
        <w:rPr>
          <w:sz w:val="16"/>
        </w:rPr>
        <w:t>caso</w:t>
      </w:r>
      <w:r>
        <w:rPr>
          <w:spacing w:val="-2"/>
          <w:sz w:val="16"/>
        </w:rPr>
        <w:t> </w:t>
      </w:r>
      <w:r>
        <w:rPr>
          <w:sz w:val="16"/>
        </w:rPr>
        <w:t>di</w:t>
      </w:r>
      <w:r>
        <w:rPr>
          <w:spacing w:val="-4"/>
          <w:sz w:val="16"/>
        </w:rPr>
        <w:t> </w:t>
      </w:r>
      <w:r>
        <w:rPr>
          <w:sz w:val="16"/>
        </w:rPr>
        <w:t>crescita</w:t>
      </w:r>
      <w:r>
        <w:rPr>
          <w:spacing w:val="-3"/>
          <w:sz w:val="16"/>
        </w:rPr>
        <w:t> </w:t>
      </w:r>
      <w:r>
        <w:rPr>
          <w:sz w:val="16"/>
        </w:rPr>
        <w:t>reale</w:t>
      </w:r>
      <w:r>
        <w:rPr>
          <w:spacing w:val="-4"/>
          <w:sz w:val="16"/>
        </w:rPr>
        <w:t> </w:t>
      </w:r>
      <w:r>
        <w:rPr>
          <w:sz w:val="16"/>
        </w:rPr>
        <w:t>negativa). L’aggiustamento minimo annuale richiesto è: a) 0,75 punti di PIL se la crescita reale è inferiore alla crescita potenziale, 1 punto di PIL in caso contrario; b) 0,6 punti di PIL; c) 0,25 punti di PIL se la crescita reale è inferiore alla crescita potenziale, 0,5 punto di PIL in caso contrario; d) 0,25 punti di PIL; e) 0 punti di</w:t>
      </w:r>
      <w:r>
        <w:rPr>
          <w:spacing w:val="-28"/>
          <w:sz w:val="16"/>
        </w:rPr>
        <w:t> </w:t>
      </w:r>
      <w:r>
        <w:rPr>
          <w:sz w:val="16"/>
        </w:rPr>
        <w:t>PIL.</w:t>
      </w:r>
    </w:p>
    <w:p>
      <w:pPr>
        <w:spacing w:line="240" w:lineRule="auto" w:before="0"/>
        <w:ind w:left="1128" w:right="1419" w:firstLine="453"/>
        <w:jc w:val="both"/>
        <w:rPr>
          <w:sz w:val="16"/>
        </w:rPr>
      </w:pPr>
      <w:r>
        <w:rPr>
          <w:position w:val="6"/>
          <w:sz w:val="10"/>
        </w:rPr>
        <w:t>36</w:t>
      </w:r>
      <w:r>
        <w:rPr>
          <w:spacing w:val="7"/>
          <w:position w:val="6"/>
          <w:sz w:val="10"/>
        </w:rPr>
        <w:t> </w:t>
      </w:r>
      <w:r>
        <w:rPr>
          <w:sz w:val="16"/>
        </w:rPr>
        <w:t>Sullo</w:t>
      </w:r>
      <w:r>
        <w:rPr>
          <w:spacing w:val="-9"/>
          <w:sz w:val="16"/>
        </w:rPr>
        <w:t> </w:t>
      </w:r>
      <w:r>
        <w:rPr>
          <w:sz w:val="16"/>
        </w:rPr>
        <w:t>scarso</w:t>
      </w:r>
      <w:r>
        <w:rPr>
          <w:spacing w:val="-10"/>
          <w:sz w:val="16"/>
        </w:rPr>
        <w:t> </w:t>
      </w:r>
      <w:r>
        <w:rPr>
          <w:sz w:val="16"/>
        </w:rPr>
        <w:t>potere</w:t>
      </w:r>
      <w:r>
        <w:rPr>
          <w:spacing w:val="-11"/>
          <w:sz w:val="16"/>
        </w:rPr>
        <w:t> </w:t>
      </w:r>
      <w:r>
        <w:rPr>
          <w:sz w:val="16"/>
        </w:rPr>
        <w:t>esplicativo</w:t>
      </w:r>
      <w:r>
        <w:rPr>
          <w:spacing w:val="-10"/>
          <w:sz w:val="16"/>
        </w:rPr>
        <w:t> </w:t>
      </w:r>
      <w:r>
        <w:rPr>
          <w:sz w:val="16"/>
        </w:rPr>
        <w:t>di</w:t>
      </w:r>
      <w:r>
        <w:rPr>
          <w:spacing w:val="-13"/>
          <w:sz w:val="16"/>
        </w:rPr>
        <w:t> </w:t>
      </w:r>
      <w:r>
        <w:rPr>
          <w:sz w:val="16"/>
        </w:rPr>
        <w:t>modelli</w:t>
      </w:r>
      <w:r>
        <w:rPr>
          <w:spacing w:val="-10"/>
          <w:sz w:val="16"/>
        </w:rPr>
        <w:t> </w:t>
      </w:r>
      <w:r>
        <w:rPr>
          <w:sz w:val="16"/>
        </w:rPr>
        <w:t>afferenti</w:t>
      </w:r>
      <w:r>
        <w:rPr>
          <w:spacing w:val="-10"/>
          <w:sz w:val="16"/>
        </w:rPr>
        <w:t> </w:t>
      </w:r>
      <w:r>
        <w:rPr>
          <w:sz w:val="16"/>
        </w:rPr>
        <w:t>alla</w:t>
      </w:r>
      <w:r>
        <w:rPr>
          <w:spacing w:val="-10"/>
          <w:sz w:val="16"/>
        </w:rPr>
        <w:t> </w:t>
      </w:r>
      <w:r>
        <w:rPr>
          <w:sz w:val="16"/>
        </w:rPr>
        <w:t>curva</w:t>
      </w:r>
      <w:r>
        <w:rPr>
          <w:spacing w:val="-10"/>
          <w:sz w:val="16"/>
        </w:rPr>
        <w:t> </w:t>
      </w:r>
      <w:r>
        <w:rPr>
          <w:sz w:val="16"/>
        </w:rPr>
        <w:t>di</w:t>
      </w:r>
      <w:r>
        <w:rPr>
          <w:spacing w:val="-10"/>
          <w:sz w:val="16"/>
        </w:rPr>
        <w:t> </w:t>
      </w:r>
      <w:r>
        <w:rPr>
          <w:sz w:val="16"/>
        </w:rPr>
        <w:t>Phillips</w:t>
      </w:r>
      <w:r>
        <w:rPr>
          <w:spacing w:val="-10"/>
          <w:sz w:val="16"/>
        </w:rPr>
        <w:t> </w:t>
      </w:r>
      <w:r>
        <w:rPr>
          <w:sz w:val="16"/>
        </w:rPr>
        <w:t>nell’economia</w:t>
      </w:r>
      <w:r>
        <w:rPr>
          <w:spacing w:val="-11"/>
          <w:sz w:val="16"/>
        </w:rPr>
        <w:t> </w:t>
      </w:r>
      <w:r>
        <w:rPr>
          <w:sz w:val="16"/>
        </w:rPr>
        <w:t>italiana</w:t>
      </w:r>
      <w:r>
        <w:rPr>
          <w:spacing w:val="-13"/>
          <w:sz w:val="16"/>
        </w:rPr>
        <w:t> </w:t>
      </w:r>
      <w:r>
        <w:rPr>
          <w:sz w:val="16"/>
        </w:rPr>
        <w:t>(e</w:t>
      </w:r>
      <w:r>
        <w:rPr>
          <w:spacing w:val="-11"/>
          <w:sz w:val="16"/>
        </w:rPr>
        <w:t> </w:t>
      </w:r>
      <w:r>
        <w:rPr>
          <w:sz w:val="16"/>
        </w:rPr>
        <w:t>non</w:t>
      </w:r>
      <w:r>
        <w:rPr>
          <w:spacing w:val="-11"/>
          <w:sz w:val="16"/>
        </w:rPr>
        <w:t> </w:t>
      </w:r>
      <w:r>
        <w:rPr>
          <w:sz w:val="16"/>
        </w:rPr>
        <w:t>solo), tanto la Commissione quanto le delegazioni nazionali hanno portato avanti diversi lavori di approfondimento nel corso degli anni. Sviluppi ulteriori sono previsti per il prossimo</w:t>
      </w:r>
      <w:r>
        <w:rPr>
          <w:spacing w:val="-11"/>
          <w:sz w:val="16"/>
        </w:rPr>
        <w:t> </w:t>
      </w:r>
      <w:r>
        <w:rPr>
          <w:sz w:val="16"/>
        </w:rPr>
        <w:t>futuro.</w:t>
      </w:r>
    </w:p>
    <w:p>
      <w:pPr>
        <w:spacing w:line="242" w:lineRule="auto" w:before="0"/>
        <w:ind w:left="1128" w:right="1416" w:firstLine="453"/>
        <w:jc w:val="both"/>
        <w:rPr>
          <w:sz w:val="16"/>
        </w:rPr>
      </w:pPr>
      <w:r>
        <w:rPr>
          <w:position w:val="6"/>
          <w:sz w:val="10"/>
        </w:rPr>
        <w:t>37 </w:t>
      </w:r>
      <w:r>
        <w:rPr>
          <w:sz w:val="16"/>
        </w:rPr>
        <w:t>M.C. Cavalleri, D. Turner, E. Rusticelli. Incorporating anchored inflation expectations in the Phillips curve and in the derivation of OECD measures of the unemployment gap. OECD Journal: Economic Studies 2015.</w:t>
      </w:r>
    </w:p>
    <w:p>
      <w:pPr>
        <w:spacing w:after="0" w:line="242" w:lineRule="auto"/>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rPr>
          <w:sz w:val="27"/>
        </w:rPr>
      </w:pPr>
    </w:p>
    <w:p>
      <w:pPr>
        <w:spacing w:line="254" w:lineRule="auto" w:before="100"/>
        <w:ind w:left="761" w:right="2243" w:firstLine="0"/>
        <w:jc w:val="both"/>
        <w:rPr>
          <w:rFonts w:ascii="Franklin Gothic Book"/>
          <w:sz w:val="20"/>
        </w:rPr>
      </w:pPr>
      <w:r>
        <w:rPr/>
        <w:pict>
          <v:group style="position:absolute;margin-left:70.944pt;margin-top:4.565037pt;width:412.65pt;height:539.25pt;mso-position-horizontal-relative:page;mso-position-vertical-relative:paragraph;z-index:-266182656" coordorigin="1419,91" coordsize="8253,10785">
            <v:shape style="position:absolute;left:1447;top:91;width:8224;height:10785" coordorigin="1448,91" coordsize="8224,10785" path="m9671,91l1901,91,1448,91,1448,10876,1901,10876,1901,7636,9671,7636,9671,7604,9671,2184,1901,2184,1901,1891,9671,1891,9671,1591,9671,331,9671,91e" filled="true" fillcolor="#efefef" stroked="false">
              <v:path arrowok="t"/>
              <v:fill type="solid"/>
            </v:shape>
            <v:rect style="position:absolute;left:1901;top:2186;width:7771;height:24" filled="true" fillcolor="#efefef" stroked="false">
              <v:fill type="solid"/>
            </v:rect>
            <v:rect style="position:absolute;left:1901;top:7606;width:7771;height:29" filled="true" fillcolor="#086d44" stroked="false">
              <v:fill type="solid"/>
            </v:rect>
            <v:shape style="position:absolute;left:1901;top:7635;width:7771;height:3240" coordorigin="1901,7636" coordsize="7771,3240" path="m9671,7636l1901,7636,1901,7936,1901,8236,1901,10876,9671,10876,9671,7936,9671,7636e" filled="true" fillcolor="#efefef" stroked="false">
              <v:path arrowok="t"/>
              <v:fill type="solid"/>
            </v:shape>
            <v:line style="position:absolute" from="1433,91" to="1433,10876" stroked="true" strokeweight="1.44pt" strokecolor="#086d44">
              <v:stroke dashstyle="solid"/>
            </v:line>
            <v:rect style="position:absolute;left:2415;top:2428;width:6965;height:3868" filled="false" stroked="true" strokeweight=".25pt" strokecolor="#000000">
              <v:stroke dashstyle="solid"/>
            </v:rect>
            <v:line style="position:absolute" from="2560,2428" to="2560,3655" stroked="true" strokeweight="4.440pt" strokecolor="#086939">
              <v:stroke dashstyle="solid"/>
            </v:line>
            <v:shape style="position:absolute;left:3192;top:2428;width:1901;height:2967" coordorigin="3192,2428" coordsize="1901,2967" path="m3192,2428l3192,3305m3826,2428l3826,4442m4459,2428l4459,5395m5093,2428l5093,5246e" filled="false" stroked="true" strokeweight="4.560pt" strokecolor="#086939">
              <v:path arrowok="t"/>
              <v:stroke dashstyle="solid"/>
            </v:shape>
            <v:shape style="position:absolute;left:5725;top:2428;width:634;height:2127" coordorigin="5725,2428" coordsize="634,2127" path="m5725,2428l5725,4555m6359,2428l6359,3696e" filled="false" stroked="true" strokeweight="4.440pt" strokecolor="#086939">
              <v:path arrowok="t"/>
              <v:stroke dashstyle="solid"/>
            </v:shape>
            <v:line style="position:absolute" from="6991,2428" to="6991,2755" stroked="true" strokeweight="4.560pt" strokecolor="#086939">
              <v:stroke dashstyle="solid"/>
            </v:line>
            <v:rect style="position:absolute;left:7579;top:2428;width:92;height:75" filled="true" fillcolor="#086939" stroked="false">
              <v:fill type="solid"/>
            </v:rect>
            <v:line style="position:absolute" from="8258,2428" to="8258,2616" stroked="true" strokeweight="4.560pt" strokecolor="#086939">
              <v:stroke dashstyle="solid"/>
            </v:line>
            <v:rect style="position:absolute;left:8846;top:2428;width:89;height:49" filled="true" fillcolor="#086939" stroked="false">
              <v:fill type="solid"/>
            </v:rect>
            <v:line style="position:absolute" from="2674,2428" to="2674,3696" stroked="true" strokeweight="4.560pt" strokecolor="#d6c700">
              <v:stroke dashstyle="solid"/>
            </v:line>
            <v:line style="position:absolute" from="3307,2428" to="3307,3309" stroked="true" strokeweight="4.560pt" strokecolor="#d6c700">
              <v:stroke dashstyle="solid"/>
            </v:line>
            <v:shape style="position:absolute;left:3940;top:2428;width:634;height:3668" coordorigin="3941,2428" coordsize="634,3668" path="m3941,2428l3941,5090m4574,2428l4574,6096e" filled="false" stroked="true" strokeweight="4.560pt" strokecolor="#d6c700">
              <v:path arrowok="t"/>
              <v:stroke dashstyle="solid"/>
            </v:shape>
            <v:shape style="position:absolute;left:5206;top:2428;width:634;height:3502" coordorigin="5207,2428" coordsize="634,3502" path="m5207,2428l5207,5930m5840,2428l5840,5467e" filled="false" stroked="true" strokeweight="4.440pt" strokecolor="#d6c700">
              <v:path arrowok="t"/>
              <v:stroke dashstyle="solid"/>
            </v:shape>
            <v:shape style="position:absolute;left:6472;top:2428;width:634;height:2334" coordorigin="6473,2428" coordsize="634,2334" path="m6473,2428l6473,4761m7106,2428l7106,3768e" filled="false" stroked="true" strokeweight="4.560pt" strokecolor="#d6c700">
              <v:path arrowok="t"/>
              <v:stroke dashstyle="solid"/>
            </v:shape>
            <v:line style="position:absolute" from="7740,2428" to="7740,3449" stroked="true" strokeweight="4.560pt" strokecolor="#d6c700">
              <v:stroke dashstyle="solid"/>
            </v:line>
            <v:line style="position:absolute" from="8374,2428" to="8374,3564" stroked="true" strokeweight="4.560pt" strokecolor="#d6c700">
              <v:stroke dashstyle="solid"/>
            </v:line>
            <v:line style="position:absolute" from="9006,2428" to="9006,3355" stroked="true" strokeweight="4.440pt" strokecolor="#d6c700">
              <v:stroke dashstyle="solid"/>
            </v:line>
            <v:shape style="position:absolute;left:2788;top:2428;width:1268;height:1798" coordorigin="2789,2428" coordsize="1268,1798" path="m2789,2428l2789,3273m3422,2428l3422,2724m4056,2428l4056,4226e" filled="false" stroked="true" strokeweight="4.560pt" strokecolor="#77923b">
              <v:path arrowok="t"/>
              <v:stroke dashstyle="solid"/>
            </v:shape>
            <v:shape style="position:absolute;left:4688;top:2428;width:634;height:2643" coordorigin="4688,2428" coordsize="634,2643" path="m4688,2428l4688,5052m5322,2428l5322,5071e" filled="false" stroked="true" strokeweight="4.440pt" strokecolor="#77923b">
              <v:path arrowok="t"/>
              <v:stroke dashstyle="solid"/>
            </v:shape>
            <v:shape style="position:absolute;left:5954;top:2428;width:1901;height:2211" coordorigin="5954,2428" coordsize="1901,2211" path="m5954,2428l5954,4639m6588,2428l6588,4145m7222,2428l7222,3367m7855,2428l7855,3021e" filled="false" stroked="true" strokeweight="4.560pt" strokecolor="#77923b">
              <v:path arrowok="t"/>
              <v:stroke dashstyle="solid"/>
            </v:shape>
            <v:shape style="position:absolute;left:8487;top:2428;width:634;height:675" coordorigin="8488,2428" coordsize="634,675" path="m8488,2428l8488,3103m9121,2428l9121,2736e" filled="false" stroked="true" strokeweight="4.440pt" strokecolor="#77923b">
              <v:path arrowok="t"/>
              <v:stroke dashstyle="solid"/>
            </v:shape>
            <v:shape style="position:absolute;left:2904;top:2428;width:1268;height:2446" coordorigin="2904,2428" coordsize="1268,2446" path="m2904,2428l2904,3900m3538,2428l3538,3643m4171,2428l4171,4874e" filled="false" stroked="true" strokeweight="4.560pt" strokecolor="#c74b0e">
              <v:path arrowok="t"/>
              <v:stroke dashstyle="solid"/>
            </v:shape>
            <v:line style="position:absolute" from="4804,2428" to="4804,5885" stroked="true" strokeweight="4.440pt" strokecolor="#c74b0e">
              <v:stroke dashstyle="solid"/>
            </v:line>
            <v:shape style="position:absolute;left:5436;top:2428;width:1901;height:3411" coordorigin="5436,2428" coordsize="1901,3411" path="m5436,2428l5436,5839m6070,2428l6070,5229m6703,2428l6703,4457m7337,2428l7337,3585e" filled="false" stroked="true" strokeweight="4.560pt" strokecolor="#c74b0e">
              <v:path arrowok="t"/>
              <v:stroke dashstyle="solid"/>
            </v:shape>
            <v:shape style="position:absolute;left:7969;top:2428;width:634;height:1107" coordorigin="7969,2428" coordsize="634,1107" path="m7969,2428l7969,3415m8603,2428l8603,3535e" filled="false" stroked="true" strokeweight="4.440pt" strokecolor="#c74b0e">
              <v:path arrowok="t"/>
              <v:stroke dashstyle="solid"/>
            </v:shape>
            <v:line style="position:absolute" from="9235,2428" to="9235,3432" stroked="true" strokeweight="4.560pt" strokecolor="#c74b0e">
              <v:stroke dashstyle="solid"/>
            </v:line>
            <v:shape style="position:absolute;left:2364;top:2428;width:51;height:3868" coordorigin="2365,2428" coordsize="51,3868" path="m2415,6296l2415,2428m2378,6296l2415,6296m2378,5973l2415,5973m2378,5652l2415,5652m2378,5328l2415,5328m2378,5006l2415,5006m2378,4685l2415,4685m2378,4363l2415,4363m2378,4039l2415,4039m2378,3717l2415,3717m2378,3396l2415,3396m2378,3072l2415,3072m2378,2750l2415,2750m2378,2428l2415,2428m2365,6296l2415,6296m2365,5652l2415,5652m2365,5006l2415,5006m2365,4363l2415,4363m2365,3717l2415,3717m2365,3072l2415,3072m2365,2428l2415,2428e" filled="false" stroked="true" strokeweight=".75pt" strokecolor="#000000">
              <v:path arrowok="t"/>
              <v:stroke dashstyle="solid"/>
            </v:shape>
            <v:line style="position:absolute" from="2415,2428" to="9380,2428" stroked="true" strokeweight=".25pt" strokecolor="#000000">
              <v:stroke dashstyle="solid"/>
            </v:line>
            <v:rect style="position:absolute;left:3480;top:6917;width:88;height:88" filled="true" fillcolor="#086939" stroked="false">
              <v:fill type="solid"/>
            </v:rect>
            <v:rect style="position:absolute;left:4735;top:6917;width:88;height:88" filled="true" fillcolor="#d6c700" stroked="false">
              <v:fill type="solid"/>
            </v:rect>
            <v:rect style="position:absolute;left:5893;top:6917;width:88;height:88" filled="true" fillcolor="#77923b" stroked="false">
              <v:fill type="solid"/>
            </v:rect>
            <v:rect style="position:absolute;left:6934;top:6917;width:88;height:88" filled="true" fillcolor="#c74b0e" stroked="false">
              <v:fill type="solid"/>
            </v:rect>
            <v:shape style="position:absolute;left:2399;top:3394;width:6989;height:1614" coordorigin="2399,3394" coordsize="6989,1614" path="m2427,4362l9387,4362m2399,3394l9373,3394m2400,5008l9374,5008e" filled="false" stroked="true" strokeweight=".25pt" strokecolor="#000000">
              <v:path arrowok="t"/>
              <v:stroke dashstyle="shortdot"/>
            </v:shape>
            <w10:wrap type="none"/>
          </v:group>
        </w:pict>
      </w:r>
      <w:r>
        <w:rPr>
          <w:rFonts w:ascii="Franklin Gothic Book"/>
          <w:sz w:val="20"/>
        </w:rPr>
        <w:t>Economic Outlook sono influenzati anche da considerazioni e valutazioni discrezionali da parte di esperti di ciascun Paese.</w:t>
      </w:r>
    </w:p>
    <w:p>
      <w:pPr>
        <w:spacing w:line="254" w:lineRule="auto" w:before="59"/>
        <w:ind w:left="761" w:right="2239" w:firstLine="0"/>
        <w:jc w:val="both"/>
        <w:rPr>
          <w:rFonts w:ascii="Franklin Gothic Book" w:hAnsi="Franklin Gothic Book"/>
          <w:sz w:val="20"/>
        </w:rPr>
      </w:pPr>
      <w:r>
        <w:rPr>
          <w:rFonts w:ascii="Franklin Gothic Book" w:hAnsi="Franklin Gothic Book"/>
          <w:sz w:val="20"/>
        </w:rPr>
        <w:t>Le stime del prodotto potenziale effettuate dal Tesoro seguono la metodologia concordata a livello europeo ma differiscono dalle stime della Commissione Europea per via di un diverso quadro macroeconomico, un diverso orizzonte temporale (T+4 vs T+2) e differenti ipotesi a priori sull’andamento del trend della Produttività Totale dei Fattori</w:t>
      </w:r>
      <w:r>
        <w:rPr>
          <w:rFonts w:ascii="Franklin Gothic Book" w:hAnsi="Franklin Gothic Book"/>
          <w:position w:val="5"/>
          <w:sz w:val="13"/>
        </w:rPr>
        <w:t>38</w:t>
      </w:r>
      <w:r>
        <w:rPr>
          <w:rFonts w:ascii="Franklin Gothic Book" w:hAnsi="Franklin Gothic Book"/>
          <w:sz w:val="20"/>
        </w:rPr>
        <w:t>.</w:t>
      </w:r>
    </w:p>
    <w:p>
      <w:pPr>
        <w:pStyle w:val="BodyText"/>
        <w:spacing w:before="5"/>
        <w:rPr>
          <w:rFonts w:ascii="Franklin Gothic Book"/>
          <w:sz w:val="23"/>
        </w:rPr>
      </w:pPr>
      <w:r>
        <w:rPr/>
        <w:pict>
          <v:shape style="position:absolute;margin-left:95.064003pt;margin-top:14.503066pt;width:388.55pt;height:14.65pt;mso-position-horizontal-relative:page;mso-position-vertical-relative:paragraph;z-index:-251493376;mso-wrap-distance-left:0;mso-wrap-distance-right:0" type="#_x0000_t202" filled="true" fillcolor="#086d44" stroked="false">
            <v:textbox inset="0,0,0,0">
              <w:txbxContent>
                <w:p>
                  <w:pPr>
                    <w:spacing w:before="45"/>
                    <w:ind w:left="28" w:right="0" w:firstLine="0"/>
                    <w:jc w:val="left"/>
                    <w:rPr>
                      <w:rFonts w:ascii="Franklin Gothic Heavy" w:hAnsi="Franklin Gothic Heavy"/>
                      <w:b/>
                      <w:sz w:val="17"/>
                    </w:rPr>
                  </w:pPr>
                  <w:r>
                    <w:rPr>
                      <w:rFonts w:ascii="Franklin Gothic Heavy" w:hAnsi="Franklin Gothic Heavy"/>
                      <w:b/>
                      <w:color w:val="EFEFEF"/>
                      <w:sz w:val="17"/>
                    </w:rPr>
                    <w:t>FIGURA R.1: STIME DELL’OUTPUT GAP PER L’ITALIA</w:t>
                  </w:r>
                </w:p>
              </w:txbxContent>
            </v:textbox>
            <v:fill type="solid"/>
            <w10:wrap type="topAndBottom"/>
          </v:shape>
        </w:pict>
      </w:r>
    </w:p>
    <w:p>
      <w:pPr>
        <w:spacing w:before="122"/>
        <w:ind w:left="1046" w:right="0" w:firstLine="0"/>
        <w:jc w:val="left"/>
        <w:rPr>
          <w:rFonts w:ascii="Calibri"/>
          <w:sz w:val="16"/>
        </w:rPr>
      </w:pPr>
      <w:r>
        <w:rPr>
          <w:rFonts w:ascii="Calibri"/>
          <w:w w:val="100"/>
          <w:sz w:val="16"/>
        </w:rPr>
        <w:t>0</w:t>
      </w:r>
    </w:p>
    <w:p>
      <w:pPr>
        <w:pStyle w:val="BodyText"/>
        <w:rPr>
          <w:rFonts w:ascii="Calibri"/>
          <w:sz w:val="20"/>
        </w:rPr>
      </w:pPr>
    </w:p>
    <w:p>
      <w:pPr>
        <w:pStyle w:val="BodyText"/>
        <w:spacing w:before="10"/>
        <w:rPr>
          <w:rFonts w:ascii="Calibri"/>
          <w:sz w:val="16"/>
        </w:rPr>
      </w:pPr>
    </w:p>
    <w:p>
      <w:pPr>
        <w:spacing w:before="0"/>
        <w:ind w:left="996" w:right="0" w:firstLine="0"/>
        <w:jc w:val="left"/>
        <w:rPr>
          <w:rFonts w:ascii="Calibri"/>
          <w:sz w:val="16"/>
        </w:rPr>
      </w:pPr>
      <w:r>
        <w:rPr>
          <w:rFonts w:ascii="Calibri"/>
          <w:sz w:val="16"/>
        </w:rPr>
        <w:t>-1</w:t>
      </w:r>
    </w:p>
    <w:p>
      <w:pPr>
        <w:pStyle w:val="BodyText"/>
        <w:rPr>
          <w:rFonts w:ascii="Calibri"/>
          <w:sz w:val="20"/>
        </w:rPr>
      </w:pPr>
    </w:p>
    <w:p>
      <w:pPr>
        <w:pStyle w:val="BodyText"/>
        <w:spacing w:before="9"/>
        <w:rPr>
          <w:rFonts w:ascii="Calibri"/>
          <w:sz w:val="16"/>
        </w:rPr>
      </w:pPr>
    </w:p>
    <w:p>
      <w:pPr>
        <w:spacing w:before="1"/>
        <w:ind w:left="996" w:right="0" w:firstLine="0"/>
        <w:jc w:val="left"/>
        <w:rPr>
          <w:rFonts w:ascii="Calibri"/>
          <w:sz w:val="16"/>
        </w:rPr>
      </w:pPr>
      <w:r>
        <w:rPr>
          <w:rFonts w:ascii="Calibri"/>
          <w:sz w:val="16"/>
        </w:rPr>
        <w:t>-2</w:t>
      </w:r>
    </w:p>
    <w:p>
      <w:pPr>
        <w:pStyle w:val="BodyText"/>
        <w:rPr>
          <w:rFonts w:ascii="Calibri"/>
          <w:sz w:val="20"/>
        </w:rPr>
      </w:pPr>
    </w:p>
    <w:p>
      <w:pPr>
        <w:pStyle w:val="BodyText"/>
        <w:spacing w:before="9"/>
        <w:rPr>
          <w:rFonts w:ascii="Calibri"/>
          <w:sz w:val="16"/>
        </w:rPr>
      </w:pPr>
    </w:p>
    <w:p>
      <w:pPr>
        <w:spacing w:before="0"/>
        <w:ind w:left="996" w:right="0" w:firstLine="0"/>
        <w:jc w:val="left"/>
        <w:rPr>
          <w:rFonts w:ascii="Calibri"/>
          <w:sz w:val="16"/>
        </w:rPr>
      </w:pPr>
      <w:r>
        <w:rPr>
          <w:rFonts w:ascii="Calibri"/>
          <w:sz w:val="16"/>
        </w:rPr>
        <w:t>-3</w:t>
      </w:r>
    </w:p>
    <w:p>
      <w:pPr>
        <w:pStyle w:val="BodyText"/>
        <w:rPr>
          <w:rFonts w:ascii="Calibri"/>
          <w:sz w:val="20"/>
        </w:rPr>
      </w:pPr>
    </w:p>
    <w:p>
      <w:pPr>
        <w:pStyle w:val="BodyText"/>
        <w:spacing w:before="10"/>
        <w:rPr>
          <w:rFonts w:ascii="Calibri"/>
          <w:sz w:val="16"/>
        </w:rPr>
      </w:pPr>
    </w:p>
    <w:p>
      <w:pPr>
        <w:spacing w:before="0"/>
        <w:ind w:left="996" w:right="0" w:firstLine="0"/>
        <w:jc w:val="left"/>
        <w:rPr>
          <w:rFonts w:ascii="Calibri"/>
          <w:sz w:val="16"/>
        </w:rPr>
      </w:pPr>
      <w:r>
        <w:rPr>
          <w:rFonts w:ascii="Calibri"/>
          <w:sz w:val="16"/>
        </w:rPr>
        <w:t>-4</w:t>
      </w:r>
    </w:p>
    <w:p>
      <w:pPr>
        <w:pStyle w:val="BodyText"/>
        <w:rPr>
          <w:rFonts w:ascii="Calibri"/>
          <w:sz w:val="20"/>
        </w:rPr>
      </w:pPr>
    </w:p>
    <w:p>
      <w:pPr>
        <w:pStyle w:val="BodyText"/>
        <w:spacing w:before="10"/>
        <w:rPr>
          <w:rFonts w:ascii="Calibri"/>
          <w:sz w:val="16"/>
        </w:rPr>
      </w:pPr>
    </w:p>
    <w:p>
      <w:pPr>
        <w:spacing w:before="0"/>
        <w:ind w:left="996" w:right="0" w:firstLine="0"/>
        <w:jc w:val="left"/>
        <w:rPr>
          <w:rFonts w:ascii="Calibri"/>
          <w:sz w:val="16"/>
        </w:rPr>
      </w:pPr>
      <w:r>
        <w:rPr>
          <w:rFonts w:ascii="Calibri"/>
          <w:sz w:val="16"/>
        </w:rPr>
        <w:t>-5</w:t>
      </w:r>
    </w:p>
    <w:p>
      <w:pPr>
        <w:pStyle w:val="BodyText"/>
        <w:rPr>
          <w:rFonts w:ascii="Calibri"/>
          <w:sz w:val="20"/>
        </w:rPr>
      </w:pPr>
    </w:p>
    <w:p>
      <w:pPr>
        <w:pStyle w:val="BodyText"/>
        <w:spacing w:before="10"/>
        <w:rPr>
          <w:rFonts w:ascii="Calibri"/>
          <w:sz w:val="16"/>
        </w:rPr>
      </w:pPr>
    </w:p>
    <w:p>
      <w:pPr>
        <w:spacing w:before="0"/>
        <w:ind w:left="996" w:right="0" w:firstLine="0"/>
        <w:jc w:val="left"/>
        <w:rPr>
          <w:rFonts w:ascii="Calibri"/>
          <w:sz w:val="16"/>
        </w:rPr>
      </w:pPr>
      <w:r>
        <w:rPr>
          <w:rFonts w:ascii="Calibri"/>
          <w:sz w:val="16"/>
        </w:rPr>
        <w:t>-6</w:t>
      </w:r>
    </w:p>
    <w:p>
      <w:pPr>
        <w:tabs>
          <w:tab w:pos="2063" w:val="left" w:leader="none"/>
          <w:tab w:pos="2696" w:val="left" w:leader="none"/>
          <w:tab w:pos="3329" w:val="left" w:leader="none"/>
          <w:tab w:pos="3963" w:val="left" w:leader="none"/>
          <w:tab w:pos="4596" w:val="left" w:leader="none"/>
          <w:tab w:pos="5229" w:val="left" w:leader="none"/>
          <w:tab w:pos="5863" w:val="left" w:leader="none"/>
          <w:tab w:pos="6496" w:val="left" w:leader="none"/>
          <w:tab w:pos="7129" w:val="left" w:leader="none"/>
          <w:tab w:pos="7762" w:val="left" w:leader="none"/>
        </w:tabs>
        <w:spacing w:before="13"/>
        <w:ind w:left="1430" w:right="0" w:firstLine="0"/>
        <w:jc w:val="left"/>
        <w:rPr>
          <w:rFonts w:ascii="Calibri"/>
          <w:sz w:val="16"/>
        </w:rPr>
      </w:pPr>
      <w:r>
        <w:rPr>
          <w:rFonts w:ascii="Calibri"/>
          <w:sz w:val="16"/>
        </w:rPr>
        <w:t>2010</w:t>
        <w:tab/>
        <w:t>2011</w:t>
        <w:tab/>
        <w:t>2012</w:t>
        <w:tab/>
        <w:t>2013</w:t>
        <w:tab/>
        <w:t>2014</w:t>
        <w:tab/>
        <w:t>2015</w:t>
        <w:tab/>
        <w:t>2016</w:t>
        <w:tab/>
        <w:t>2017</w:t>
        <w:tab/>
        <w:t>2018</w:t>
        <w:tab/>
        <w:t>2019</w:t>
        <w:tab/>
        <w:t>2020</w:t>
      </w:r>
    </w:p>
    <w:p>
      <w:pPr>
        <w:pStyle w:val="BodyText"/>
        <w:spacing w:before="10"/>
        <w:rPr>
          <w:rFonts w:ascii="Calibri"/>
          <w:sz w:val="15"/>
        </w:rPr>
      </w:pPr>
    </w:p>
    <w:p>
      <w:pPr>
        <w:tabs>
          <w:tab w:pos="3720" w:val="left" w:leader="none"/>
          <w:tab w:pos="4878" w:val="left" w:leader="none"/>
          <w:tab w:pos="5919" w:val="left" w:leader="none"/>
        </w:tabs>
        <w:spacing w:before="69"/>
        <w:ind w:left="2465" w:right="0" w:firstLine="0"/>
        <w:jc w:val="left"/>
        <w:rPr>
          <w:rFonts w:ascii="Calibri"/>
          <w:sz w:val="16"/>
        </w:rPr>
      </w:pPr>
      <w:r>
        <w:rPr>
          <w:rFonts w:ascii="Calibri"/>
          <w:sz w:val="16"/>
        </w:rPr>
        <w:t>COMM</w:t>
        <w:tab/>
        <w:t>OECD</w:t>
        <w:tab/>
        <w:t>IMF</w:t>
        <w:tab/>
        <w:t>MEF</w:t>
      </w:r>
    </w:p>
    <w:p>
      <w:pPr>
        <w:pStyle w:val="BodyText"/>
        <w:spacing w:before="6"/>
        <w:rPr>
          <w:rFonts w:ascii="Calibri"/>
          <w:sz w:val="12"/>
        </w:rPr>
      </w:pPr>
    </w:p>
    <w:p>
      <w:pPr>
        <w:spacing w:before="0"/>
        <w:ind w:left="833" w:right="2393" w:firstLine="0"/>
        <w:jc w:val="left"/>
        <w:rPr>
          <w:rFonts w:ascii="Franklin Gothic Book"/>
          <w:sz w:val="16"/>
        </w:rPr>
      </w:pPr>
      <w:r>
        <w:rPr>
          <w:rFonts w:ascii="Franklin Gothic Book"/>
          <w:sz w:val="16"/>
        </w:rPr>
        <w:t>Fonte: Commissione Europea (Spring Forecasts 2019), OCSE (Economic Outlook, Maggio 2019), FMI (World Economic Outlook, Aprile 2019), MEF</w:t>
      </w:r>
    </w:p>
    <w:p>
      <w:pPr>
        <w:pStyle w:val="BodyText"/>
        <w:spacing w:before="11"/>
        <w:rPr>
          <w:rFonts w:ascii="Franklin Gothic Book"/>
          <w:sz w:val="29"/>
        </w:rPr>
      </w:pPr>
    </w:p>
    <w:p>
      <w:pPr>
        <w:spacing w:line="254" w:lineRule="auto" w:before="99"/>
        <w:ind w:left="761" w:right="2231" w:firstLine="0"/>
        <w:jc w:val="both"/>
        <w:rPr>
          <w:rFonts w:ascii="Franklin Gothic Book" w:hAnsi="Franklin Gothic Book"/>
          <w:sz w:val="20"/>
        </w:rPr>
      </w:pPr>
      <w:r>
        <w:rPr>
          <w:rFonts w:ascii="Franklin Gothic Book" w:hAnsi="Franklin Gothic Book"/>
          <w:sz w:val="20"/>
        </w:rPr>
        <w:t>Il confronto tra le stime di output gap pubblicate dalle diverse istituzioni internazionali ne evidenzia la forte incertezza. In generale, prendendo a riferimento il periodo 2010-2020 si può notare (Figura R.1) che, sebbene ci sia un largo consenso nel constatare la fase di ciclo negativo che ha sperimentato l’Italia, esiste una significativa diversità di vedute circa l’ampiezza</w:t>
      </w:r>
      <w:r>
        <w:rPr>
          <w:rFonts w:ascii="Franklin Gothic Book" w:hAnsi="Franklin Gothic Book"/>
          <w:spacing w:val="-12"/>
          <w:sz w:val="20"/>
        </w:rPr>
        <w:t> </w:t>
      </w:r>
      <w:r>
        <w:rPr>
          <w:rFonts w:ascii="Franklin Gothic Book" w:hAnsi="Franklin Gothic Book"/>
          <w:sz w:val="20"/>
        </w:rPr>
        <w:t>dell’output</w:t>
      </w:r>
      <w:r>
        <w:rPr>
          <w:rFonts w:ascii="Franklin Gothic Book" w:hAnsi="Franklin Gothic Book"/>
          <w:spacing w:val="-11"/>
          <w:sz w:val="20"/>
        </w:rPr>
        <w:t> </w:t>
      </w:r>
      <w:r>
        <w:rPr>
          <w:rFonts w:ascii="Franklin Gothic Book" w:hAnsi="Franklin Gothic Book"/>
          <w:sz w:val="20"/>
        </w:rPr>
        <w:t>gap</w:t>
      </w:r>
      <w:r>
        <w:rPr>
          <w:rFonts w:ascii="Franklin Gothic Book" w:hAnsi="Franklin Gothic Book"/>
          <w:spacing w:val="-12"/>
          <w:sz w:val="20"/>
        </w:rPr>
        <w:t> </w:t>
      </w:r>
      <w:r>
        <w:rPr>
          <w:rFonts w:ascii="Franklin Gothic Book" w:hAnsi="Franklin Gothic Book"/>
          <w:sz w:val="20"/>
        </w:rPr>
        <w:t>e,</w:t>
      </w:r>
      <w:r>
        <w:rPr>
          <w:rFonts w:ascii="Franklin Gothic Book" w:hAnsi="Franklin Gothic Book"/>
          <w:spacing w:val="-10"/>
          <w:sz w:val="20"/>
        </w:rPr>
        <w:t> </w:t>
      </w:r>
      <w:r>
        <w:rPr>
          <w:rFonts w:ascii="Franklin Gothic Book" w:hAnsi="Franklin Gothic Book"/>
          <w:sz w:val="20"/>
        </w:rPr>
        <w:t>nell’ultima</w:t>
      </w:r>
      <w:r>
        <w:rPr>
          <w:rFonts w:ascii="Franklin Gothic Book" w:hAnsi="Franklin Gothic Book"/>
          <w:spacing w:val="-9"/>
          <w:sz w:val="20"/>
        </w:rPr>
        <w:t> </w:t>
      </w:r>
      <w:r>
        <w:rPr>
          <w:rFonts w:ascii="Franklin Gothic Book" w:hAnsi="Franklin Gothic Book"/>
          <w:sz w:val="20"/>
        </w:rPr>
        <w:t>parte</w:t>
      </w:r>
      <w:r>
        <w:rPr>
          <w:rFonts w:ascii="Franklin Gothic Book" w:hAnsi="Franklin Gothic Book"/>
          <w:spacing w:val="-12"/>
          <w:sz w:val="20"/>
        </w:rPr>
        <w:t> </w:t>
      </w:r>
      <w:r>
        <w:rPr>
          <w:rFonts w:ascii="Franklin Gothic Book" w:hAnsi="Franklin Gothic Book"/>
          <w:sz w:val="20"/>
        </w:rPr>
        <w:t>del</w:t>
      </w:r>
      <w:r>
        <w:rPr>
          <w:rFonts w:ascii="Franklin Gothic Book" w:hAnsi="Franklin Gothic Book"/>
          <w:spacing w:val="-12"/>
          <w:sz w:val="20"/>
        </w:rPr>
        <w:t> </w:t>
      </w:r>
      <w:r>
        <w:rPr>
          <w:rFonts w:ascii="Franklin Gothic Book" w:hAnsi="Franklin Gothic Book"/>
          <w:sz w:val="20"/>
        </w:rPr>
        <w:t>orizzonte</w:t>
      </w:r>
      <w:r>
        <w:rPr>
          <w:rFonts w:ascii="Franklin Gothic Book" w:hAnsi="Franklin Gothic Book"/>
          <w:spacing w:val="-13"/>
          <w:sz w:val="20"/>
        </w:rPr>
        <w:t> </w:t>
      </w:r>
      <w:r>
        <w:rPr>
          <w:rFonts w:ascii="Franklin Gothic Book" w:hAnsi="Franklin Gothic Book"/>
          <w:sz w:val="20"/>
        </w:rPr>
        <w:t>temporale,</w:t>
      </w:r>
      <w:r>
        <w:rPr>
          <w:rFonts w:ascii="Franklin Gothic Book" w:hAnsi="Franklin Gothic Book"/>
          <w:spacing w:val="-9"/>
          <w:sz w:val="20"/>
        </w:rPr>
        <w:t> </w:t>
      </w:r>
      <w:r>
        <w:rPr>
          <w:rFonts w:ascii="Franklin Gothic Book" w:hAnsi="Franklin Gothic Book"/>
          <w:sz w:val="20"/>
        </w:rPr>
        <w:t>nella</w:t>
      </w:r>
      <w:r>
        <w:rPr>
          <w:rFonts w:ascii="Franklin Gothic Book" w:hAnsi="Franklin Gothic Book"/>
          <w:spacing w:val="-12"/>
          <w:sz w:val="20"/>
        </w:rPr>
        <w:t> </w:t>
      </w:r>
      <w:r>
        <w:rPr>
          <w:rFonts w:ascii="Franklin Gothic Book" w:hAnsi="Franklin Gothic Book"/>
          <w:sz w:val="20"/>
        </w:rPr>
        <w:t>valutazione</w:t>
      </w:r>
      <w:r>
        <w:rPr>
          <w:rFonts w:ascii="Franklin Gothic Book" w:hAnsi="Franklin Gothic Book"/>
          <w:spacing w:val="-12"/>
          <w:sz w:val="20"/>
        </w:rPr>
        <w:t> </w:t>
      </w:r>
      <w:r>
        <w:rPr>
          <w:rFonts w:ascii="Franklin Gothic Book" w:hAnsi="Franklin Gothic Book"/>
          <w:sz w:val="20"/>
        </w:rPr>
        <w:t>della sua velocità di chiusura. Tornando al collegamento tra la dimensione dell’Output gap e le soglie</w:t>
      </w:r>
      <w:r>
        <w:rPr>
          <w:rFonts w:ascii="Franklin Gothic Book" w:hAnsi="Franklin Gothic Book"/>
          <w:spacing w:val="-12"/>
          <w:sz w:val="20"/>
        </w:rPr>
        <w:t> </w:t>
      </w:r>
      <w:r>
        <w:rPr>
          <w:rFonts w:ascii="Franklin Gothic Book" w:hAnsi="Franklin Gothic Book"/>
          <w:sz w:val="20"/>
        </w:rPr>
        <w:t>presenti</w:t>
      </w:r>
      <w:r>
        <w:rPr>
          <w:rFonts w:ascii="Franklin Gothic Book" w:hAnsi="Franklin Gothic Book"/>
          <w:spacing w:val="-11"/>
          <w:sz w:val="20"/>
        </w:rPr>
        <w:t> </w:t>
      </w:r>
      <w:r>
        <w:rPr>
          <w:rFonts w:ascii="Franklin Gothic Book" w:hAnsi="Franklin Gothic Book"/>
          <w:sz w:val="20"/>
        </w:rPr>
        <w:t>nella</w:t>
      </w:r>
      <w:r>
        <w:rPr>
          <w:rFonts w:ascii="Franklin Gothic Book" w:hAnsi="Franklin Gothic Book"/>
          <w:spacing w:val="-12"/>
          <w:sz w:val="20"/>
        </w:rPr>
        <w:t> </w:t>
      </w:r>
      <w:r>
        <w:rPr>
          <w:rFonts w:ascii="Franklin Gothic Book" w:hAnsi="Franklin Gothic Book"/>
          <w:sz w:val="20"/>
        </w:rPr>
        <w:t>matrice</w:t>
      </w:r>
      <w:r>
        <w:rPr>
          <w:rFonts w:ascii="Franklin Gothic Book" w:hAnsi="Franklin Gothic Book"/>
          <w:spacing w:val="-9"/>
          <w:sz w:val="20"/>
        </w:rPr>
        <w:t> </w:t>
      </w:r>
      <w:r>
        <w:rPr>
          <w:rFonts w:ascii="Franklin Gothic Book" w:hAnsi="Franklin Gothic Book"/>
          <w:sz w:val="20"/>
        </w:rPr>
        <w:t>di</w:t>
      </w:r>
      <w:r>
        <w:rPr>
          <w:rFonts w:ascii="Franklin Gothic Book" w:hAnsi="Franklin Gothic Book"/>
          <w:spacing w:val="-12"/>
          <w:sz w:val="20"/>
        </w:rPr>
        <w:t> </w:t>
      </w:r>
      <w:r>
        <w:rPr>
          <w:rFonts w:ascii="Franklin Gothic Book" w:hAnsi="Franklin Gothic Book"/>
          <w:sz w:val="20"/>
        </w:rPr>
        <w:t>convergenza,</w:t>
      </w:r>
      <w:r>
        <w:rPr>
          <w:rFonts w:ascii="Franklin Gothic Book" w:hAnsi="Franklin Gothic Book"/>
          <w:spacing w:val="-10"/>
          <w:sz w:val="20"/>
        </w:rPr>
        <w:t> </w:t>
      </w:r>
      <w:r>
        <w:rPr>
          <w:rFonts w:ascii="Franklin Gothic Book" w:hAnsi="Franklin Gothic Book"/>
          <w:sz w:val="20"/>
        </w:rPr>
        <w:t>nella</w:t>
      </w:r>
      <w:r>
        <w:rPr>
          <w:rFonts w:ascii="Franklin Gothic Book" w:hAnsi="Franklin Gothic Book"/>
          <w:spacing w:val="-12"/>
          <w:sz w:val="20"/>
        </w:rPr>
        <w:t> </w:t>
      </w:r>
      <w:r>
        <w:rPr>
          <w:rFonts w:ascii="Franklin Gothic Book" w:hAnsi="Franklin Gothic Book"/>
          <w:sz w:val="20"/>
        </w:rPr>
        <w:t>Figura</w:t>
      </w:r>
      <w:r>
        <w:rPr>
          <w:rFonts w:ascii="Franklin Gothic Book" w:hAnsi="Franklin Gothic Book"/>
          <w:spacing w:val="-8"/>
          <w:sz w:val="20"/>
        </w:rPr>
        <w:t> </w:t>
      </w:r>
      <w:r>
        <w:rPr>
          <w:rFonts w:ascii="Franklin Gothic Book" w:hAnsi="Franklin Gothic Book"/>
          <w:sz w:val="20"/>
        </w:rPr>
        <w:t>R.1</w:t>
      </w:r>
      <w:r>
        <w:rPr>
          <w:rFonts w:ascii="Franklin Gothic Book" w:hAnsi="Franklin Gothic Book"/>
          <w:spacing w:val="-11"/>
          <w:sz w:val="20"/>
        </w:rPr>
        <w:t> </w:t>
      </w:r>
      <w:r>
        <w:rPr>
          <w:rFonts w:ascii="Franklin Gothic Book" w:hAnsi="Franklin Gothic Book"/>
          <w:sz w:val="20"/>
        </w:rPr>
        <w:t>la</w:t>
      </w:r>
      <w:r>
        <w:rPr>
          <w:rFonts w:ascii="Franklin Gothic Book" w:hAnsi="Franklin Gothic Book"/>
          <w:spacing w:val="-11"/>
          <w:sz w:val="20"/>
        </w:rPr>
        <w:t> </w:t>
      </w:r>
      <w:r>
        <w:rPr>
          <w:rFonts w:ascii="Franklin Gothic Book" w:hAnsi="Franklin Gothic Book"/>
          <w:sz w:val="20"/>
        </w:rPr>
        <w:t>linea</w:t>
      </w:r>
      <w:r>
        <w:rPr>
          <w:rFonts w:ascii="Franklin Gothic Book" w:hAnsi="Franklin Gothic Book"/>
          <w:spacing w:val="-9"/>
          <w:sz w:val="20"/>
        </w:rPr>
        <w:t> </w:t>
      </w:r>
      <w:r>
        <w:rPr>
          <w:rFonts w:ascii="Franklin Gothic Book" w:hAnsi="Franklin Gothic Book"/>
          <w:sz w:val="20"/>
        </w:rPr>
        <w:t>nera</w:t>
      </w:r>
      <w:r>
        <w:rPr>
          <w:rFonts w:ascii="Franklin Gothic Book" w:hAnsi="Franklin Gothic Book"/>
          <w:spacing w:val="-8"/>
          <w:sz w:val="20"/>
        </w:rPr>
        <w:t> </w:t>
      </w:r>
      <w:r>
        <w:rPr>
          <w:rFonts w:ascii="Franklin Gothic Book" w:hAnsi="Franklin Gothic Book"/>
          <w:sz w:val="20"/>
        </w:rPr>
        <w:t>al</w:t>
      </w:r>
      <w:r>
        <w:rPr>
          <w:rFonts w:ascii="Franklin Gothic Book" w:hAnsi="Franklin Gothic Book"/>
          <w:spacing w:val="-12"/>
          <w:sz w:val="20"/>
        </w:rPr>
        <w:t> </w:t>
      </w:r>
      <w:r>
        <w:rPr>
          <w:rFonts w:ascii="Franklin Gothic Book" w:hAnsi="Franklin Gothic Book"/>
          <w:sz w:val="20"/>
        </w:rPr>
        <w:t>di</w:t>
      </w:r>
      <w:r>
        <w:rPr>
          <w:rFonts w:ascii="Franklin Gothic Book" w:hAnsi="Franklin Gothic Book"/>
          <w:spacing w:val="-11"/>
          <w:sz w:val="20"/>
        </w:rPr>
        <w:t> </w:t>
      </w:r>
      <w:r>
        <w:rPr>
          <w:rFonts w:ascii="Franklin Gothic Book" w:hAnsi="Franklin Gothic Book"/>
          <w:sz w:val="20"/>
        </w:rPr>
        <w:t>sotto</w:t>
      </w:r>
      <w:r>
        <w:rPr>
          <w:rFonts w:ascii="Franklin Gothic Book" w:hAnsi="Franklin Gothic Book"/>
          <w:spacing w:val="-12"/>
          <w:sz w:val="20"/>
        </w:rPr>
        <w:t> </w:t>
      </w:r>
      <w:r>
        <w:rPr>
          <w:rFonts w:ascii="Franklin Gothic Book" w:hAnsi="Franklin Gothic Book"/>
          <w:sz w:val="20"/>
        </w:rPr>
        <w:t>dell’asse delle ascisse denota il confine tra posizioni cicliche normali e negative (bad times); le successive</w:t>
      </w:r>
      <w:r>
        <w:rPr>
          <w:rFonts w:ascii="Franklin Gothic Book" w:hAnsi="Franklin Gothic Book"/>
          <w:spacing w:val="-11"/>
          <w:sz w:val="20"/>
        </w:rPr>
        <w:t> </w:t>
      </w:r>
      <w:r>
        <w:rPr>
          <w:rFonts w:ascii="Franklin Gothic Book" w:hAnsi="Franklin Gothic Book"/>
          <w:sz w:val="20"/>
        </w:rPr>
        <w:t>linee</w:t>
      </w:r>
      <w:r>
        <w:rPr>
          <w:rFonts w:ascii="Franklin Gothic Book" w:hAnsi="Franklin Gothic Book"/>
          <w:spacing w:val="-10"/>
          <w:sz w:val="20"/>
        </w:rPr>
        <w:t> </w:t>
      </w:r>
      <w:r>
        <w:rPr>
          <w:rFonts w:ascii="Franklin Gothic Book" w:hAnsi="Franklin Gothic Book"/>
          <w:sz w:val="20"/>
        </w:rPr>
        <w:t>tratteggiate</w:t>
      </w:r>
      <w:r>
        <w:rPr>
          <w:rFonts w:ascii="Franklin Gothic Book" w:hAnsi="Franklin Gothic Book"/>
          <w:spacing w:val="-8"/>
          <w:sz w:val="20"/>
        </w:rPr>
        <w:t> </w:t>
      </w:r>
      <w:r>
        <w:rPr>
          <w:rFonts w:ascii="Franklin Gothic Book" w:hAnsi="Franklin Gothic Book"/>
          <w:sz w:val="20"/>
        </w:rPr>
        <w:t>rappresentano</w:t>
      </w:r>
      <w:r>
        <w:rPr>
          <w:rFonts w:ascii="Franklin Gothic Book" w:hAnsi="Franklin Gothic Book"/>
          <w:spacing w:val="-10"/>
          <w:sz w:val="20"/>
        </w:rPr>
        <w:t> </w:t>
      </w:r>
      <w:r>
        <w:rPr>
          <w:rFonts w:ascii="Franklin Gothic Book" w:hAnsi="Franklin Gothic Book"/>
          <w:sz w:val="20"/>
        </w:rPr>
        <w:t>le</w:t>
      </w:r>
      <w:r>
        <w:rPr>
          <w:rFonts w:ascii="Franklin Gothic Book" w:hAnsi="Franklin Gothic Book"/>
          <w:spacing w:val="-10"/>
          <w:sz w:val="20"/>
        </w:rPr>
        <w:t> </w:t>
      </w:r>
      <w:r>
        <w:rPr>
          <w:rFonts w:ascii="Franklin Gothic Book" w:hAnsi="Franklin Gothic Book"/>
          <w:sz w:val="20"/>
        </w:rPr>
        <w:t>soglie</w:t>
      </w:r>
      <w:r>
        <w:rPr>
          <w:rFonts w:ascii="Franklin Gothic Book" w:hAnsi="Franklin Gothic Book"/>
          <w:spacing w:val="-11"/>
          <w:sz w:val="20"/>
        </w:rPr>
        <w:t> </w:t>
      </w:r>
      <w:r>
        <w:rPr>
          <w:rFonts w:ascii="Franklin Gothic Book" w:hAnsi="Franklin Gothic Book"/>
          <w:sz w:val="20"/>
        </w:rPr>
        <w:t>successive.</w:t>
      </w:r>
      <w:r>
        <w:rPr>
          <w:rFonts w:ascii="Franklin Gothic Book" w:hAnsi="Franklin Gothic Book"/>
          <w:spacing w:val="-9"/>
          <w:sz w:val="20"/>
        </w:rPr>
        <w:t> </w:t>
      </w:r>
      <w:r>
        <w:rPr>
          <w:rFonts w:ascii="Franklin Gothic Book" w:hAnsi="Franklin Gothic Book"/>
          <w:sz w:val="20"/>
        </w:rPr>
        <w:t>Come</w:t>
      </w:r>
      <w:r>
        <w:rPr>
          <w:rFonts w:ascii="Franklin Gothic Book" w:hAnsi="Franklin Gothic Book"/>
          <w:spacing w:val="-10"/>
          <w:sz w:val="20"/>
        </w:rPr>
        <w:t> </w:t>
      </w:r>
      <w:r>
        <w:rPr>
          <w:rFonts w:ascii="Franklin Gothic Book" w:hAnsi="Franklin Gothic Book"/>
          <w:sz w:val="20"/>
        </w:rPr>
        <w:t>si</w:t>
      </w:r>
      <w:r>
        <w:rPr>
          <w:rFonts w:ascii="Franklin Gothic Book" w:hAnsi="Franklin Gothic Book"/>
          <w:spacing w:val="-9"/>
          <w:sz w:val="20"/>
        </w:rPr>
        <w:t> </w:t>
      </w:r>
      <w:r>
        <w:rPr>
          <w:rFonts w:ascii="Franklin Gothic Book" w:hAnsi="Franklin Gothic Book"/>
          <w:sz w:val="20"/>
        </w:rPr>
        <w:t>può</w:t>
      </w:r>
      <w:r>
        <w:rPr>
          <w:rFonts w:ascii="Franklin Gothic Book" w:hAnsi="Franklin Gothic Book"/>
          <w:spacing w:val="-10"/>
          <w:sz w:val="20"/>
        </w:rPr>
        <w:t> </w:t>
      </w:r>
      <w:r>
        <w:rPr>
          <w:rFonts w:ascii="Franklin Gothic Book" w:hAnsi="Franklin Gothic Book"/>
          <w:sz w:val="20"/>
        </w:rPr>
        <w:t>notare,</w:t>
      </w:r>
      <w:r>
        <w:rPr>
          <w:rFonts w:ascii="Franklin Gothic Book" w:hAnsi="Franklin Gothic Book"/>
          <w:spacing w:val="-8"/>
          <w:sz w:val="20"/>
        </w:rPr>
        <w:t> </w:t>
      </w:r>
      <w:r>
        <w:rPr>
          <w:rFonts w:ascii="Franklin Gothic Book" w:hAnsi="Franklin Gothic Book"/>
          <w:sz w:val="20"/>
        </w:rPr>
        <w:t>mentre per la COMM le condizioni cicliche dell’Italia sarebbero normali già a partire dal 2017 (con tendenza dell’output gap a chiudersi a partire dal 2020), secondo le stime del MEF e dell’OCSE le condizioni cicliche dell’Italia continuerebbero ad essere negative fino al</w:t>
      </w:r>
      <w:r>
        <w:rPr>
          <w:rFonts w:ascii="Franklin Gothic Book" w:hAnsi="Franklin Gothic Book"/>
          <w:spacing w:val="-24"/>
          <w:sz w:val="20"/>
        </w:rPr>
        <w:t> </w:t>
      </w:r>
      <w:r>
        <w:rPr>
          <w:rFonts w:ascii="Franklin Gothic Book" w:hAnsi="Franklin Gothic Book"/>
          <w:sz w:val="20"/>
        </w:rPr>
        <w:t>2020.</w:t>
      </w: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spacing w:before="2"/>
        <w:rPr>
          <w:rFonts w:ascii="Franklin Gothic Book"/>
          <w:sz w:val="27"/>
        </w:rPr>
      </w:pPr>
      <w:r>
        <w:rPr/>
        <w:pict>
          <v:group style="position:absolute;margin-left:93.599998pt;margin-top:17.381739pt;width:21.4pt;height:2.15pt;mso-position-horizontal-relative:page;mso-position-vertical-relative:paragraph;z-index:-251492352;mso-wrap-distance-left:0;mso-wrap-distance-right:0" coordorigin="1872,348" coordsize="428,43">
            <v:line style="position:absolute" from="1872,368" to="2299,368" stroked="true" strokeweight="2pt" strokecolor="#aaaaaa">
              <v:stroke dashstyle="solid"/>
            </v:line>
            <v:rect style="position:absolute;left:1872;top:349;width:5;height:5" filled="true" fillcolor="#9f9f9f" stroked="false">
              <v:fill type="solid"/>
            </v:rect>
            <v:rect style="position:absolute;left:1872;top:349;width:5;height:5" filled="true" fillcolor="#9f9f9f" stroked="false">
              <v:fill type="solid"/>
            </v:rect>
            <v:line style="position:absolute" from="1877,352" to="2295,352" stroked="true" strokeweight=".23999pt" strokecolor="#9f9f9f">
              <v:stroke dashstyle="solid"/>
            </v:line>
            <v:rect style="position:absolute;left:2294;top:349;width:5;height:5" filled="true" fillcolor="#e2e2e2" stroked="false">
              <v:fill type="solid"/>
            </v:rect>
            <v:rect style="position:absolute;left:2294;top:349;width:5;height:5" filled="true" fillcolor="#9f9f9f" stroked="false">
              <v:fill type="solid"/>
            </v:rect>
            <v:rect style="position:absolute;left:1872;top:354;width:5;height:32" filled="true" fillcolor="#9f9f9f" stroked="false">
              <v:fill type="solid"/>
            </v:rect>
            <v:rect style="position:absolute;left:2294;top:354;width:5;height:32" filled="true" fillcolor="#e2e2e2" stroked="false">
              <v:fill type="solid"/>
            </v:rect>
            <v:rect style="position:absolute;left:1872;top:385;width:5;height:5" filled="true" fillcolor="#9f9f9f" stroked="false">
              <v:fill type="solid"/>
            </v:rect>
            <v:rect style="position:absolute;left:1872;top:385;width:5;height:5" filled="true" fillcolor="#e2e2e2" stroked="false">
              <v:fill type="solid"/>
            </v:rect>
            <v:line style="position:absolute" from="1877,388" to="2295,388" stroked="true" strokeweight=".24005pt" strokecolor="#e2e2e2">
              <v:stroke dashstyle="solid"/>
            </v:line>
            <v:rect style="position:absolute;left:2294;top:385;width:5;height:5" filled="true" fillcolor="#e2e2e2" stroked="false">
              <v:fill type="solid"/>
            </v:rect>
            <v:rect style="position:absolute;left:2294;top:385;width:5;height:5" filled="true" fillcolor="#e2e2e2" stroked="false">
              <v:fill type="solid"/>
            </v:rect>
            <w10:wrap type="topAndBottom"/>
          </v:group>
        </w:pict>
      </w:r>
    </w:p>
    <w:p>
      <w:pPr>
        <w:spacing w:before="18"/>
        <w:ind w:left="278" w:right="2267" w:firstLine="453"/>
        <w:jc w:val="both"/>
        <w:rPr>
          <w:sz w:val="16"/>
        </w:rPr>
      </w:pPr>
      <w:r>
        <w:rPr>
          <w:position w:val="6"/>
          <w:sz w:val="10"/>
        </w:rPr>
        <w:t>38 </w:t>
      </w:r>
      <w:r>
        <w:rPr>
          <w:sz w:val="16"/>
        </w:rPr>
        <w:t>Il filtro di Kalman necessita di parametri di inizializzazione per le varianze dei fattori latenti. La scelta di tali parametri può influenzare sensibilmente la stima finale. Poiché i parametri scelti dalla Commissione europea per l’Italia danno luogo a stime del trend della Produttività Totale dei Fattori continuativamente decrescente per il periodo 2005-2018</w:t>
      </w:r>
    </w:p>
    <w:p>
      <w:pPr>
        <w:spacing w:after="0"/>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1128" w:right="1410" w:firstLine="453"/>
        <w:jc w:val="both"/>
      </w:pPr>
      <w:r>
        <w:rPr/>
        <w:t>La conformità con i requisiti del braccio preventivo del Patto di Stabilità e Crescita è valutata con un approccio a due pilastri. L’utilizzo del criterio del saldo strutturale, è, infatti, supportato da una valutazione del rispetto del parametro di riferimento per la spesa. Quest’ultimo consiste in un'analisi del tasso di crescita di un aggregato di spesa di riferimento al netto delle misure discrezionali in materia di</w:t>
      </w:r>
      <w:r>
        <w:rPr>
          <w:spacing w:val="-10"/>
        </w:rPr>
        <w:t> </w:t>
      </w:r>
      <w:r>
        <w:rPr/>
        <w:t>entrate</w:t>
      </w:r>
      <w:r>
        <w:rPr>
          <w:vertAlign w:val="superscript"/>
        </w:rPr>
        <w:t>39</w:t>
      </w:r>
      <w:r>
        <w:rPr>
          <w:vertAlign w:val="baseline"/>
        </w:rPr>
        <w:t>.</w:t>
      </w:r>
      <w:r>
        <w:rPr>
          <w:spacing w:val="-9"/>
          <w:vertAlign w:val="baseline"/>
        </w:rPr>
        <w:t> </w:t>
      </w:r>
      <w:r>
        <w:rPr>
          <w:vertAlign w:val="baseline"/>
        </w:rPr>
        <w:t>Gli</w:t>
      </w:r>
      <w:r>
        <w:rPr>
          <w:spacing w:val="-9"/>
          <w:vertAlign w:val="baseline"/>
        </w:rPr>
        <w:t> </w:t>
      </w:r>
      <w:r>
        <w:rPr>
          <w:vertAlign w:val="baseline"/>
        </w:rPr>
        <w:t>Stati</w:t>
      </w:r>
      <w:r>
        <w:rPr>
          <w:spacing w:val="-9"/>
          <w:vertAlign w:val="baseline"/>
        </w:rPr>
        <w:t> </w:t>
      </w:r>
      <w:r>
        <w:rPr>
          <w:vertAlign w:val="baseline"/>
        </w:rPr>
        <w:t>membri</w:t>
      </w:r>
      <w:r>
        <w:rPr>
          <w:spacing w:val="-9"/>
          <w:vertAlign w:val="baseline"/>
        </w:rPr>
        <w:t> </w:t>
      </w:r>
      <w:r>
        <w:rPr>
          <w:vertAlign w:val="baseline"/>
        </w:rPr>
        <w:t>che</w:t>
      </w:r>
      <w:r>
        <w:rPr>
          <w:spacing w:val="-11"/>
          <w:vertAlign w:val="baseline"/>
        </w:rPr>
        <w:t> </w:t>
      </w:r>
      <w:r>
        <w:rPr>
          <w:vertAlign w:val="baseline"/>
        </w:rPr>
        <w:t>seguono</w:t>
      </w:r>
      <w:r>
        <w:rPr>
          <w:spacing w:val="-10"/>
          <w:vertAlign w:val="baseline"/>
        </w:rPr>
        <w:t> </w:t>
      </w:r>
      <w:r>
        <w:rPr>
          <w:vertAlign w:val="baseline"/>
        </w:rPr>
        <w:t>il</w:t>
      </w:r>
      <w:r>
        <w:rPr>
          <w:spacing w:val="-10"/>
          <w:vertAlign w:val="baseline"/>
        </w:rPr>
        <w:t> </w:t>
      </w:r>
      <w:r>
        <w:rPr>
          <w:vertAlign w:val="baseline"/>
        </w:rPr>
        <w:t>percorso</w:t>
      </w:r>
      <w:r>
        <w:rPr>
          <w:spacing w:val="-10"/>
          <w:vertAlign w:val="baseline"/>
        </w:rPr>
        <w:t> </w:t>
      </w:r>
      <w:r>
        <w:rPr>
          <w:vertAlign w:val="baseline"/>
        </w:rPr>
        <w:t>di</w:t>
      </w:r>
      <w:r>
        <w:rPr>
          <w:spacing w:val="-10"/>
          <w:vertAlign w:val="baseline"/>
        </w:rPr>
        <w:t> </w:t>
      </w:r>
      <w:r>
        <w:rPr>
          <w:vertAlign w:val="baseline"/>
        </w:rPr>
        <w:t>aggiustamento</w:t>
      </w:r>
      <w:r>
        <w:rPr>
          <w:spacing w:val="-10"/>
          <w:vertAlign w:val="baseline"/>
        </w:rPr>
        <w:t> </w:t>
      </w:r>
      <w:r>
        <w:rPr>
          <w:vertAlign w:val="baseline"/>
        </w:rPr>
        <w:t>verso</w:t>
      </w:r>
      <w:r>
        <w:rPr>
          <w:spacing w:val="-10"/>
          <w:vertAlign w:val="baseline"/>
        </w:rPr>
        <w:t> </w:t>
      </w:r>
      <w:r>
        <w:rPr>
          <w:vertAlign w:val="baseline"/>
        </w:rPr>
        <w:t>l'OMT, come</w:t>
      </w:r>
      <w:r>
        <w:rPr>
          <w:spacing w:val="-9"/>
          <w:vertAlign w:val="baseline"/>
        </w:rPr>
        <w:t> </w:t>
      </w:r>
      <w:r>
        <w:rPr>
          <w:vertAlign w:val="baseline"/>
        </w:rPr>
        <w:t>l’Italia,</w:t>
      </w:r>
      <w:r>
        <w:rPr>
          <w:spacing w:val="-7"/>
          <w:vertAlign w:val="baseline"/>
        </w:rPr>
        <w:t> </w:t>
      </w:r>
      <w:r>
        <w:rPr>
          <w:vertAlign w:val="baseline"/>
        </w:rPr>
        <w:t>devono</w:t>
      </w:r>
      <w:r>
        <w:rPr>
          <w:spacing w:val="-9"/>
          <w:vertAlign w:val="baseline"/>
        </w:rPr>
        <w:t> </w:t>
      </w:r>
      <w:r>
        <w:rPr>
          <w:vertAlign w:val="baseline"/>
        </w:rPr>
        <w:t>garantire</w:t>
      </w:r>
      <w:r>
        <w:rPr>
          <w:spacing w:val="-8"/>
          <w:vertAlign w:val="baseline"/>
        </w:rPr>
        <w:t> </w:t>
      </w:r>
      <w:r>
        <w:rPr>
          <w:vertAlign w:val="baseline"/>
        </w:rPr>
        <w:t>che</w:t>
      </w:r>
      <w:r>
        <w:rPr>
          <w:spacing w:val="-9"/>
          <w:vertAlign w:val="baseline"/>
        </w:rPr>
        <w:t> </w:t>
      </w:r>
      <w:r>
        <w:rPr>
          <w:vertAlign w:val="baseline"/>
        </w:rPr>
        <w:t>la</w:t>
      </w:r>
      <w:r>
        <w:rPr>
          <w:spacing w:val="-9"/>
          <w:vertAlign w:val="baseline"/>
        </w:rPr>
        <w:t> </w:t>
      </w:r>
      <w:r>
        <w:rPr>
          <w:vertAlign w:val="baseline"/>
        </w:rPr>
        <w:t>loro</w:t>
      </w:r>
      <w:r>
        <w:rPr>
          <w:spacing w:val="-8"/>
          <w:vertAlign w:val="baseline"/>
        </w:rPr>
        <w:t> </w:t>
      </w:r>
      <w:r>
        <w:rPr>
          <w:vertAlign w:val="baseline"/>
        </w:rPr>
        <w:t>spesa</w:t>
      </w:r>
      <w:r>
        <w:rPr>
          <w:spacing w:val="-8"/>
          <w:vertAlign w:val="baseline"/>
        </w:rPr>
        <w:t> </w:t>
      </w:r>
      <w:r>
        <w:rPr>
          <w:vertAlign w:val="baseline"/>
        </w:rPr>
        <w:t>rilevante</w:t>
      </w:r>
      <w:r>
        <w:rPr>
          <w:spacing w:val="-8"/>
          <w:vertAlign w:val="baseline"/>
        </w:rPr>
        <w:t> </w:t>
      </w:r>
      <w:r>
        <w:rPr>
          <w:vertAlign w:val="baseline"/>
        </w:rPr>
        <w:t>per</w:t>
      </w:r>
      <w:r>
        <w:rPr>
          <w:spacing w:val="-7"/>
          <w:vertAlign w:val="baseline"/>
        </w:rPr>
        <w:t> </w:t>
      </w:r>
      <w:r>
        <w:rPr>
          <w:vertAlign w:val="baseline"/>
        </w:rPr>
        <w:t>il</w:t>
      </w:r>
      <w:r>
        <w:rPr>
          <w:spacing w:val="-9"/>
          <w:vertAlign w:val="baseline"/>
        </w:rPr>
        <w:t> </w:t>
      </w:r>
      <w:r>
        <w:rPr>
          <w:vertAlign w:val="baseline"/>
        </w:rPr>
        <w:t>criterio</w:t>
      </w:r>
      <w:r>
        <w:rPr>
          <w:spacing w:val="-9"/>
          <w:vertAlign w:val="baseline"/>
        </w:rPr>
        <w:t> </w:t>
      </w:r>
      <w:r>
        <w:rPr>
          <w:vertAlign w:val="baseline"/>
        </w:rPr>
        <w:t>cresca</w:t>
      </w:r>
      <w:r>
        <w:rPr>
          <w:spacing w:val="-8"/>
          <w:vertAlign w:val="baseline"/>
        </w:rPr>
        <w:t> </w:t>
      </w:r>
      <w:r>
        <w:rPr>
          <w:vertAlign w:val="baseline"/>
        </w:rPr>
        <w:t>a</w:t>
      </w:r>
      <w:r>
        <w:rPr>
          <w:spacing w:val="-8"/>
          <w:vertAlign w:val="baseline"/>
        </w:rPr>
        <w:t> </w:t>
      </w:r>
      <w:r>
        <w:rPr>
          <w:vertAlign w:val="baseline"/>
        </w:rPr>
        <w:t>un tasso inferiore al tasso di crescita a medio termine del Pil potenziale, a meno di misure discrezionali sul lato delle entrate che compensino l’eventuale sforamento dal</w:t>
      </w:r>
      <w:r>
        <w:rPr>
          <w:spacing w:val="-1"/>
          <w:vertAlign w:val="baseline"/>
        </w:rPr>
        <w:t> </w:t>
      </w:r>
      <w:r>
        <w:rPr>
          <w:i/>
          <w:vertAlign w:val="baseline"/>
        </w:rPr>
        <w:t>benchmark</w:t>
      </w:r>
      <w:r>
        <w:rPr>
          <w:vertAlign w:val="baseline"/>
        </w:rPr>
        <w:t>.</w:t>
      </w:r>
    </w:p>
    <w:p>
      <w:pPr>
        <w:pStyle w:val="BodyText"/>
        <w:spacing w:line="252" w:lineRule="auto" w:before="1"/>
        <w:ind w:left="1128" w:right="1411" w:firstLine="453"/>
        <w:jc w:val="both"/>
      </w:pPr>
      <w:r>
        <w:rPr/>
        <w:t>Come</w:t>
      </w:r>
      <w:r>
        <w:rPr>
          <w:spacing w:val="-13"/>
        </w:rPr>
        <w:t> </w:t>
      </w:r>
      <w:r>
        <w:rPr/>
        <w:t>si</w:t>
      </w:r>
      <w:r>
        <w:rPr>
          <w:spacing w:val="-12"/>
        </w:rPr>
        <w:t> </w:t>
      </w:r>
      <w:r>
        <w:rPr/>
        <w:t>evince</w:t>
      </w:r>
      <w:r>
        <w:rPr>
          <w:spacing w:val="-12"/>
        </w:rPr>
        <w:t> </w:t>
      </w:r>
      <w:r>
        <w:rPr/>
        <w:t>dalla</w:t>
      </w:r>
      <w:r>
        <w:rPr>
          <w:spacing w:val="-11"/>
        </w:rPr>
        <w:t> </w:t>
      </w:r>
      <w:r>
        <w:rPr/>
        <w:t>Tav.</w:t>
      </w:r>
      <w:r>
        <w:rPr>
          <w:spacing w:val="-12"/>
        </w:rPr>
        <w:t> </w:t>
      </w:r>
      <w:r>
        <w:rPr/>
        <w:t>III.6,</w:t>
      </w:r>
      <w:r>
        <w:rPr>
          <w:spacing w:val="-11"/>
        </w:rPr>
        <w:t> </w:t>
      </w:r>
      <w:r>
        <w:rPr/>
        <w:t>la</w:t>
      </w:r>
      <w:r>
        <w:rPr>
          <w:spacing w:val="-13"/>
        </w:rPr>
        <w:t> </w:t>
      </w:r>
      <w:r>
        <w:rPr/>
        <w:t>programmazione</w:t>
      </w:r>
      <w:r>
        <w:rPr>
          <w:spacing w:val="-11"/>
        </w:rPr>
        <w:t> </w:t>
      </w:r>
      <w:r>
        <w:rPr/>
        <w:t>di</w:t>
      </w:r>
      <w:r>
        <w:rPr>
          <w:spacing w:val="-12"/>
        </w:rPr>
        <w:t> </w:t>
      </w:r>
      <w:r>
        <w:rPr/>
        <w:t>bilancio</w:t>
      </w:r>
      <w:r>
        <w:rPr>
          <w:spacing w:val="-13"/>
        </w:rPr>
        <w:t> </w:t>
      </w:r>
      <w:r>
        <w:rPr/>
        <w:t>dell’Italia</w:t>
      </w:r>
      <w:r>
        <w:rPr>
          <w:spacing w:val="-12"/>
        </w:rPr>
        <w:t> </w:t>
      </w:r>
      <w:r>
        <w:rPr/>
        <w:t>è</w:t>
      </w:r>
      <w:r>
        <w:rPr>
          <w:spacing w:val="-13"/>
        </w:rPr>
        <w:t> </w:t>
      </w:r>
      <w:r>
        <w:rPr/>
        <w:t>stata pienamente coerente con le prescrizioni della regola di spesa dal 2014 al 2016, mentre</w:t>
      </w:r>
      <w:r>
        <w:rPr>
          <w:spacing w:val="-7"/>
        </w:rPr>
        <w:t> </w:t>
      </w:r>
      <w:r>
        <w:rPr/>
        <w:t>nel</w:t>
      </w:r>
      <w:r>
        <w:rPr>
          <w:spacing w:val="-8"/>
        </w:rPr>
        <w:t> </w:t>
      </w:r>
      <w:r>
        <w:rPr/>
        <w:t>2017</w:t>
      </w:r>
      <w:r>
        <w:rPr>
          <w:spacing w:val="-11"/>
        </w:rPr>
        <w:t> </w:t>
      </w:r>
      <w:r>
        <w:rPr/>
        <w:t>vi</w:t>
      </w:r>
      <w:r>
        <w:rPr>
          <w:spacing w:val="-8"/>
        </w:rPr>
        <w:t> </w:t>
      </w:r>
      <w:r>
        <w:rPr/>
        <w:t>è</w:t>
      </w:r>
      <w:r>
        <w:rPr>
          <w:spacing w:val="-10"/>
        </w:rPr>
        <w:t> </w:t>
      </w:r>
      <w:r>
        <w:rPr/>
        <w:t>stata</w:t>
      </w:r>
      <w:r>
        <w:rPr>
          <w:spacing w:val="-7"/>
        </w:rPr>
        <w:t> </w:t>
      </w:r>
      <w:r>
        <w:rPr/>
        <w:t>una</w:t>
      </w:r>
      <w:r>
        <w:rPr>
          <w:spacing w:val="-8"/>
        </w:rPr>
        <w:t> </w:t>
      </w:r>
      <w:r>
        <w:rPr/>
        <w:t>deviazione,</w:t>
      </w:r>
      <w:r>
        <w:rPr>
          <w:spacing w:val="-9"/>
        </w:rPr>
        <w:t> </w:t>
      </w:r>
      <w:r>
        <w:rPr/>
        <w:t>non</w:t>
      </w:r>
      <w:r>
        <w:rPr>
          <w:spacing w:val="-8"/>
        </w:rPr>
        <w:t> </w:t>
      </w:r>
      <w:r>
        <w:rPr/>
        <w:t>significativa,</w:t>
      </w:r>
      <w:r>
        <w:rPr>
          <w:spacing w:val="-7"/>
        </w:rPr>
        <w:t> </w:t>
      </w:r>
      <w:r>
        <w:rPr/>
        <w:t>sia</w:t>
      </w:r>
      <w:r>
        <w:rPr>
          <w:spacing w:val="-8"/>
        </w:rPr>
        <w:t> </w:t>
      </w:r>
      <w:r>
        <w:rPr/>
        <w:t>sul</w:t>
      </w:r>
      <w:r>
        <w:rPr>
          <w:spacing w:val="-9"/>
        </w:rPr>
        <w:t> </w:t>
      </w:r>
      <w:r>
        <w:rPr/>
        <w:t>criterio</w:t>
      </w:r>
      <w:r>
        <w:rPr>
          <w:spacing w:val="-9"/>
        </w:rPr>
        <w:t> </w:t>
      </w:r>
      <w:r>
        <w:rPr/>
        <w:t>annuale che su quello biennale. Nel 2018 l’Italia ha deviato in modo marginalmente significativo sul criterio annuale con uno sforamento appena superiore al margine di</w:t>
      </w:r>
      <w:r>
        <w:rPr>
          <w:spacing w:val="-17"/>
        </w:rPr>
        <w:t> </w:t>
      </w:r>
      <w:r>
        <w:rPr/>
        <w:t>tolleranza</w:t>
      </w:r>
      <w:r>
        <w:rPr>
          <w:spacing w:val="-15"/>
        </w:rPr>
        <w:t> </w:t>
      </w:r>
      <w:r>
        <w:rPr/>
        <w:t>concesso</w:t>
      </w:r>
      <w:r>
        <w:rPr>
          <w:spacing w:val="-15"/>
        </w:rPr>
        <w:t> </w:t>
      </w:r>
      <w:r>
        <w:rPr/>
        <w:t>dalla</w:t>
      </w:r>
      <w:r>
        <w:rPr>
          <w:spacing w:val="-15"/>
        </w:rPr>
        <w:t> </w:t>
      </w:r>
      <w:r>
        <w:rPr/>
        <w:t>disciplina</w:t>
      </w:r>
      <w:r>
        <w:rPr>
          <w:spacing w:val="-16"/>
        </w:rPr>
        <w:t> </w:t>
      </w:r>
      <w:r>
        <w:rPr/>
        <w:t>fiscale</w:t>
      </w:r>
      <w:r>
        <w:rPr>
          <w:spacing w:val="-15"/>
        </w:rPr>
        <w:t> </w:t>
      </w:r>
      <w:r>
        <w:rPr/>
        <w:t>europea,</w:t>
      </w:r>
      <w:r>
        <w:rPr>
          <w:spacing w:val="-14"/>
        </w:rPr>
        <w:t> </w:t>
      </w:r>
      <w:r>
        <w:rPr/>
        <w:t>mentre</w:t>
      </w:r>
      <w:r>
        <w:rPr>
          <w:spacing w:val="-14"/>
        </w:rPr>
        <w:t> </w:t>
      </w:r>
      <w:r>
        <w:rPr/>
        <w:t>non</w:t>
      </w:r>
      <w:r>
        <w:rPr>
          <w:spacing w:val="-16"/>
        </w:rPr>
        <w:t> </w:t>
      </w:r>
      <w:r>
        <w:rPr/>
        <w:t>veniva</w:t>
      </w:r>
      <w:r>
        <w:rPr>
          <w:spacing w:val="-15"/>
        </w:rPr>
        <w:t> </w:t>
      </w:r>
      <w:r>
        <w:rPr/>
        <w:t>rispettato il</w:t>
      </w:r>
      <w:r>
        <w:rPr>
          <w:spacing w:val="-8"/>
        </w:rPr>
        <w:t> </w:t>
      </w:r>
      <w:r>
        <w:rPr/>
        <w:t>criterio</w:t>
      </w:r>
      <w:r>
        <w:rPr>
          <w:spacing w:val="-8"/>
        </w:rPr>
        <w:t> </w:t>
      </w:r>
      <w:r>
        <w:rPr/>
        <w:t>biennale.</w:t>
      </w:r>
      <w:r>
        <w:rPr>
          <w:spacing w:val="-8"/>
        </w:rPr>
        <w:t> </w:t>
      </w:r>
      <w:r>
        <w:rPr/>
        <w:t>Nel</w:t>
      </w:r>
      <w:r>
        <w:rPr>
          <w:spacing w:val="-11"/>
        </w:rPr>
        <w:t> </w:t>
      </w:r>
      <w:r>
        <w:rPr/>
        <w:t>2019</w:t>
      </w:r>
      <w:r>
        <w:rPr>
          <w:spacing w:val="-7"/>
        </w:rPr>
        <w:t> </w:t>
      </w:r>
      <w:r>
        <w:rPr/>
        <w:t>il</w:t>
      </w:r>
      <w:r>
        <w:rPr>
          <w:spacing w:val="-7"/>
        </w:rPr>
        <w:t> </w:t>
      </w:r>
      <w:r>
        <w:rPr/>
        <w:t>tasso</w:t>
      </w:r>
      <w:r>
        <w:rPr>
          <w:spacing w:val="-7"/>
        </w:rPr>
        <w:t> </w:t>
      </w:r>
      <w:r>
        <w:rPr/>
        <w:t>di</w:t>
      </w:r>
      <w:r>
        <w:rPr>
          <w:spacing w:val="-10"/>
        </w:rPr>
        <w:t> </w:t>
      </w:r>
      <w:r>
        <w:rPr/>
        <w:t>crescita</w:t>
      </w:r>
      <w:r>
        <w:rPr>
          <w:spacing w:val="-9"/>
        </w:rPr>
        <w:t> </w:t>
      </w:r>
      <w:r>
        <w:rPr/>
        <w:t>della</w:t>
      </w:r>
      <w:r>
        <w:rPr>
          <w:spacing w:val="-7"/>
        </w:rPr>
        <w:t> </w:t>
      </w:r>
      <w:r>
        <w:rPr/>
        <w:t>spesa</w:t>
      </w:r>
      <w:r>
        <w:rPr>
          <w:spacing w:val="-7"/>
        </w:rPr>
        <w:t> </w:t>
      </w:r>
      <w:r>
        <w:rPr/>
        <w:t>pubblica</w:t>
      </w:r>
      <w:r>
        <w:rPr>
          <w:spacing w:val="-9"/>
        </w:rPr>
        <w:t> </w:t>
      </w:r>
      <w:r>
        <w:rPr/>
        <w:t>è</w:t>
      </w:r>
      <w:r>
        <w:rPr>
          <w:spacing w:val="-9"/>
        </w:rPr>
        <w:t> </w:t>
      </w:r>
      <w:r>
        <w:rPr/>
        <w:t>stimato</w:t>
      </w:r>
      <w:r>
        <w:rPr>
          <w:spacing w:val="-7"/>
        </w:rPr>
        <w:t> </w:t>
      </w:r>
      <w:r>
        <w:rPr/>
        <w:t>a</w:t>
      </w:r>
      <w:r>
        <w:rPr>
          <w:spacing w:val="-7"/>
        </w:rPr>
        <w:t> </w:t>
      </w:r>
      <w:r>
        <w:rPr/>
        <w:t>1,6 per cento: la deviazione rispetto al tasso di crescita della spesa raccomandato in base alle condizioni cicliche risulta non significativa perché entro i margini di tolleranza</w:t>
      </w:r>
      <w:r>
        <w:rPr>
          <w:spacing w:val="-8"/>
        </w:rPr>
        <w:t> </w:t>
      </w:r>
      <w:r>
        <w:rPr/>
        <w:t>concessi</w:t>
      </w:r>
      <w:r>
        <w:rPr>
          <w:spacing w:val="-8"/>
        </w:rPr>
        <w:t> </w:t>
      </w:r>
      <w:r>
        <w:rPr/>
        <w:t>dalla</w:t>
      </w:r>
      <w:r>
        <w:rPr>
          <w:spacing w:val="-9"/>
        </w:rPr>
        <w:t> </w:t>
      </w:r>
      <w:r>
        <w:rPr/>
        <w:t>normativa.</w:t>
      </w:r>
      <w:r>
        <w:rPr>
          <w:spacing w:val="-7"/>
        </w:rPr>
        <w:t> </w:t>
      </w:r>
      <w:r>
        <w:rPr/>
        <w:t>Al</w:t>
      </w:r>
      <w:r>
        <w:rPr>
          <w:spacing w:val="-7"/>
        </w:rPr>
        <w:t> </w:t>
      </w:r>
      <w:r>
        <w:rPr/>
        <w:t>contrario,</w:t>
      </w:r>
      <w:r>
        <w:rPr>
          <w:spacing w:val="-9"/>
        </w:rPr>
        <w:t> </w:t>
      </w:r>
      <w:r>
        <w:rPr/>
        <w:t>vi</w:t>
      </w:r>
      <w:r>
        <w:rPr>
          <w:spacing w:val="-8"/>
        </w:rPr>
        <w:t> </w:t>
      </w:r>
      <w:r>
        <w:rPr/>
        <w:t>è</w:t>
      </w:r>
      <w:r>
        <w:rPr>
          <w:spacing w:val="-7"/>
        </w:rPr>
        <w:t> </w:t>
      </w:r>
      <w:r>
        <w:rPr/>
        <w:t>uno</w:t>
      </w:r>
      <w:r>
        <w:rPr>
          <w:spacing w:val="-8"/>
        </w:rPr>
        <w:t> </w:t>
      </w:r>
      <w:r>
        <w:rPr/>
        <w:t>sforamento</w:t>
      </w:r>
      <w:r>
        <w:rPr>
          <w:spacing w:val="-8"/>
        </w:rPr>
        <w:t> </w:t>
      </w:r>
      <w:r>
        <w:rPr/>
        <w:t>significato</w:t>
      </w:r>
      <w:r>
        <w:rPr>
          <w:spacing w:val="-7"/>
        </w:rPr>
        <w:t> </w:t>
      </w:r>
      <w:r>
        <w:rPr/>
        <w:t>se si valuta l’andamento della spesa per il biennio</w:t>
      </w:r>
      <w:r>
        <w:rPr>
          <w:spacing w:val="-10"/>
        </w:rPr>
        <w:t> </w:t>
      </w:r>
      <w:r>
        <w:rPr/>
        <w:t>2018-2019.</w:t>
      </w:r>
    </w:p>
    <w:p>
      <w:pPr>
        <w:pStyle w:val="BodyText"/>
        <w:spacing w:line="252" w:lineRule="auto"/>
        <w:ind w:left="1128" w:right="1410" w:firstLine="453"/>
        <w:jc w:val="both"/>
      </w:pPr>
      <w:r>
        <w:rPr/>
        <w:t>Nel 2020 il tasso di crescita della spesa pubblica è previsto essere positivo, a fronte di una riduzione prescritta dalla regola della spesa. Al riguardo va rilevato che il rispetto della regola della spesa è al momento ancora più sfidante della convergenza verso l’OMT. Il contenimento della spesa negli anni fino al 2017 ha generato pressioni sulle amministrazioni pubbliche e sugli enti locali che hanno reagito</w:t>
      </w:r>
      <w:r>
        <w:rPr>
          <w:spacing w:val="-20"/>
        </w:rPr>
        <w:t> </w:t>
      </w:r>
      <w:r>
        <w:rPr/>
        <w:t>diminuendo</w:t>
      </w:r>
      <w:r>
        <w:rPr>
          <w:spacing w:val="-20"/>
        </w:rPr>
        <w:t> </w:t>
      </w:r>
      <w:r>
        <w:rPr/>
        <w:t>drasticamente</w:t>
      </w:r>
      <w:r>
        <w:rPr>
          <w:spacing w:val="-20"/>
        </w:rPr>
        <w:t> </w:t>
      </w:r>
      <w:r>
        <w:rPr/>
        <w:t>gli</w:t>
      </w:r>
      <w:r>
        <w:rPr>
          <w:spacing w:val="-20"/>
        </w:rPr>
        <w:t> </w:t>
      </w:r>
      <w:r>
        <w:rPr/>
        <w:t>investimenti</w:t>
      </w:r>
      <w:r>
        <w:rPr>
          <w:spacing w:val="-20"/>
        </w:rPr>
        <w:t> </w:t>
      </w:r>
      <w:r>
        <w:rPr/>
        <w:t>pubblici.</w:t>
      </w:r>
      <w:r>
        <w:rPr>
          <w:spacing w:val="-19"/>
        </w:rPr>
        <w:t> </w:t>
      </w:r>
      <w:r>
        <w:rPr/>
        <w:t>In</w:t>
      </w:r>
      <w:r>
        <w:rPr>
          <w:spacing w:val="-20"/>
        </w:rPr>
        <w:t> </w:t>
      </w:r>
      <w:r>
        <w:rPr/>
        <w:t>generale,</w:t>
      </w:r>
      <w:r>
        <w:rPr>
          <w:spacing w:val="-19"/>
        </w:rPr>
        <w:t> </w:t>
      </w:r>
      <w:r>
        <w:rPr/>
        <w:t>le</w:t>
      </w:r>
      <w:r>
        <w:rPr>
          <w:spacing w:val="-23"/>
        </w:rPr>
        <w:t> </w:t>
      </w:r>
      <w:r>
        <w:rPr/>
        <w:t>politiche messe in atto hanno impedito interventi adeguati sul piano sociale e hanno minato i presupposti per una ripresa economica più decisa. Una revisione della regola che escludesse determinate categorie di beni di investimento sarebbe molto importante. Ciò vale in particolare nel contesto delle attuali discussioni sulla riforma delle regole fiscali</w:t>
      </w:r>
      <w:r>
        <w:rPr>
          <w:spacing w:val="-4"/>
        </w:rPr>
        <w:t> </w:t>
      </w:r>
      <w:r>
        <w:rPr/>
        <w:t>europee.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0"/>
        </w:rPr>
      </w:pPr>
      <w:r>
        <w:rPr/>
        <w:pict>
          <v:group style="position:absolute;margin-left:136.100006pt;margin-top:8.072558pt;width:21.4pt;height:2.15pt;mso-position-horizontal-relative:page;mso-position-vertical-relative:paragraph;z-index:-251490304;mso-wrap-distance-left:0;mso-wrap-distance-right:0" coordorigin="2722,161" coordsize="428,43">
            <v:line style="position:absolute" from="2722,182" to="3149,182" stroked="true" strokeweight="2.050pt" strokecolor="#aaaaaa">
              <v:stroke dashstyle="solid"/>
            </v:line>
            <v:rect style="position:absolute;left:2722;top:163;width:5;height:5" filled="true" fillcolor="#9f9f9f" stroked="false">
              <v:fill type="solid"/>
            </v:rect>
            <v:rect style="position:absolute;left:2722;top:163;width:5;height:5" filled="true" fillcolor="#9f9f9f" stroked="false">
              <v:fill type="solid"/>
            </v:rect>
            <v:line style="position:absolute" from="2727,166" to="3144,166" stroked="true" strokeweight=".23999pt" strokecolor="#9f9f9f">
              <v:stroke dashstyle="solid"/>
            </v:line>
            <v:rect style="position:absolute;left:3144;top:163;width:5;height:5" filled="true" fillcolor="#e2e2e2" stroked="false">
              <v:fill type="solid"/>
            </v:rect>
            <v:rect style="position:absolute;left:3144;top:163;width:5;height:5" filled="true" fillcolor="#9f9f9f" stroked="false">
              <v:fill type="solid"/>
            </v:rect>
            <v:rect style="position:absolute;left:2722;top:168;width:5;height:32" filled="true" fillcolor="#9f9f9f" stroked="false">
              <v:fill type="solid"/>
            </v:rect>
            <v:rect style="position:absolute;left:3144;top:168;width:5;height:32" filled="true" fillcolor="#e2e2e2" stroked="false">
              <v:fill type="solid"/>
            </v:rect>
            <v:rect style="position:absolute;left:2722;top:199;width:5;height:5" filled="true" fillcolor="#9f9f9f" stroked="false">
              <v:fill type="solid"/>
            </v:rect>
            <v:rect style="position:absolute;left:2722;top:199;width:5;height:5" filled="true" fillcolor="#e2e2e2" stroked="false">
              <v:fill type="solid"/>
            </v:rect>
            <v:line style="position:absolute" from="2727,202" to="3144,202" stroked="true" strokeweight=".24005pt" strokecolor="#e2e2e2">
              <v:stroke dashstyle="solid"/>
            </v:line>
            <v:rect style="position:absolute;left:3144;top:199;width:5;height:5" filled="true" fillcolor="#e2e2e2" stroked="false">
              <v:fill type="solid"/>
            </v:rect>
            <v:rect style="position:absolute;left:3144;top:199;width:5;height:5" filled="true" fillcolor="#e2e2e2" stroked="false">
              <v:fill type="solid"/>
            </v:rect>
            <w10:wrap type="topAndBottom"/>
          </v:group>
        </w:pict>
      </w:r>
    </w:p>
    <w:p>
      <w:pPr>
        <w:spacing w:before="20"/>
        <w:ind w:left="1128" w:right="1414" w:firstLine="453"/>
        <w:jc w:val="both"/>
        <w:rPr>
          <w:sz w:val="16"/>
        </w:rPr>
      </w:pPr>
      <w:r>
        <w:rPr>
          <w:position w:val="6"/>
          <w:sz w:val="10"/>
        </w:rPr>
        <w:t>39 </w:t>
      </w:r>
      <w:r>
        <w:rPr>
          <w:sz w:val="16"/>
        </w:rPr>
        <w:t>La spesa aggregata comprende la spesa pubblica complessiva al netto dei pagamenti di interessi, la spesa relativa</w:t>
      </w:r>
      <w:r>
        <w:rPr>
          <w:spacing w:val="-11"/>
          <w:sz w:val="16"/>
        </w:rPr>
        <w:t> </w:t>
      </w:r>
      <w:r>
        <w:rPr>
          <w:sz w:val="16"/>
        </w:rPr>
        <w:t>ai</w:t>
      </w:r>
      <w:r>
        <w:rPr>
          <w:spacing w:val="-11"/>
          <w:sz w:val="16"/>
        </w:rPr>
        <w:t> </w:t>
      </w:r>
      <w:r>
        <w:rPr>
          <w:sz w:val="16"/>
        </w:rPr>
        <w:t>programmi</w:t>
      </w:r>
      <w:r>
        <w:rPr>
          <w:spacing w:val="-10"/>
          <w:sz w:val="16"/>
        </w:rPr>
        <w:t> </w:t>
      </w:r>
      <w:r>
        <w:rPr>
          <w:sz w:val="16"/>
        </w:rPr>
        <w:t>dell'UE</w:t>
      </w:r>
      <w:r>
        <w:rPr>
          <w:spacing w:val="-10"/>
          <w:sz w:val="16"/>
        </w:rPr>
        <w:t> </w:t>
      </w:r>
      <w:r>
        <w:rPr>
          <w:sz w:val="16"/>
        </w:rPr>
        <w:t>a</w:t>
      </w:r>
      <w:r>
        <w:rPr>
          <w:spacing w:val="-10"/>
          <w:sz w:val="16"/>
        </w:rPr>
        <w:t> </w:t>
      </w:r>
      <w:r>
        <w:rPr>
          <w:sz w:val="16"/>
        </w:rPr>
        <w:t>carico</w:t>
      </w:r>
      <w:r>
        <w:rPr>
          <w:spacing w:val="-10"/>
          <w:sz w:val="16"/>
        </w:rPr>
        <w:t> </w:t>
      </w:r>
      <w:r>
        <w:rPr>
          <w:sz w:val="16"/>
        </w:rPr>
        <w:t>dei</w:t>
      </w:r>
      <w:r>
        <w:rPr>
          <w:spacing w:val="-10"/>
          <w:sz w:val="16"/>
        </w:rPr>
        <w:t> </w:t>
      </w:r>
      <w:r>
        <w:rPr>
          <w:sz w:val="16"/>
        </w:rPr>
        <w:t>fondi</w:t>
      </w:r>
      <w:r>
        <w:rPr>
          <w:spacing w:val="-10"/>
          <w:sz w:val="16"/>
        </w:rPr>
        <w:t> </w:t>
      </w:r>
      <w:r>
        <w:rPr>
          <w:sz w:val="16"/>
        </w:rPr>
        <w:t>UE</w:t>
      </w:r>
      <w:r>
        <w:rPr>
          <w:spacing w:val="-10"/>
          <w:sz w:val="16"/>
        </w:rPr>
        <w:t> </w:t>
      </w:r>
      <w:r>
        <w:rPr>
          <w:sz w:val="16"/>
        </w:rPr>
        <w:t>e</w:t>
      </w:r>
      <w:r>
        <w:rPr>
          <w:spacing w:val="-11"/>
          <w:sz w:val="16"/>
        </w:rPr>
        <w:t> </w:t>
      </w:r>
      <w:r>
        <w:rPr>
          <w:sz w:val="16"/>
        </w:rPr>
        <w:t>gli</w:t>
      </w:r>
      <w:r>
        <w:rPr>
          <w:spacing w:val="-13"/>
          <w:sz w:val="16"/>
        </w:rPr>
        <w:t> </w:t>
      </w:r>
      <w:r>
        <w:rPr>
          <w:sz w:val="16"/>
        </w:rPr>
        <w:t>elementi</w:t>
      </w:r>
      <w:r>
        <w:rPr>
          <w:spacing w:val="-10"/>
          <w:sz w:val="16"/>
        </w:rPr>
        <w:t> </w:t>
      </w:r>
      <w:r>
        <w:rPr>
          <w:sz w:val="16"/>
        </w:rPr>
        <w:t>ciclici</w:t>
      </w:r>
      <w:r>
        <w:rPr>
          <w:spacing w:val="-10"/>
          <w:sz w:val="16"/>
        </w:rPr>
        <w:t> </w:t>
      </w:r>
      <w:r>
        <w:rPr>
          <w:sz w:val="16"/>
        </w:rPr>
        <w:t>degli</w:t>
      </w:r>
      <w:r>
        <w:rPr>
          <w:spacing w:val="-10"/>
          <w:sz w:val="16"/>
        </w:rPr>
        <w:t> </w:t>
      </w:r>
      <w:r>
        <w:rPr>
          <w:sz w:val="16"/>
        </w:rPr>
        <w:t>ammortizzatori</w:t>
      </w:r>
      <w:r>
        <w:rPr>
          <w:spacing w:val="-11"/>
          <w:sz w:val="16"/>
        </w:rPr>
        <w:t> </w:t>
      </w:r>
      <w:r>
        <w:rPr>
          <w:sz w:val="16"/>
        </w:rPr>
        <w:t>per</w:t>
      </w:r>
      <w:r>
        <w:rPr>
          <w:spacing w:val="-10"/>
          <w:sz w:val="16"/>
        </w:rPr>
        <w:t> </w:t>
      </w:r>
      <w:r>
        <w:rPr>
          <w:sz w:val="16"/>
        </w:rPr>
        <w:t>la</w:t>
      </w:r>
      <w:r>
        <w:rPr>
          <w:spacing w:val="-10"/>
          <w:sz w:val="16"/>
        </w:rPr>
        <w:t> </w:t>
      </w:r>
      <w:r>
        <w:rPr>
          <w:sz w:val="16"/>
        </w:rPr>
        <w:t>disoccupazione. Gli investimenti pubblici finanziati dagli Stati membri sono scaglionati su quattro anni. L’aggregato di spesa pubblica</w:t>
      </w:r>
      <w:r>
        <w:rPr>
          <w:spacing w:val="-7"/>
          <w:sz w:val="16"/>
        </w:rPr>
        <w:t> </w:t>
      </w:r>
      <w:r>
        <w:rPr>
          <w:sz w:val="16"/>
        </w:rPr>
        <w:t>così</w:t>
      </w:r>
      <w:r>
        <w:rPr>
          <w:spacing w:val="-5"/>
          <w:sz w:val="16"/>
        </w:rPr>
        <w:t> </w:t>
      </w:r>
      <w:r>
        <w:rPr>
          <w:sz w:val="16"/>
        </w:rPr>
        <w:t>definito</w:t>
      </w:r>
      <w:r>
        <w:rPr>
          <w:spacing w:val="-7"/>
          <w:sz w:val="16"/>
        </w:rPr>
        <w:t> </w:t>
      </w:r>
      <w:r>
        <w:rPr>
          <w:sz w:val="16"/>
        </w:rPr>
        <w:t>è:</w:t>
      </w:r>
      <w:r>
        <w:rPr>
          <w:spacing w:val="-4"/>
          <w:sz w:val="16"/>
        </w:rPr>
        <w:t> </w:t>
      </w:r>
      <w:r>
        <w:rPr>
          <w:sz w:val="16"/>
        </w:rPr>
        <w:t>i)</w:t>
      </w:r>
      <w:r>
        <w:rPr>
          <w:spacing w:val="-4"/>
          <w:sz w:val="16"/>
        </w:rPr>
        <w:t> </w:t>
      </w:r>
      <w:r>
        <w:rPr>
          <w:sz w:val="16"/>
        </w:rPr>
        <w:t>indipendente</w:t>
      </w:r>
      <w:r>
        <w:rPr>
          <w:spacing w:val="-5"/>
          <w:sz w:val="16"/>
        </w:rPr>
        <w:t> </w:t>
      </w:r>
      <w:r>
        <w:rPr>
          <w:sz w:val="16"/>
        </w:rPr>
        <w:t>dalle</w:t>
      </w:r>
      <w:r>
        <w:rPr>
          <w:spacing w:val="-4"/>
          <w:sz w:val="16"/>
        </w:rPr>
        <w:t> </w:t>
      </w:r>
      <w:r>
        <w:rPr>
          <w:sz w:val="16"/>
        </w:rPr>
        <w:t>condizioni</w:t>
      </w:r>
      <w:r>
        <w:rPr>
          <w:spacing w:val="-5"/>
          <w:sz w:val="16"/>
        </w:rPr>
        <w:t> </w:t>
      </w:r>
      <w:r>
        <w:rPr>
          <w:sz w:val="16"/>
        </w:rPr>
        <w:t>cicliche</w:t>
      </w:r>
      <w:r>
        <w:rPr>
          <w:spacing w:val="-7"/>
          <w:sz w:val="16"/>
        </w:rPr>
        <w:t> </w:t>
      </w:r>
      <w:r>
        <w:rPr>
          <w:sz w:val="16"/>
        </w:rPr>
        <w:t>(compensando</w:t>
      </w:r>
      <w:r>
        <w:rPr>
          <w:spacing w:val="-5"/>
          <w:sz w:val="16"/>
        </w:rPr>
        <w:t> </w:t>
      </w:r>
      <w:r>
        <w:rPr>
          <w:sz w:val="16"/>
        </w:rPr>
        <w:t>gli</w:t>
      </w:r>
      <w:r>
        <w:rPr>
          <w:spacing w:val="-8"/>
          <w:sz w:val="16"/>
        </w:rPr>
        <w:t> </w:t>
      </w:r>
      <w:r>
        <w:rPr>
          <w:sz w:val="16"/>
        </w:rPr>
        <w:t>elementi</w:t>
      </w:r>
      <w:r>
        <w:rPr>
          <w:spacing w:val="-5"/>
          <w:sz w:val="16"/>
        </w:rPr>
        <w:t> </w:t>
      </w:r>
      <w:r>
        <w:rPr>
          <w:sz w:val="16"/>
        </w:rPr>
        <w:t>ciclici</w:t>
      </w:r>
      <w:r>
        <w:rPr>
          <w:spacing w:val="-8"/>
          <w:sz w:val="16"/>
        </w:rPr>
        <w:t> </w:t>
      </w:r>
      <w:r>
        <w:rPr>
          <w:sz w:val="16"/>
        </w:rPr>
        <w:t>della</w:t>
      </w:r>
      <w:r>
        <w:rPr>
          <w:spacing w:val="-7"/>
          <w:sz w:val="16"/>
        </w:rPr>
        <w:t> </w:t>
      </w:r>
      <w:r>
        <w:rPr>
          <w:sz w:val="16"/>
        </w:rPr>
        <w:t>spesa</w:t>
      </w:r>
      <w:r>
        <w:rPr>
          <w:spacing w:val="-6"/>
          <w:sz w:val="16"/>
        </w:rPr>
        <w:t> </w:t>
      </w:r>
      <w:r>
        <w:rPr>
          <w:sz w:val="16"/>
        </w:rPr>
        <w:t>per la disoccupazione); ii) controllato dal governo; iii) deve essere pagato al di fuori del gettito fiscale (compensando la spesa relativa ai programmi finanziati direttamente dall'UE); inoltre, iv) non penalizza i picchi di investimento. Inoltre, si corregge per l'impatto delle misure una</w:t>
      </w:r>
      <w:r>
        <w:rPr>
          <w:spacing w:val="-8"/>
          <w:sz w:val="16"/>
        </w:rPr>
        <w:t> </w:t>
      </w:r>
      <w:r>
        <w:rPr>
          <w:sz w:val="16"/>
        </w:rPr>
        <w:t>tantum.</w:t>
      </w:r>
    </w:p>
    <w:p>
      <w:pPr>
        <w:spacing w:after="0"/>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rPr>
          <w:sz w:val="20"/>
        </w:rPr>
      </w:pPr>
    </w:p>
    <w:p>
      <w:pPr>
        <w:pStyle w:val="BodyText"/>
        <w:spacing w:before="2"/>
        <w:rPr>
          <w:sz w:val="14"/>
        </w:rPr>
      </w:pPr>
    </w:p>
    <w:tbl>
      <w:tblPr>
        <w:tblW w:w="0" w:type="auto"/>
        <w:jc w:val="left"/>
        <w:tblInd w:w="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6"/>
        <w:gridCol w:w="907"/>
        <w:gridCol w:w="735"/>
        <w:gridCol w:w="734"/>
        <w:gridCol w:w="731"/>
        <w:gridCol w:w="734"/>
        <w:gridCol w:w="740"/>
      </w:tblGrid>
      <w:tr>
        <w:trPr>
          <w:trHeight w:val="295" w:hRule="atLeast"/>
        </w:trPr>
        <w:tc>
          <w:tcPr>
            <w:tcW w:w="8087" w:type="dxa"/>
            <w:gridSpan w:val="7"/>
            <w:shd w:val="clear" w:color="auto" w:fill="086D44"/>
          </w:tcPr>
          <w:p>
            <w:pPr>
              <w:pStyle w:val="TableParagraph"/>
              <w:spacing w:before="53"/>
              <w:ind w:left="28"/>
              <w:jc w:val="left"/>
              <w:rPr>
                <w:rFonts w:ascii="Franklin Gothic Heavy"/>
                <w:b/>
                <w:sz w:val="17"/>
              </w:rPr>
            </w:pPr>
            <w:r>
              <w:rPr>
                <w:rFonts w:ascii="Franklin Gothic Heavy"/>
                <w:b/>
                <w:color w:val="EFEFEF"/>
                <w:sz w:val="17"/>
              </w:rPr>
              <w:t>TAVOLA III.3: LA FINANZA PUBBLICA CORRETTA PER IL CICLO (in percentuale del PIL)</w:t>
            </w:r>
          </w:p>
        </w:tc>
      </w:tr>
      <w:tr>
        <w:trPr>
          <w:trHeight w:val="225" w:hRule="atLeast"/>
        </w:trPr>
        <w:tc>
          <w:tcPr>
            <w:tcW w:w="3506" w:type="dxa"/>
            <w:tcBorders>
              <w:bottom w:val="single" w:sz="2" w:space="0" w:color="000000"/>
            </w:tcBorders>
          </w:tcPr>
          <w:p>
            <w:pPr>
              <w:pStyle w:val="TableParagraph"/>
              <w:jc w:val="left"/>
              <w:rPr>
                <w:rFonts w:ascii="Times New Roman"/>
                <w:sz w:val="16"/>
              </w:rPr>
            </w:pPr>
          </w:p>
        </w:tc>
        <w:tc>
          <w:tcPr>
            <w:tcW w:w="907" w:type="dxa"/>
            <w:tcBorders>
              <w:bottom w:val="single" w:sz="2" w:space="0" w:color="000000"/>
            </w:tcBorders>
          </w:tcPr>
          <w:p>
            <w:pPr>
              <w:pStyle w:val="TableParagraph"/>
              <w:spacing w:line="188" w:lineRule="exact" w:before="17"/>
              <w:ind w:right="166"/>
              <w:rPr>
                <w:sz w:val="17"/>
              </w:rPr>
            </w:pPr>
            <w:r>
              <w:rPr>
                <w:sz w:val="17"/>
              </w:rPr>
              <w:t>2017</w:t>
            </w:r>
          </w:p>
        </w:tc>
        <w:tc>
          <w:tcPr>
            <w:tcW w:w="735" w:type="dxa"/>
            <w:tcBorders>
              <w:bottom w:val="single" w:sz="2" w:space="0" w:color="000000"/>
            </w:tcBorders>
          </w:tcPr>
          <w:p>
            <w:pPr>
              <w:pStyle w:val="TableParagraph"/>
              <w:spacing w:line="188" w:lineRule="exact" w:before="17"/>
              <w:ind w:right="166"/>
              <w:rPr>
                <w:sz w:val="17"/>
              </w:rPr>
            </w:pPr>
            <w:r>
              <w:rPr>
                <w:sz w:val="17"/>
              </w:rPr>
              <w:t>2018</w:t>
            </w:r>
          </w:p>
        </w:tc>
        <w:tc>
          <w:tcPr>
            <w:tcW w:w="734" w:type="dxa"/>
            <w:tcBorders>
              <w:bottom w:val="single" w:sz="2" w:space="0" w:color="000000"/>
            </w:tcBorders>
          </w:tcPr>
          <w:p>
            <w:pPr>
              <w:pStyle w:val="TableParagraph"/>
              <w:spacing w:line="188" w:lineRule="exact" w:before="17"/>
              <w:ind w:left="144" w:right="145"/>
              <w:jc w:val="center"/>
              <w:rPr>
                <w:sz w:val="17"/>
              </w:rPr>
            </w:pPr>
            <w:r>
              <w:rPr>
                <w:sz w:val="17"/>
              </w:rPr>
              <w:t>2019</w:t>
            </w:r>
          </w:p>
        </w:tc>
        <w:tc>
          <w:tcPr>
            <w:tcW w:w="731" w:type="dxa"/>
            <w:tcBorders>
              <w:bottom w:val="single" w:sz="2" w:space="0" w:color="000000"/>
            </w:tcBorders>
          </w:tcPr>
          <w:p>
            <w:pPr>
              <w:pStyle w:val="TableParagraph"/>
              <w:spacing w:line="188" w:lineRule="exact" w:before="17"/>
              <w:ind w:left="146" w:right="146"/>
              <w:jc w:val="center"/>
              <w:rPr>
                <w:sz w:val="17"/>
              </w:rPr>
            </w:pPr>
            <w:r>
              <w:rPr>
                <w:sz w:val="17"/>
              </w:rPr>
              <w:t>2020</w:t>
            </w:r>
          </w:p>
        </w:tc>
        <w:tc>
          <w:tcPr>
            <w:tcW w:w="734" w:type="dxa"/>
            <w:tcBorders>
              <w:bottom w:val="single" w:sz="2" w:space="0" w:color="000000"/>
            </w:tcBorders>
          </w:tcPr>
          <w:p>
            <w:pPr>
              <w:pStyle w:val="TableParagraph"/>
              <w:spacing w:line="188" w:lineRule="exact" w:before="17"/>
              <w:ind w:left="142" w:right="148"/>
              <w:jc w:val="center"/>
              <w:rPr>
                <w:sz w:val="17"/>
              </w:rPr>
            </w:pPr>
            <w:r>
              <w:rPr>
                <w:sz w:val="17"/>
              </w:rPr>
              <w:t>2021</w:t>
            </w:r>
          </w:p>
        </w:tc>
        <w:tc>
          <w:tcPr>
            <w:tcW w:w="740" w:type="dxa"/>
            <w:tcBorders>
              <w:bottom w:val="single" w:sz="2" w:space="0" w:color="000000"/>
            </w:tcBorders>
          </w:tcPr>
          <w:p>
            <w:pPr>
              <w:pStyle w:val="TableParagraph"/>
              <w:spacing w:line="188" w:lineRule="exact" w:before="17"/>
              <w:ind w:left="148" w:right="153"/>
              <w:jc w:val="center"/>
              <w:rPr>
                <w:sz w:val="17"/>
              </w:rPr>
            </w:pPr>
            <w:r>
              <w:rPr>
                <w:sz w:val="17"/>
              </w:rPr>
              <w:t>2022</w:t>
            </w:r>
          </w:p>
        </w:tc>
      </w:tr>
      <w:tr>
        <w:trPr>
          <w:trHeight w:val="206" w:hRule="atLeast"/>
        </w:trPr>
        <w:tc>
          <w:tcPr>
            <w:tcW w:w="3506" w:type="dxa"/>
            <w:tcBorders>
              <w:top w:val="single" w:sz="2" w:space="0" w:color="000000"/>
            </w:tcBorders>
          </w:tcPr>
          <w:p>
            <w:pPr>
              <w:pStyle w:val="TableParagraph"/>
              <w:spacing w:line="177" w:lineRule="exact" w:before="10"/>
              <w:jc w:val="left"/>
              <w:rPr>
                <w:sz w:val="17"/>
              </w:rPr>
            </w:pPr>
            <w:r>
              <w:rPr>
                <w:sz w:val="17"/>
              </w:rPr>
              <w:t>1. Tasso di crescita del PIL a prezzi costanti</w:t>
            </w:r>
          </w:p>
        </w:tc>
        <w:tc>
          <w:tcPr>
            <w:tcW w:w="907" w:type="dxa"/>
            <w:tcBorders>
              <w:top w:val="single" w:sz="2" w:space="0" w:color="000000"/>
            </w:tcBorders>
          </w:tcPr>
          <w:p>
            <w:pPr>
              <w:pStyle w:val="TableParagraph"/>
              <w:spacing w:line="177" w:lineRule="exact" w:before="10"/>
              <w:ind w:right="245"/>
              <w:rPr>
                <w:sz w:val="17"/>
              </w:rPr>
            </w:pPr>
            <w:r>
              <w:rPr>
                <w:sz w:val="17"/>
              </w:rPr>
              <w:t>1,7</w:t>
            </w:r>
          </w:p>
        </w:tc>
        <w:tc>
          <w:tcPr>
            <w:tcW w:w="735" w:type="dxa"/>
            <w:tcBorders>
              <w:top w:val="single" w:sz="2" w:space="0" w:color="000000"/>
            </w:tcBorders>
          </w:tcPr>
          <w:p>
            <w:pPr>
              <w:pStyle w:val="TableParagraph"/>
              <w:spacing w:line="177" w:lineRule="exact" w:before="10"/>
              <w:ind w:right="245"/>
              <w:rPr>
                <w:sz w:val="17"/>
              </w:rPr>
            </w:pPr>
            <w:r>
              <w:rPr>
                <w:sz w:val="17"/>
              </w:rPr>
              <w:t>0,8</w:t>
            </w:r>
          </w:p>
        </w:tc>
        <w:tc>
          <w:tcPr>
            <w:tcW w:w="734" w:type="dxa"/>
            <w:tcBorders>
              <w:top w:val="single" w:sz="2" w:space="0" w:color="000000"/>
            </w:tcBorders>
          </w:tcPr>
          <w:p>
            <w:pPr>
              <w:pStyle w:val="TableParagraph"/>
              <w:spacing w:line="177" w:lineRule="exact" w:before="10"/>
              <w:ind w:left="144" w:right="145"/>
              <w:jc w:val="center"/>
              <w:rPr>
                <w:sz w:val="17"/>
              </w:rPr>
            </w:pPr>
            <w:r>
              <w:rPr>
                <w:sz w:val="17"/>
              </w:rPr>
              <w:t>0,1</w:t>
            </w:r>
          </w:p>
        </w:tc>
        <w:tc>
          <w:tcPr>
            <w:tcW w:w="731" w:type="dxa"/>
            <w:tcBorders>
              <w:top w:val="single" w:sz="2" w:space="0" w:color="000000"/>
            </w:tcBorders>
          </w:tcPr>
          <w:p>
            <w:pPr>
              <w:pStyle w:val="TableParagraph"/>
              <w:spacing w:line="177" w:lineRule="exact" w:before="10"/>
              <w:ind w:left="146" w:right="146"/>
              <w:jc w:val="center"/>
              <w:rPr>
                <w:sz w:val="17"/>
              </w:rPr>
            </w:pPr>
            <w:r>
              <w:rPr>
                <w:sz w:val="17"/>
              </w:rPr>
              <w:t>0,6</w:t>
            </w:r>
          </w:p>
        </w:tc>
        <w:tc>
          <w:tcPr>
            <w:tcW w:w="734" w:type="dxa"/>
            <w:tcBorders>
              <w:top w:val="single" w:sz="2" w:space="0" w:color="000000"/>
            </w:tcBorders>
          </w:tcPr>
          <w:p>
            <w:pPr>
              <w:pStyle w:val="TableParagraph"/>
              <w:spacing w:line="177" w:lineRule="exact" w:before="10"/>
              <w:ind w:left="144" w:right="147"/>
              <w:jc w:val="center"/>
              <w:rPr>
                <w:sz w:val="17"/>
              </w:rPr>
            </w:pPr>
            <w:r>
              <w:rPr>
                <w:sz w:val="17"/>
              </w:rPr>
              <w:t>1,0</w:t>
            </w:r>
          </w:p>
        </w:tc>
        <w:tc>
          <w:tcPr>
            <w:tcW w:w="740" w:type="dxa"/>
            <w:tcBorders>
              <w:top w:val="single" w:sz="2" w:space="0" w:color="000000"/>
            </w:tcBorders>
          </w:tcPr>
          <w:p>
            <w:pPr>
              <w:pStyle w:val="TableParagraph"/>
              <w:spacing w:line="177" w:lineRule="exact" w:before="10"/>
              <w:ind w:left="148" w:right="150"/>
              <w:jc w:val="center"/>
              <w:rPr>
                <w:sz w:val="17"/>
              </w:rPr>
            </w:pPr>
            <w:r>
              <w:rPr>
                <w:sz w:val="17"/>
              </w:rPr>
              <w:t>1,0</w:t>
            </w:r>
          </w:p>
        </w:tc>
      </w:tr>
      <w:tr>
        <w:trPr>
          <w:trHeight w:val="216" w:hRule="atLeast"/>
        </w:trPr>
        <w:tc>
          <w:tcPr>
            <w:tcW w:w="3506" w:type="dxa"/>
          </w:tcPr>
          <w:p>
            <w:pPr>
              <w:pStyle w:val="TableParagraph"/>
              <w:spacing w:line="177" w:lineRule="exact" w:before="19"/>
              <w:jc w:val="left"/>
              <w:rPr>
                <w:sz w:val="17"/>
              </w:rPr>
            </w:pPr>
            <w:r>
              <w:rPr>
                <w:sz w:val="17"/>
              </w:rPr>
              <w:t>2. Indebitamento netto</w:t>
            </w:r>
          </w:p>
        </w:tc>
        <w:tc>
          <w:tcPr>
            <w:tcW w:w="907" w:type="dxa"/>
          </w:tcPr>
          <w:p>
            <w:pPr>
              <w:pStyle w:val="TableParagraph"/>
              <w:spacing w:line="177" w:lineRule="exact" w:before="19"/>
              <w:ind w:right="223"/>
              <w:rPr>
                <w:sz w:val="17"/>
              </w:rPr>
            </w:pPr>
            <w:r>
              <w:rPr>
                <w:sz w:val="17"/>
              </w:rPr>
              <w:t>-2,4</w:t>
            </w:r>
          </w:p>
        </w:tc>
        <w:tc>
          <w:tcPr>
            <w:tcW w:w="735" w:type="dxa"/>
          </w:tcPr>
          <w:p>
            <w:pPr>
              <w:pStyle w:val="TableParagraph"/>
              <w:spacing w:line="177" w:lineRule="exact" w:before="19"/>
              <w:ind w:right="224"/>
              <w:rPr>
                <w:sz w:val="17"/>
              </w:rPr>
            </w:pPr>
            <w:r>
              <w:rPr>
                <w:sz w:val="17"/>
              </w:rPr>
              <w:t>-2,2</w:t>
            </w:r>
          </w:p>
        </w:tc>
        <w:tc>
          <w:tcPr>
            <w:tcW w:w="734" w:type="dxa"/>
          </w:tcPr>
          <w:p>
            <w:pPr>
              <w:pStyle w:val="TableParagraph"/>
              <w:spacing w:line="177" w:lineRule="exact" w:before="19"/>
              <w:ind w:left="144" w:right="145"/>
              <w:jc w:val="center"/>
              <w:rPr>
                <w:sz w:val="17"/>
              </w:rPr>
            </w:pPr>
            <w:r>
              <w:rPr>
                <w:sz w:val="17"/>
              </w:rPr>
              <w:t>-2,2</w:t>
            </w:r>
          </w:p>
        </w:tc>
        <w:tc>
          <w:tcPr>
            <w:tcW w:w="731" w:type="dxa"/>
          </w:tcPr>
          <w:p>
            <w:pPr>
              <w:pStyle w:val="TableParagraph"/>
              <w:spacing w:line="177" w:lineRule="exact" w:before="19"/>
              <w:ind w:left="146" w:right="146"/>
              <w:jc w:val="center"/>
              <w:rPr>
                <w:sz w:val="17"/>
              </w:rPr>
            </w:pPr>
            <w:r>
              <w:rPr>
                <w:sz w:val="17"/>
              </w:rPr>
              <w:t>-2,2</w:t>
            </w:r>
          </w:p>
        </w:tc>
        <w:tc>
          <w:tcPr>
            <w:tcW w:w="734" w:type="dxa"/>
          </w:tcPr>
          <w:p>
            <w:pPr>
              <w:pStyle w:val="TableParagraph"/>
              <w:spacing w:line="177" w:lineRule="exact" w:before="19"/>
              <w:ind w:left="144" w:right="147"/>
              <w:jc w:val="center"/>
              <w:rPr>
                <w:sz w:val="17"/>
              </w:rPr>
            </w:pPr>
            <w:r>
              <w:rPr>
                <w:sz w:val="17"/>
              </w:rPr>
              <w:t>-1,8</w:t>
            </w:r>
          </w:p>
        </w:tc>
        <w:tc>
          <w:tcPr>
            <w:tcW w:w="740" w:type="dxa"/>
          </w:tcPr>
          <w:p>
            <w:pPr>
              <w:pStyle w:val="TableParagraph"/>
              <w:spacing w:line="177" w:lineRule="exact" w:before="19"/>
              <w:ind w:left="148" w:right="150"/>
              <w:jc w:val="center"/>
              <w:rPr>
                <w:sz w:val="17"/>
              </w:rPr>
            </w:pPr>
            <w:r>
              <w:rPr>
                <w:sz w:val="17"/>
              </w:rPr>
              <w:t>-1,4</w:t>
            </w:r>
          </w:p>
        </w:tc>
      </w:tr>
      <w:tr>
        <w:trPr>
          <w:trHeight w:val="216" w:hRule="atLeast"/>
        </w:trPr>
        <w:tc>
          <w:tcPr>
            <w:tcW w:w="3506" w:type="dxa"/>
          </w:tcPr>
          <w:p>
            <w:pPr>
              <w:pStyle w:val="TableParagraph"/>
              <w:spacing w:line="177" w:lineRule="exact" w:before="19"/>
              <w:jc w:val="left"/>
              <w:rPr>
                <w:sz w:val="17"/>
              </w:rPr>
            </w:pPr>
            <w:r>
              <w:rPr>
                <w:sz w:val="17"/>
              </w:rPr>
              <w:t>3. Interessi passivi</w:t>
            </w:r>
          </w:p>
        </w:tc>
        <w:tc>
          <w:tcPr>
            <w:tcW w:w="907" w:type="dxa"/>
          </w:tcPr>
          <w:p>
            <w:pPr>
              <w:pStyle w:val="TableParagraph"/>
              <w:spacing w:line="177" w:lineRule="exact" w:before="19"/>
              <w:ind w:right="245"/>
              <w:rPr>
                <w:sz w:val="17"/>
              </w:rPr>
            </w:pPr>
            <w:r>
              <w:rPr>
                <w:sz w:val="17"/>
              </w:rPr>
              <w:t>3,8</w:t>
            </w:r>
          </w:p>
        </w:tc>
        <w:tc>
          <w:tcPr>
            <w:tcW w:w="735" w:type="dxa"/>
          </w:tcPr>
          <w:p>
            <w:pPr>
              <w:pStyle w:val="TableParagraph"/>
              <w:spacing w:line="177" w:lineRule="exact" w:before="19"/>
              <w:ind w:right="245"/>
              <w:rPr>
                <w:sz w:val="17"/>
              </w:rPr>
            </w:pPr>
            <w:r>
              <w:rPr>
                <w:sz w:val="17"/>
              </w:rPr>
              <w:t>3,7</w:t>
            </w:r>
          </w:p>
        </w:tc>
        <w:tc>
          <w:tcPr>
            <w:tcW w:w="734" w:type="dxa"/>
          </w:tcPr>
          <w:p>
            <w:pPr>
              <w:pStyle w:val="TableParagraph"/>
              <w:spacing w:line="177" w:lineRule="exact" w:before="19"/>
              <w:ind w:left="144" w:right="145"/>
              <w:jc w:val="center"/>
              <w:rPr>
                <w:sz w:val="17"/>
              </w:rPr>
            </w:pPr>
            <w:r>
              <w:rPr>
                <w:sz w:val="17"/>
              </w:rPr>
              <w:t>3,4</w:t>
            </w:r>
          </w:p>
        </w:tc>
        <w:tc>
          <w:tcPr>
            <w:tcW w:w="731" w:type="dxa"/>
          </w:tcPr>
          <w:p>
            <w:pPr>
              <w:pStyle w:val="TableParagraph"/>
              <w:spacing w:line="177" w:lineRule="exact" w:before="19"/>
              <w:ind w:left="146" w:right="146"/>
              <w:jc w:val="center"/>
              <w:rPr>
                <w:sz w:val="17"/>
              </w:rPr>
            </w:pPr>
            <w:r>
              <w:rPr>
                <w:sz w:val="17"/>
              </w:rPr>
              <w:t>3,3</w:t>
            </w:r>
          </w:p>
        </w:tc>
        <w:tc>
          <w:tcPr>
            <w:tcW w:w="734" w:type="dxa"/>
          </w:tcPr>
          <w:p>
            <w:pPr>
              <w:pStyle w:val="TableParagraph"/>
              <w:spacing w:line="177" w:lineRule="exact" w:before="19"/>
              <w:ind w:left="144" w:right="147"/>
              <w:jc w:val="center"/>
              <w:rPr>
                <w:sz w:val="17"/>
              </w:rPr>
            </w:pPr>
            <w:r>
              <w:rPr>
                <w:sz w:val="17"/>
              </w:rPr>
              <w:t>3,1</w:t>
            </w:r>
          </w:p>
        </w:tc>
        <w:tc>
          <w:tcPr>
            <w:tcW w:w="740" w:type="dxa"/>
          </w:tcPr>
          <w:p>
            <w:pPr>
              <w:pStyle w:val="TableParagraph"/>
              <w:spacing w:line="177" w:lineRule="exact" w:before="19"/>
              <w:ind w:left="148" w:right="150"/>
              <w:jc w:val="center"/>
              <w:rPr>
                <w:sz w:val="17"/>
              </w:rPr>
            </w:pPr>
            <w:r>
              <w:rPr>
                <w:sz w:val="17"/>
              </w:rPr>
              <w:t>2,9</w:t>
            </w:r>
          </w:p>
        </w:tc>
      </w:tr>
      <w:tr>
        <w:trPr>
          <w:trHeight w:val="215" w:hRule="atLeast"/>
        </w:trPr>
        <w:tc>
          <w:tcPr>
            <w:tcW w:w="3506" w:type="dxa"/>
          </w:tcPr>
          <w:p>
            <w:pPr>
              <w:pStyle w:val="TableParagraph"/>
              <w:spacing w:line="177" w:lineRule="exact" w:before="19"/>
              <w:jc w:val="left"/>
              <w:rPr>
                <w:sz w:val="17"/>
              </w:rPr>
            </w:pPr>
            <w:r>
              <w:rPr>
                <w:sz w:val="17"/>
              </w:rPr>
              <w:t>4. Misure una tantum (2)</w:t>
            </w:r>
          </w:p>
        </w:tc>
        <w:tc>
          <w:tcPr>
            <w:tcW w:w="907" w:type="dxa"/>
          </w:tcPr>
          <w:p>
            <w:pPr>
              <w:pStyle w:val="TableParagraph"/>
              <w:spacing w:line="177" w:lineRule="exact" w:before="19"/>
              <w:ind w:right="245"/>
              <w:rPr>
                <w:sz w:val="17"/>
              </w:rPr>
            </w:pPr>
            <w:r>
              <w:rPr>
                <w:sz w:val="17"/>
              </w:rPr>
              <w:t>0,0</w:t>
            </w:r>
          </w:p>
        </w:tc>
        <w:tc>
          <w:tcPr>
            <w:tcW w:w="735" w:type="dxa"/>
          </w:tcPr>
          <w:p>
            <w:pPr>
              <w:pStyle w:val="TableParagraph"/>
              <w:spacing w:line="177" w:lineRule="exact" w:before="19"/>
              <w:ind w:right="245"/>
              <w:rPr>
                <w:sz w:val="17"/>
              </w:rPr>
            </w:pPr>
            <w:r>
              <w:rPr>
                <w:sz w:val="17"/>
              </w:rPr>
              <w:t>0,1</w:t>
            </w:r>
          </w:p>
        </w:tc>
        <w:tc>
          <w:tcPr>
            <w:tcW w:w="734" w:type="dxa"/>
          </w:tcPr>
          <w:p>
            <w:pPr>
              <w:pStyle w:val="TableParagraph"/>
              <w:spacing w:line="177" w:lineRule="exact" w:before="19"/>
              <w:ind w:left="144" w:right="145"/>
              <w:jc w:val="center"/>
              <w:rPr>
                <w:sz w:val="17"/>
              </w:rPr>
            </w:pPr>
            <w:r>
              <w:rPr>
                <w:sz w:val="17"/>
              </w:rPr>
              <w:t>0,1</w:t>
            </w:r>
          </w:p>
        </w:tc>
        <w:tc>
          <w:tcPr>
            <w:tcW w:w="731" w:type="dxa"/>
          </w:tcPr>
          <w:p>
            <w:pPr>
              <w:pStyle w:val="TableParagraph"/>
              <w:spacing w:line="177" w:lineRule="exact" w:before="19"/>
              <w:ind w:left="146" w:right="146"/>
              <w:jc w:val="center"/>
              <w:rPr>
                <w:sz w:val="17"/>
              </w:rPr>
            </w:pPr>
            <w:r>
              <w:rPr>
                <w:sz w:val="17"/>
              </w:rPr>
              <w:t>0,1</w:t>
            </w:r>
          </w:p>
        </w:tc>
        <w:tc>
          <w:tcPr>
            <w:tcW w:w="734" w:type="dxa"/>
          </w:tcPr>
          <w:p>
            <w:pPr>
              <w:pStyle w:val="TableParagraph"/>
              <w:spacing w:line="177" w:lineRule="exact" w:before="19"/>
              <w:ind w:left="144" w:right="147"/>
              <w:jc w:val="center"/>
              <w:rPr>
                <w:sz w:val="17"/>
              </w:rPr>
            </w:pPr>
            <w:r>
              <w:rPr>
                <w:sz w:val="17"/>
              </w:rPr>
              <w:t>0,1</w:t>
            </w:r>
          </w:p>
        </w:tc>
        <w:tc>
          <w:tcPr>
            <w:tcW w:w="740" w:type="dxa"/>
          </w:tcPr>
          <w:p>
            <w:pPr>
              <w:pStyle w:val="TableParagraph"/>
              <w:spacing w:line="177" w:lineRule="exact" w:before="19"/>
              <w:ind w:left="148" w:right="150"/>
              <w:jc w:val="center"/>
              <w:rPr>
                <w:sz w:val="17"/>
              </w:rPr>
            </w:pPr>
            <w:r>
              <w:rPr>
                <w:sz w:val="17"/>
              </w:rPr>
              <w:t>0,1</w:t>
            </w:r>
          </w:p>
        </w:tc>
      </w:tr>
      <w:tr>
        <w:trPr>
          <w:trHeight w:val="215" w:hRule="atLeast"/>
        </w:trPr>
        <w:tc>
          <w:tcPr>
            <w:tcW w:w="3506" w:type="dxa"/>
          </w:tcPr>
          <w:p>
            <w:pPr>
              <w:pStyle w:val="TableParagraph"/>
              <w:spacing w:line="177" w:lineRule="exact" w:before="19"/>
              <w:ind w:left="427"/>
              <w:jc w:val="left"/>
              <w:rPr>
                <w:i/>
                <w:sz w:val="17"/>
              </w:rPr>
            </w:pPr>
            <w:r>
              <w:rPr>
                <w:i/>
                <w:sz w:val="17"/>
              </w:rPr>
              <w:t>di cui: Misure di entrata</w:t>
            </w:r>
          </w:p>
        </w:tc>
        <w:tc>
          <w:tcPr>
            <w:tcW w:w="907" w:type="dxa"/>
          </w:tcPr>
          <w:p>
            <w:pPr>
              <w:pStyle w:val="TableParagraph"/>
              <w:spacing w:line="177" w:lineRule="exact" w:before="19"/>
              <w:ind w:right="245"/>
              <w:rPr>
                <w:sz w:val="17"/>
              </w:rPr>
            </w:pPr>
            <w:r>
              <w:rPr>
                <w:sz w:val="17"/>
              </w:rPr>
              <w:t>0,5</w:t>
            </w:r>
          </w:p>
        </w:tc>
        <w:tc>
          <w:tcPr>
            <w:tcW w:w="735" w:type="dxa"/>
          </w:tcPr>
          <w:p>
            <w:pPr>
              <w:pStyle w:val="TableParagraph"/>
              <w:spacing w:line="177" w:lineRule="exact" w:before="19"/>
              <w:ind w:right="245"/>
              <w:rPr>
                <w:sz w:val="17"/>
              </w:rPr>
            </w:pPr>
            <w:r>
              <w:rPr>
                <w:sz w:val="17"/>
              </w:rPr>
              <w:t>0,2</w:t>
            </w:r>
          </w:p>
        </w:tc>
        <w:tc>
          <w:tcPr>
            <w:tcW w:w="734" w:type="dxa"/>
          </w:tcPr>
          <w:p>
            <w:pPr>
              <w:pStyle w:val="TableParagraph"/>
              <w:spacing w:line="177" w:lineRule="exact" w:before="19"/>
              <w:ind w:left="144" w:right="145"/>
              <w:jc w:val="center"/>
              <w:rPr>
                <w:sz w:val="17"/>
              </w:rPr>
            </w:pPr>
            <w:r>
              <w:rPr>
                <w:sz w:val="17"/>
              </w:rPr>
              <w:t>0,1</w:t>
            </w:r>
          </w:p>
        </w:tc>
        <w:tc>
          <w:tcPr>
            <w:tcW w:w="731" w:type="dxa"/>
          </w:tcPr>
          <w:p>
            <w:pPr>
              <w:pStyle w:val="TableParagraph"/>
              <w:spacing w:line="177" w:lineRule="exact" w:before="19"/>
              <w:ind w:left="146" w:right="146"/>
              <w:jc w:val="center"/>
              <w:rPr>
                <w:sz w:val="17"/>
              </w:rPr>
            </w:pPr>
            <w:r>
              <w:rPr>
                <w:sz w:val="17"/>
              </w:rPr>
              <w:t>0,1</w:t>
            </w:r>
          </w:p>
        </w:tc>
        <w:tc>
          <w:tcPr>
            <w:tcW w:w="734" w:type="dxa"/>
          </w:tcPr>
          <w:p>
            <w:pPr>
              <w:pStyle w:val="TableParagraph"/>
              <w:spacing w:line="177" w:lineRule="exact" w:before="19"/>
              <w:ind w:left="144" w:right="147"/>
              <w:jc w:val="center"/>
              <w:rPr>
                <w:sz w:val="17"/>
              </w:rPr>
            </w:pPr>
            <w:r>
              <w:rPr>
                <w:sz w:val="17"/>
              </w:rPr>
              <w:t>0,1</w:t>
            </w:r>
          </w:p>
        </w:tc>
        <w:tc>
          <w:tcPr>
            <w:tcW w:w="740" w:type="dxa"/>
          </w:tcPr>
          <w:p>
            <w:pPr>
              <w:pStyle w:val="TableParagraph"/>
              <w:spacing w:line="177" w:lineRule="exact" w:before="19"/>
              <w:ind w:left="148" w:right="150"/>
              <w:jc w:val="center"/>
              <w:rPr>
                <w:sz w:val="17"/>
              </w:rPr>
            </w:pPr>
            <w:r>
              <w:rPr>
                <w:sz w:val="17"/>
              </w:rPr>
              <w:t>0,1</w:t>
            </w:r>
          </w:p>
        </w:tc>
      </w:tr>
      <w:tr>
        <w:trPr>
          <w:trHeight w:val="215" w:hRule="atLeast"/>
        </w:trPr>
        <w:tc>
          <w:tcPr>
            <w:tcW w:w="3506" w:type="dxa"/>
          </w:tcPr>
          <w:p>
            <w:pPr>
              <w:pStyle w:val="TableParagraph"/>
              <w:spacing w:line="177" w:lineRule="exact" w:before="19"/>
              <w:ind w:left="979"/>
              <w:jc w:val="left"/>
              <w:rPr>
                <w:i/>
                <w:sz w:val="17"/>
              </w:rPr>
            </w:pPr>
            <w:r>
              <w:rPr>
                <w:i/>
                <w:sz w:val="17"/>
              </w:rPr>
              <w:t>Misure di spesa</w:t>
            </w:r>
          </w:p>
        </w:tc>
        <w:tc>
          <w:tcPr>
            <w:tcW w:w="907" w:type="dxa"/>
          </w:tcPr>
          <w:p>
            <w:pPr>
              <w:pStyle w:val="TableParagraph"/>
              <w:spacing w:line="177" w:lineRule="exact" w:before="19"/>
              <w:ind w:right="223"/>
              <w:rPr>
                <w:sz w:val="17"/>
              </w:rPr>
            </w:pPr>
            <w:r>
              <w:rPr>
                <w:sz w:val="17"/>
              </w:rPr>
              <w:t>-0,5</w:t>
            </w:r>
          </w:p>
        </w:tc>
        <w:tc>
          <w:tcPr>
            <w:tcW w:w="735" w:type="dxa"/>
          </w:tcPr>
          <w:p>
            <w:pPr>
              <w:pStyle w:val="TableParagraph"/>
              <w:spacing w:line="177" w:lineRule="exact" w:before="19"/>
              <w:ind w:right="224"/>
              <w:rPr>
                <w:sz w:val="17"/>
              </w:rPr>
            </w:pPr>
            <w:r>
              <w:rPr>
                <w:sz w:val="17"/>
              </w:rPr>
              <w:t>-0,1</w:t>
            </w:r>
          </w:p>
        </w:tc>
        <w:tc>
          <w:tcPr>
            <w:tcW w:w="734" w:type="dxa"/>
          </w:tcPr>
          <w:p>
            <w:pPr>
              <w:pStyle w:val="TableParagraph"/>
              <w:spacing w:line="177" w:lineRule="exact" w:before="19"/>
              <w:ind w:left="144" w:right="145"/>
              <w:jc w:val="center"/>
              <w:rPr>
                <w:sz w:val="17"/>
              </w:rPr>
            </w:pPr>
            <w:r>
              <w:rPr>
                <w:sz w:val="17"/>
              </w:rPr>
              <w:t>-0,1</w:t>
            </w:r>
          </w:p>
        </w:tc>
        <w:tc>
          <w:tcPr>
            <w:tcW w:w="731" w:type="dxa"/>
          </w:tcPr>
          <w:p>
            <w:pPr>
              <w:pStyle w:val="TableParagraph"/>
              <w:spacing w:line="177" w:lineRule="exact" w:before="19"/>
              <w:ind w:left="146" w:right="146"/>
              <w:jc w:val="center"/>
              <w:rPr>
                <w:sz w:val="17"/>
              </w:rPr>
            </w:pPr>
            <w:r>
              <w:rPr>
                <w:sz w:val="17"/>
              </w:rPr>
              <w:t>0,0</w:t>
            </w:r>
          </w:p>
        </w:tc>
        <w:tc>
          <w:tcPr>
            <w:tcW w:w="734" w:type="dxa"/>
          </w:tcPr>
          <w:p>
            <w:pPr>
              <w:pStyle w:val="TableParagraph"/>
              <w:spacing w:line="177" w:lineRule="exact" w:before="19"/>
              <w:ind w:left="144" w:right="147"/>
              <w:jc w:val="center"/>
              <w:rPr>
                <w:sz w:val="17"/>
              </w:rPr>
            </w:pPr>
            <w:r>
              <w:rPr>
                <w:sz w:val="17"/>
              </w:rPr>
              <w:t>0,0</w:t>
            </w:r>
          </w:p>
        </w:tc>
        <w:tc>
          <w:tcPr>
            <w:tcW w:w="740" w:type="dxa"/>
          </w:tcPr>
          <w:p>
            <w:pPr>
              <w:pStyle w:val="TableParagraph"/>
              <w:spacing w:line="177" w:lineRule="exact" w:before="19"/>
              <w:ind w:left="148" w:right="150"/>
              <w:jc w:val="center"/>
              <w:rPr>
                <w:sz w:val="17"/>
              </w:rPr>
            </w:pPr>
            <w:r>
              <w:rPr>
                <w:sz w:val="17"/>
              </w:rPr>
              <w:t>0,0</w:t>
            </w:r>
          </w:p>
        </w:tc>
      </w:tr>
      <w:tr>
        <w:trPr>
          <w:trHeight w:val="216" w:hRule="atLeast"/>
        </w:trPr>
        <w:tc>
          <w:tcPr>
            <w:tcW w:w="3506" w:type="dxa"/>
          </w:tcPr>
          <w:p>
            <w:pPr>
              <w:pStyle w:val="TableParagraph"/>
              <w:spacing w:line="177" w:lineRule="exact" w:before="19"/>
              <w:jc w:val="left"/>
              <w:rPr>
                <w:sz w:val="17"/>
              </w:rPr>
            </w:pPr>
            <w:r>
              <w:rPr>
                <w:sz w:val="17"/>
              </w:rPr>
              <w:t>5. Tasso di crescita del PIL potenziale</w:t>
            </w:r>
          </w:p>
        </w:tc>
        <w:tc>
          <w:tcPr>
            <w:tcW w:w="907" w:type="dxa"/>
          </w:tcPr>
          <w:p>
            <w:pPr>
              <w:pStyle w:val="TableParagraph"/>
              <w:spacing w:line="177" w:lineRule="exact" w:before="19"/>
              <w:ind w:right="245"/>
              <w:rPr>
                <w:sz w:val="17"/>
              </w:rPr>
            </w:pPr>
            <w:r>
              <w:rPr>
                <w:sz w:val="17"/>
              </w:rPr>
              <w:t>0,2</w:t>
            </w:r>
          </w:p>
        </w:tc>
        <w:tc>
          <w:tcPr>
            <w:tcW w:w="735" w:type="dxa"/>
          </w:tcPr>
          <w:p>
            <w:pPr>
              <w:pStyle w:val="TableParagraph"/>
              <w:spacing w:line="177" w:lineRule="exact" w:before="19"/>
              <w:ind w:right="245"/>
              <w:rPr>
                <w:sz w:val="17"/>
              </w:rPr>
            </w:pPr>
            <w:r>
              <w:rPr>
                <w:sz w:val="17"/>
              </w:rPr>
              <w:t>0,4</w:t>
            </w:r>
          </w:p>
        </w:tc>
        <w:tc>
          <w:tcPr>
            <w:tcW w:w="734" w:type="dxa"/>
          </w:tcPr>
          <w:p>
            <w:pPr>
              <w:pStyle w:val="TableParagraph"/>
              <w:spacing w:line="177" w:lineRule="exact" w:before="19"/>
              <w:ind w:left="144" w:right="145"/>
              <w:jc w:val="center"/>
              <w:rPr>
                <w:sz w:val="17"/>
              </w:rPr>
            </w:pPr>
            <w:r>
              <w:rPr>
                <w:sz w:val="17"/>
              </w:rPr>
              <w:t>0,5</w:t>
            </w:r>
          </w:p>
        </w:tc>
        <w:tc>
          <w:tcPr>
            <w:tcW w:w="731" w:type="dxa"/>
          </w:tcPr>
          <w:p>
            <w:pPr>
              <w:pStyle w:val="TableParagraph"/>
              <w:spacing w:line="177" w:lineRule="exact" w:before="19"/>
              <w:ind w:left="146" w:right="146"/>
              <w:jc w:val="center"/>
              <w:rPr>
                <w:sz w:val="17"/>
              </w:rPr>
            </w:pPr>
            <w:r>
              <w:rPr>
                <w:sz w:val="17"/>
              </w:rPr>
              <w:t>0,5</w:t>
            </w:r>
          </w:p>
        </w:tc>
        <w:tc>
          <w:tcPr>
            <w:tcW w:w="734" w:type="dxa"/>
          </w:tcPr>
          <w:p>
            <w:pPr>
              <w:pStyle w:val="TableParagraph"/>
              <w:spacing w:line="177" w:lineRule="exact" w:before="19"/>
              <w:ind w:left="144" w:right="147"/>
              <w:jc w:val="center"/>
              <w:rPr>
                <w:sz w:val="17"/>
              </w:rPr>
            </w:pPr>
            <w:r>
              <w:rPr>
                <w:sz w:val="17"/>
              </w:rPr>
              <w:t>0,6</w:t>
            </w:r>
          </w:p>
        </w:tc>
        <w:tc>
          <w:tcPr>
            <w:tcW w:w="740" w:type="dxa"/>
          </w:tcPr>
          <w:p>
            <w:pPr>
              <w:pStyle w:val="TableParagraph"/>
              <w:spacing w:line="177" w:lineRule="exact" w:before="19"/>
              <w:ind w:left="148" w:right="150"/>
              <w:jc w:val="center"/>
              <w:rPr>
                <w:sz w:val="17"/>
              </w:rPr>
            </w:pPr>
            <w:r>
              <w:rPr>
                <w:sz w:val="17"/>
              </w:rPr>
              <w:t>0,6</w:t>
            </w:r>
          </w:p>
        </w:tc>
      </w:tr>
      <w:tr>
        <w:trPr>
          <w:trHeight w:val="216" w:hRule="atLeast"/>
        </w:trPr>
        <w:tc>
          <w:tcPr>
            <w:tcW w:w="3506" w:type="dxa"/>
          </w:tcPr>
          <w:p>
            <w:pPr>
              <w:pStyle w:val="TableParagraph"/>
              <w:spacing w:line="177" w:lineRule="exact" w:before="19"/>
              <w:jc w:val="left"/>
              <w:rPr>
                <w:sz w:val="17"/>
              </w:rPr>
            </w:pPr>
            <w:r>
              <w:rPr>
                <w:sz w:val="17"/>
              </w:rPr>
              <w:t>Contributi dei fattori alla crescita potenziale:</w:t>
            </w:r>
          </w:p>
        </w:tc>
        <w:tc>
          <w:tcPr>
            <w:tcW w:w="907" w:type="dxa"/>
          </w:tcPr>
          <w:p>
            <w:pPr>
              <w:pStyle w:val="TableParagraph"/>
              <w:jc w:val="left"/>
              <w:rPr>
                <w:rFonts w:ascii="Times New Roman"/>
                <w:sz w:val="14"/>
              </w:rPr>
            </w:pPr>
          </w:p>
        </w:tc>
        <w:tc>
          <w:tcPr>
            <w:tcW w:w="735" w:type="dxa"/>
          </w:tcPr>
          <w:p>
            <w:pPr>
              <w:pStyle w:val="TableParagraph"/>
              <w:jc w:val="left"/>
              <w:rPr>
                <w:rFonts w:ascii="Times New Roman"/>
                <w:sz w:val="14"/>
              </w:rPr>
            </w:pPr>
          </w:p>
        </w:tc>
        <w:tc>
          <w:tcPr>
            <w:tcW w:w="734" w:type="dxa"/>
          </w:tcPr>
          <w:p>
            <w:pPr>
              <w:pStyle w:val="TableParagraph"/>
              <w:jc w:val="left"/>
              <w:rPr>
                <w:rFonts w:ascii="Times New Roman"/>
                <w:sz w:val="14"/>
              </w:rPr>
            </w:pPr>
          </w:p>
        </w:tc>
        <w:tc>
          <w:tcPr>
            <w:tcW w:w="731" w:type="dxa"/>
          </w:tcPr>
          <w:p>
            <w:pPr>
              <w:pStyle w:val="TableParagraph"/>
              <w:jc w:val="left"/>
              <w:rPr>
                <w:rFonts w:ascii="Times New Roman"/>
                <w:sz w:val="14"/>
              </w:rPr>
            </w:pPr>
          </w:p>
        </w:tc>
        <w:tc>
          <w:tcPr>
            <w:tcW w:w="734" w:type="dxa"/>
          </w:tcPr>
          <w:p>
            <w:pPr>
              <w:pStyle w:val="TableParagraph"/>
              <w:jc w:val="left"/>
              <w:rPr>
                <w:rFonts w:ascii="Times New Roman"/>
                <w:sz w:val="14"/>
              </w:rPr>
            </w:pPr>
          </w:p>
        </w:tc>
        <w:tc>
          <w:tcPr>
            <w:tcW w:w="740" w:type="dxa"/>
          </w:tcPr>
          <w:p>
            <w:pPr>
              <w:pStyle w:val="TableParagraph"/>
              <w:jc w:val="left"/>
              <w:rPr>
                <w:rFonts w:ascii="Times New Roman"/>
                <w:sz w:val="14"/>
              </w:rPr>
            </w:pPr>
          </w:p>
        </w:tc>
      </w:tr>
      <w:tr>
        <w:trPr>
          <w:trHeight w:val="215" w:hRule="atLeast"/>
        </w:trPr>
        <w:tc>
          <w:tcPr>
            <w:tcW w:w="3506" w:type="dxa"/>
          </w:tcPr>
          <w:p>
            <w:pPr>
              <w:pStyle w:val="TableParagraph"/>
              <w:spacing w:line="177" w:lineRule="exact" w:before="19"/>
              <w:ind w:left="895"/>
              <w:jc w:val="left"/>
              <w:rPr>
                <w:i/>
                <w:sz w:val="17"/>
              </w:rPr>
            </w:pPr>
            <w:r>
              <w:rPr>
                <w:i/>
                <w:sz w:val="17"/>
              </w:rPr>
              <w:t>Lavoro</w:t>
            </w:r>
          </w:p>
        </w:tc>
        <w:tc>
          <w:tcPr>
            <w:tcW w:w="907" w:type="dxa"/>
          </w:tcPr>
          <w:p>
            <w:pPr>
              <w:pStyle w:val="TableParagraph"/>
              <w:spacing w:line="177" w:lineRule="exact" w:before="19"/>
              <w:ind w:right="245"/>
              <w:rPr>
                <w:sz w:val="17"/>
              </w:rPr>
            </w:pPr>
            <w:r>
              <w:rPr>
                <w:sz w:val="17"/>
              </w:rPr>
              <w:t>0,2</w:t>
            </w:r>
          </w:p>
        </w:tc>
        <w:tc>
          <w:tcPr>
            <w:tcW w:w="735" w:type="dxa"/>
          </w:tcPr>
          <w:p>
            <w:pPr>
              <w:pStyle w:val="TableParagraph"/>
              <w:spacing w:line="177" w:lineRule="exact" w:before="19"/>
              <w:ind w:right="245"/>
              <w:rPr>
                <w:sz w:val="17"/>
              </w:rPr>
            </w:pPr>
            <w:r>
              <w:rPr>
                <w:sz w:val="17"/>
              </w:rPr>
              <w:t>0,3</w:t>
            </w:r>
          </w:p>
        </w:tc>
        <w:tc>
          <w:tcPr>
            <w:tcW w:w="734" w:type="dxa"/>
          </w:tcPr>
          <w:p>
            <w:pPr>
              <w:pStyle w:val="TableParagraph"/>
              <w:spacing w:line="177" w:lineRule="exact" w:before="19"/>
              <w:ind w:left="144" w:right="145"/>
              <w:jc w:val="center"/>
              <w:rPr>
                <w:sz w:val="17"/>
              </w:rPr>
            </w:pPr>
            <w:r>
              <w:rPr>
                <w:sz w:val="17"/>
              </w:rPr>
              <w:t>0,4</w:t>
            </w:r>
          </w:p>
        </w:tc>
        <w:tc>
          <w:tcPr>
            <w:tcW w:w="731" w:type="dxa"/>
          </w:tcPr>
          <w:p>
            <w:pPr>
              <w:pStyle w:val="TableParagraph"/>
              <w:spacing w:line="177" w:lineRule="exact" w:before="19"/>
              <w:ind w:left="146" w:right="146"/>
              <w:jc w:val="center"/>
              <w:rPr>
                <w:sz w:val="17"/>
              </w:rPr>
            </w:pPr>
            <w:r>
              <w:rPr>
                <w:sz w:val="17"/>
              </w:rPr>
              <w:t>0,2</w:t>
            </w:r>
          </w:p>
        </w:tc>
        <w:tc>
          <w:tcPr>
            <w:tcW w:w="734" w:type="dxa"/>
          </w:tcPr>
          <w:p>
            <w:pPr>
              <w:pStyle w:val="TableParagraph"/>
              <w:spacing w:line="177" w:lineRule="exact" w:before="19"/>
              <w:ind w:left="144" w:right="147"/>
              <w:jc w:val="center"/>
              <w:rPr>
                <w:sz w:val="17"/>
              </w:rPr>
            </w:pPr>
            <w:r>
              <w:rPr>
                <w:sz w:val="17"/>
              </w:rPr>
              <w:t>0,3</w:t>
            </w:r>
          </w:p>
        </w:tc>
        <w:tc>
          <w:tcPr>
            <w:tcW w:w="740" w:type="dxa"/>
          </w:tcPr>
          <w:p>
            <w:pPr>
              <w:pStyle w:val="TableParagraph"/>
              <w:spacing w:line="177" w:lineRule="exact" w:before="19"/>
              <w:ind w:left="148" w:right="150"/>
              <w:jc w:val="center"/>
              <w:rPr>
                <w:sz w:val="17"/>
              </w:rPr>
            </w:pPr>
            <w:r>
              <w:rPr>
                <w:sz w:val="17"/>
              </w:rPr>
              <w:t>0,2</w:t>
            </w:r>
          </w:p>
        </w:tc>
      </w:tr>
      <w:tr>
        <w:trPr>
          <w:trHeight w:val="215" w:hRule="atLeast"/>
        </w:trPr>
        <w:tc>
          <w:tcPr>
            <w:tcW w:w="3506" w:type="dxa"/>
          </w:tcPr>
          <w:p>
            <w:pPr>
              <w:pStyle w:val="TableParagraph"/>
              <w:spacing w:line="177" w:lineRule="exact" w:before="19"/>
              <w:ind w:left="895"/>
              <w:jc w:val="left"/>
              <w:rPr>
                <w:i/>
                <w:sz w:val="17"/>
              </w:rPr>
            </w:pPr>
            <w:r>
              <w:rPr>
                <w:i/>
                <w:sz w:val="17"/>
              </w:rPr>
              <w:t>Capitale</w:t>
            </w:r>
          </w:p>
        </w:tc>
        <w:tc>
          <w:tcPr>
            <w:tcW w:w="907" w:type="dxa"/>
          </w:tcPr>
          <w:p>
            <w:pPr>
              <w:pStyle w:val="TableParagraph"/>
              <w:spacing w:line="177" w:lineRule="exact" w:before="19"/>
              <w:ind w:right="245"/>
              <w:rPr>
                <w:sz w:val="17"/>
              </w:rPr>
            </w:pPr>
            <w:r>
              <w:rPr>
                <w:sz w:val="17"/>
              </w:rPr>
              <w:t>0,0</w:t>
            </w:r>
          </w:p>
        </w:tc>
        <w:tc>
          <w:tcPr>
            <w:tcW w:w="735" w:type="dxa"/>
          </w:tcPr>
          <w:p>
            <w:pPr>
              <w:pStyle w:val="TableParagraph"/>
              <w:spacing w:line="177" w:lineRule="exact" w:before="19"/>
              <w:ind w:right="245"/>
              <w:rPr>
                <w:sz w:val="17"/>
              </w:rPr>
            </w:pPr>
            <w:r>
              <w:rPr>
                <w:sz w:val="17"/>
              </w:rPr>
              <w:t>0,0</w:t>
            </w:r>
          </w:p>
        </w:tc>
        <w:tc>
          <w:tcPr>
            <w:tcW w:w="734" w:type="dxa"/>
          </w:tcPr>
          <w:p>
            <w:pPr>
              <w:pStyle w:val="TableParagraph"/>
              <w:spacing w:line="177" w:lineRule="exact" w:before="19"/>
              <w:ind w:left="144" w:right="145"/>
              <w:jc w:val="center"/>
              <w:rPr>
                <w:sz w:val="17"/>
              </w:rPr>
            </w:pPr>
            <w:r>
              <w:rPr>
                <w:sz w:val="17"/>
              </w:rPr>
              <w:t>0,1</w:t>
            </w:r>
          </w:p>
        </w:tc>
        <w:tc>
          <w:tcPr>
            <w:tcW w:w="731" w:type="dxa"/>
          </w:tcPr>
          <w:p>
            <w:pPr>
              <w:pStyle w:val="TableParagraph"/>
              <w:spacing w:line="177" w:lineRule="exact" w:before="19"/>
              <w:ind w:left="146" w:right="146"/>
              <w:jc w:val="center"/>
              <w:rPr>
                <w:sz w:val="17"/>
              </w:rPr>
            </w:pPr>
            <w:r>
              <w:rPr>
                <w:sz w:val="17"/>
              </w:rPr>
              <w:t>0,1</w:t>
            </w:r>
          </w:p>
        </w:tc>
        <w:tc>
          <w:tcPr>
            <w:tcW w:w="734" w:type="dxa"/>
          </w:tcPr>
          <w:p>
            <w:pPr>
              <w:pStyle w:val="TableParagraph"/>
              <w:spacing w:line="177" w:lineRule="exact" w:before="19"/>
              <w:ind w:left="144" w:right="147"/>
              <w:jc w:val="center"/>
              <w:rPr>
                <w:sz w:val="17"/>
              </w:rPr>
            </w:pPr>
            <w:r>
              <w:rPr>
                <w:sz w:val="17"/>
              </w:rPr>
              <w:t>0,1</w:t>
            </w:r>
          </w:p>
        </w:tc>
        <w:tc>
          <w:tcPr>
            <w:tcW w:w="740" w:type="dxa"/>
          </w:tcPr>
          <w:p>
            <w:pPr>
              <w:pStyle w:val="TableParagraph"/>
              <w:spacing w:line="177" w:lineRule="exact" w:before="19"/>
              <w:ind w:left="148" w:right="150"/>
              <w:jc w:val="center"/>
              <w:rPr>
                <w:sz w:val="17"/>
              </w:rPr>
            </w:pPr>
            <w:r>
              <w:rPr>
                <w:sz w:val="17"/>
              </w:rPr>
              <w:t>0,2</w:t>
            </w:r>
          </w:p>
        </w:tc>
      </w:tr>
      <w:tr>
        <w:trPr>
          <w:trHeight w:val="215" w:hRule="atLeast"/>
        </w:trPr>
        <w:tc>
          <w:tcPr>
            <w:tcW w:w="3506" w:type="dxa"/>
          </w:tcPr>
          <w:p>
            <w:pPr>
              <w:pStyle w:val="TableParagraph"/>
              <w:spacing w:line="177" w:lineRule="exact" w:before="19"/>
              <w:ind w:left="892"/>
              <w:jc w:val="left"/>
              <w:rPr>
                <w:i/>
                <w:sz w:val="17"/>
              </w:rPr>
            </w:pPr>
            <w:r>
              <w:rPr>
                <w:i/>
                <w:sz w:val="17"/>
              </w:rPr>
              <w:t>Produttività Totale dei Fattori</w:t>
            </w:r>
          </w:p>
        </w:tc>
        <w:tc>
          <w:tcPr>
            <w:tcW w:w="907" w:type="dxa"/>
          </w:tcPr>
          <w:p>
            <w:pPr>
              <w:pStyle w:val="TableParagraph"/>
              <w:spacing w:line="177" w:lineRule="exact" w:before="19"/>
              <w:ind w:right="245"/>
              <w:rPr>
                <w:sz w:val="17"/>
              </w:rPr>
            </w:pPr>
            <w:r>
              <w:rPr>
                <w:sz w:val="17"/>
              </w:rPr>
              <w:t>0,0</w:t>
            </w:r>
          </w:p>
        </w:tc>
        <w:tc>
          <w:tcPr>
            <w:tcW w:w="735" w:type="dxa"/>
          </w:tcPr>
          <w:p>
            <w:pPr>
              <w:pStyle w:val="TableParagraph"/>
              <w:spacing w:line="177" w:lineRule="exact" w:before="19"/>
              <w:ind w:right="245"/>
              <w:rPr>
                <w:sz w:val="17"/>
              </w:rPr>
            </w:pPr>
            <w:r>
              <w:rPr>
                <w:sz w:val="17"/>
              </w:rPr>
              <w:t>0,0</w:t>
            </w:r>
          </w:p>
        </w:tc>
        <w:tc>
          <w:tcPr>
            <w:tcW w:w="734" w:type="dxa"/>
          </w:tcPr>
          <w:p>
            <w:pPr>
              <w:pStyle w:val="TableParagraph"/>
              <w:spacing w:line="177" w:lineRule="exact" w:before="19"/>
              <w:ind w:left="144" w:right="145"/>
              <w:jc w:val="center"/>
              <w:rPr>
                <w:sz w:val="17"/>
              </w:rPr>
            </w:pPr>
            <w:r>
              <w:rPr>
                <w:sz w:val="17"/>
              </w:rPr>
              <w:t>0,1</w:t>
            </w:r>
          </w:p>
        </w:tc>
        <w:tc>
          <w:tcPr>
            <w:tcW w:w="731" w:type="dxa"/>
          </w:tcPr>
          <w:p>
            <w:pPr>
              <w:pStyle w:val="TableParagraph"/>
              <w:spacing w:line="177" w:lineRule="exact" w:before="19"/>
              <w:ind w:left="146" w:right="146"/>
              <w:jc w:val="center"/>
              <w:rPr>
                <w:sz w:val="17"/>
              </w:rPr>
            </w:pPr>
            <w:r>
              <w:rPr>
                <w:sz w:val="17"/>
              </w:rPr>
              <w:t>0,2</w:t>
            </w:r>
          </w:p>
        </w:tc>
        <w:tc>
          <w:tcPr>
            <w:tcW w:w="734" w:type="dxa"/>
          </w:tcPr>
          <w:p>
            <w:pPr>
              <w:pStyle w:val="TableParagraph"/>
              <w:spacing w:line="177" w:lineRule="exact" w:before="19"/>
              <w:ind w:left="144" w:right="147"/>
              <w:jc w:val="center"/>
              <w:rPr>
                <w:sz w:val="17"/>
              </w:rPr>
            </w:pPr>
            <w:r>
              <w:rPr>
                <w:sz w:val="17"/>
              </w:rPr>
              <w:t>0,2</w:t>
            </w:r>
          </w:p>
        </w:tc>
        <w:tc>
          <w:tcPr>
            <w:tcW w:w="740" w:type="dxa"/>
          </w:tcPr>
          <w:p>
            <w:pPr>
              <w:pStyle w:val="TableParagraph"/>
              <w:spacing w:line="177" w:lineRule="exact" w:before="19"/>
              <w:ind w:left="148" w:right="150"/>
              <w:jc w:val="center"/>
              <w:rPr>
                <w:sz w:val="17"/>
              </w:rPr>
            </w:pPr>
            <w:r>
              <w:rPr>
                <w:sz w:val="17"/>
              </w:rPr>
              <w:t>0,2</w:t>
            </w:r>
          </w:p>
        </w:tc>
      </w:tr>
      <w:tr>
        <w:trPr>
          <w:trHeight w:val="216" w:hRule="atLeast"/>
        </w:trPr>
        <w:tc>
          <w:tcPr>
            <w:tcW w:w="3506" w:type="dxa"/>
          </w:tcPr>
          <w:p>
            <w:pPr>
              <w:pStyle w:val="TableParagraph"/>
              <w:spacing w:line="177" w:lineRule="exact" w:before="19"/>
              <w:jc w:val="left"/>
              <w:rPr>
                <w:sz w:val="17"/>
              </w:rPr>
            </w:pPr>
            <w:r>
              <w:rPr>
                <w:sz w:val="17"/>
              </w:rPr>
              <w:t>6. Output gap</w:t>
            </w:r>
          </w:p>
        </w:tc>
        <w:tc>
          <w:tcPr>
            <w:tcW w:w="907" w:type="dxa"/>
          </w:tcPr>
          <w:p>
            <w:pPr>
              <w:pStyle w:val="TableParagraph"/>
              <w:spacing w:line="177" w:lineRule="exact" w:before="19"/>
              <w:ind w:right="223"/>
              <w:rPr>
                <w:sz w:val="17"/>
              </w:rPr>
            </w:pPr>
            <w:r>
              <w:rPr>
                <w:sz w:val="17"/>
              </w:rPr>
              <w:t>-1,8</w:t>
            </w:r>
          </w:p>
        </w:tc>
        <w:tc>
          <w:tcPr>
            <w:tcW w:w="735" w:type="dxa"/>
          </w:tcPr>
          <w:p>
            <w:pPr>
              <w:pStyle w:val="TableParagraph"/>
              <w:spacing w:line="177" w:lineRule="exact" w:before="19"/>
              <w:ind w:right="224"/>
              <w:rPr>
                <w:sz w:val="17"/>
              </w:rPr>
            </w:pPr>
            <w:r>
              <w:rPr>
                <w:sz w:val="17"/>
              </w:rPr>
              <w:t>-1,4</w:t>
            </w:r>
          </w:p>
        </w:tc>
        <w:tc>
          <w:tcPr>
            <w:tcW w:w="734" w:type="dxa"/>
          </w:tcPr>
          <w:p>
            <w:pPr>
              <w:pStyle w:val="TableParagraph"/>
              <w:spacing w:line="177" w:lineRule="exact" w:before="19"/>
              <w:ind w:left="144" w:right="145"/>
              <w:jc w:val="center"/>
              <w:rPr>
                <w:sz w:val="17"/>
              </w:rPr>
            </w:pPr>
            <w:r>
              <w:rPr>
                <w:sz w:val="17"/>
              </w:rPr>
              <w:t>-1,8</w:t>
            </w:r>
          </w:p>
        </w:tc>
        <w:tc>
          <w:tcPr>
            <w:tcW w:w="731" w:type="dxa"/>
          </w:tcPr>
          <w:p>
            <w:pPr>
              <w:pStyle w:val="TableParagraph"/>
              <w:spacing w:line="177" w:lineRule="exact" w:before="19"/>
              <w:ind w:left="146" w:right="146"/>
              <w:jc w:val="center"/>
              <w:rPr>
                <w:sz w:val="17"/>
              </w:rPr>
            </w:pPr>
            <w:r>
              <w:rPr>
                <w:sz w:val="17"/>
              </w:rPr>
              <w:t>-1,7</w:t>
            </w:r>
          </w:p>
        </w:tc>
        <w:tc>
          <w:tcPr>
            <w:tcW w:w="734" w:type="dxa"/>
          </w:tcPr>
          <w:p>
            <w:pPr>
              <w:pStyle w:val="TableParagraph"/>
              <w:spacing w:line="177" w:lineRule="exact" w:before="19"/>
              <w:ind w:left="144" w:right="147"/>
              <w:jc w:val="center"/>
              <w:rPr>
                <w:sz w:val="17"/>
              </w:rPr>
            </w:pPr>
            <w:r>
              <w:rPr>
                <w:sz w:val="17"/>
              </w:rPr>
              <w:t>-1,3</w:t>
            </w:r>
          </w:p>
        </w:tc>
        <w:tc>
          <w:tcPr>
            <w:tcW w:w="740" w:type="dxa"/>
          </w:tcPr>
          <w:p>
            <w:pPr>
              <w:pStyle w:val="TableParagraph"/>
              <w:spacing w:line="177" w:lineRule="exact" w:before="19"/>
              <w:ind w:left="148" w:right="150"/>
              <w:jc w:val="center"/>
              <w:rPr>
                <w:sz w:val="17"/>
              </w:rPr>
            </w:pPr>
            <w:r>
              <w:rPr>
                <w:sz w:val="17"/>
              </w:rPr>
              <w:t>-1,0</w:t>
            </w:r>
          </w:p>
        </w:tc>
      </w:tr>
      <w:tr>
        <w:trPr>
          <w:trHeight w:val="216" w:hRule="atLeast"/>
        </w:trPr>
        <w:tc>
          <w:tcPr>
            <w:tcW w:w="3506" w:type="dxa"/>
          </w:tcPr>
          <w:p>
            <w:pPr>
              <w:pStyle w:val="TableParagraph"/>
              <w:spacing w:line="177" w:lineRule="exact" w:before="19"/>
              <w:jc w:val="left"/>
              <w:rPr>
                <w:sz w:val="17"/>
              </w:rPr>
            </w:pPr>
            <w:r>
              <w:rPr>
                <w:sz w:val="17"/>
              </w:rPr>
              <w:t>7. Componente ciclica del saldo di bilancio</w:t>
            </w:r>
          </w:p>
        </w:tc>
        <w:tc>
          <w:tcPr>
            <w:tcW w:w="907" w:type="dxa"/>
          </w:tcPr>
          <w:p>
            <w:pPr>
              <w:pStyle w:val="TableParagraph"/>
              <w:spacing w:line="177" w:lineRule="exact" w:before="19"/>
              <w:ind w:right="223"/>
              <w:rPr>
                <w:sz w:val="17"/>
              </w:rPr>
            </w:pPr>
            <w:r>
              <w:rPr>
                <w:sz w:val="17"/>
              </w:rPr>
              <w:t>-1,0</w:t>
            </w:r>
          </w:p>
        </w:tc>
        <w:tc>
          <w:tcPr>
            <w:tcW w:w="735" w:type="dxa"/>
          </w:tcPr>
          <w:p>
            <w:pPr>
              <w:pStyle w:val="TableParagraph"/>
              <w:spacing w:line="177" w:lineRule="exact" w:before="19"/>
              <w:ind w:right="224"/>
              <w:rPr>
                <w:sz w:val="17"/>
              </w:rPr>
            </w:pPr>
            <w:r>
              <w:rPr>
                <w:sz w:val="17"/>
              </w:rPr>
              <w:t>-0,8</w:t>
            </w:r>
          </w:p>
        </w:tc>
        <w:tc>
          <w:tcPr>
            <w:tcW w:w="734" w:type="dxa"/>
          </w:tcPr>
          <w:p>
            <w:pPr>
              <w:pStyle w:val="TableParagraph"/>
              <w:spacing w:line="177" w:lineRule="exact" w:before="19"/>
              <w:ind w:left="144" w:right="145"/>
              <w:jc w:val="center"/>
              <w:rPr>
                <w:sz w:val="17"/>
              </w:rPr>
            </w:pPr>
            <w:r>
              <w:rPr>
                <w:sz w:val="17"/>
              </w:rPr>
              <w:t>-1,0</w:t>
            </w:r>
          </w:p>
        </w:tc>
        <w:tc>
          <w:tcPr>
            <w:tcW w:w="731" w:type="dxa"/>
          </w:tcPr>
          <w:p>
            <w:pPr>
              <w:pStyle w:val="TableParagraph"/>
              <w:spacing w:line="177" w:lineRule="exact" w:before="19"/>
              <w:ind w:left="146" w:right="146"/>
              <w:jc w:val="center"/>
              <w:rPr>
                <w:sz w:val="17"/>
              </w:rPr>
            </w:pPr>
            <w:r>
              <w:rPr>
                <w:sz w:val="17"/>
              </w:rPr>
              <w:t>-0,9</w:t>
            </w:r>
          </w:p>
        </w:tc>
        <w:tc>
          <w:tcPr>
            <w:tcW w:w="734" w:type="dxa"/>
          </w:tcPr>
          <w:p>
            <w:pPr>
              <w:pStyle w:val="TableParagraph"/>
              <w:spacing w:line="177" w:lineRule="exact" w:before="19"/>
              <w:ind w:left="144" w:right="147"/>
              <w:jc w:val="center"/>
              <w:rPr>
                <w:sz w:val="17"/>
              </w:rPr>
            </w:pPr>
            <w:r>
              <w:rPr>
                <w:sz w:val="17"/>
              </w:rPr>
              <w:t>-0,7</w:t>
            </w:r>
          </w:p>
        </w:tc>
        <w:tc>
          <w:tcPr>
            <w:tcW w:w="740" w:type="dxa"/>
          </w:tcPr>
          <w:p>
            <w:pPr>
              <w:pStyle w:val="TableParagraph"/>
              <w:spacing w:line="177" w:lineRule="exact" w:before="19"/>
              <w:ind w:left="148" w:right="150"/>
              <w:jc w:val="center"/>
              <w:rPr>
                <w:sz w:val="17"/>
              </w:rPr>
            </w:pPr>
            <w:r>
              <w:rPr>
                <w:sz w:val="17"/>
              </w:rPr>
              <w:t>-0,5</w:t>
            </w:r>
          </w:p>
        </w:tc>
      </w:tr>
      <w:tr>
        <w:trPr>
          <w:trHeight w:val="216" w:hRule="atLeast"/>
        </w:trPr>
        <w:tc>
          <w:tcPr>
            <w:tcW w:w="3506" w:type="dxa"/>
          </w:tcPr>
          <w:p>
            <w:pPr>
              <w:pStyle w:val="TableParagraph"/>
              <w:spacing w:line="177" w:lineRule="exact" w:before="19"/>
              <w:jc w:val="left"/>
              <w:rPr>
                <w:sz w:val="17"/>
              </w:rPr>
            </w:pPr>
            <w:r>
              <w:rPr>
                <w:sz w:val="17"/>
              </w:rPr>
              <w:t>8. Saldo di bilancio corretto per il ciclo</w:t>
            </w:r>
          </w:p>
        </w:tc>
        <w:tc>
          <w:tcPr>
            <w:tcW w:w="907" w:type="dxa"/>
          </w:tcPr>
          <w:p>
            <w:pPr>
              <w:pStyle w:val="TableParagraph"/>
              <w:spacing w:line="177" w:lineRule="exact" w:before="19"/>
              <w:ind w:right="223"/>
              <w:rPr>
                <w:sz w:val="17"/>
              </w:rPr>
            </w:pPr>
            <w:r>
              <w:rPr>
                <w:sz w:val="17"/>
              </w:rPr>
              <w:t>-1,4</w:t>
            </w:r>
          </w:p>
        </w:tc>
        <w:tc>
          <w:tcPr>
            <w:tcW w:w="735" w:type="dxa"/>
          </w:tcPr>
          <w:p>
            <w:pPr>
              <w:pStyle w:val="TableParagraph"/>
              <w:spacing w:line="177" w:lineRule="exact" w:before="19"/>
              <w:ind w:right="224"/>
              <w:rPr>
                <w:sz w:val="17"/>
              </w:rPr>
            </w:pPr>
            <w:r>
              <w:rPr>
                <w:sz w:val="17"/>
              </w:rPr>
              <w:t>-1,4</w:t>
            </w:r>
          </w:p>
        </w:tc>
        <w:tc>
          <w:tcPr>
            <w:tcW w:w="734" w:type="dxa"/>
          </w:tcPr>
          <w:p>
            <w:pPr>
              <w:pStyle w:val="TableParagraph"/>
              <w:spacing w:line="177" w:lineRule="exact" w:before="19"/>
              <w:ind w:left="144" w:right="145"/>
              <w:jc w:val="center"/>
              <w:rPr>
                <w:sz w:val="17"/>
              </w:rPr>
            </w:pPr>
            <w:r>
              <w:rPr>
                <w:sz w:val="17"/>
              </w:rPr>
              <w:t>-1,2</w:t>
            </w:r>
          </w:p>
        </w:tc>
        <w:tc>
          <w:tcPr>
            <w:tcW w:w="731" w:type="dxa"/>
          </w:tcPr>
          <w:p>
            <w:pPr>
              <w:pStyle w:val="TableParagraph"/>
              <w:spacing w:line="177" w:lineRule="exact" w:before="19"/>
              <w:ind w:left="146" w:right="146"/>
              <w:jc w:val="center"/>
              <w:rPr>
                <w:sz w:val="17"/>
              </w:rPr>
            </w:pPr>
            <w:r>
              <w:rPr>
                <w:sz w:val="17"/>
              </w:rPr>
              <w:t>-1,2</w:t>
            </w:r>
          </w:p>
        </w:tc>
        <w:tc>
          <w:tcPr>
            <w:tcW w:w="734" w:type="dxa"/>
          </w:tcPr>
          <w:p>
            <w:pPr>
              <w:pStyle w:val="TableParagraph"/>
              <w:spacing w:line="177" w:lineRule="exact" w:before="19"/>
              <w:ind w:left="144" w:right="147"/>
              <w:jc w:val="center"/>
              <w:rPr>
                <w:sz w:val="17"/>
              </w:rPr>
            </w:pPr>
            <w:r>
              <w:rPr>
                <w:sz w:val="17"/>
              </w:rPr>
              <w:t>-1,0</w:t>
            </w:r>
          </w:p>
        </w:tc>
        <w:tc>
          <w:tcPr>
            <w:tcW w:w="740" w:type="dxa"/>
          </w:tcPr>
          <w:p>
            <w:pPr>
              <w:pStyle w:val="TableParagraph"/>
              <w:spacing w:line="177" w:lineRule="exact" w:before="19"/>
              <w:ind w:left="148" w:right="150"/>
              <w:jc w:val="center"/>
              <w:rPr>
                <w:sz w:val="17"/>
              </w:rPr>
            </w:pPr>
            <w:r>
              <w:rPr>
                <w:sz w:val="17"/>
              </w:rPr>
              <w:t>-0,9</w:t>
            </w:r>
          </w:p>
        </w:tc>
      </w:tr>
      <w:tr>
        <w:trPr>
          <w:trHeight w:val="216" w:hRule="atLeast"/>
        </w:trPr>
        <w:tc>
          <w:tcPr>
            <w:tcW w:w="3506" w:type="dxa"/>
          </w:tcPr>
          <w:p>
            <w:pPr>
              <w:pStyle w:val="TableParagraph"/>
              <w:spacing w:line="177" w:lineRule="exact" w:before="19"/>
              <w:jc w:val="left"/>
              <w:rPr>
                <w:sz w:val="17"/>
              </w:rPr>
            </w:pPr>
            <w:r>
              <w:rPr>
                <w:sz w:val="17"/>
              </w:rPr>
              <w:t>9. Avanzo primario corretto per il ciclo</w:t>
            </w:r>
          </w:p>
        </w:tc>
        <w:tc>
          <w:tcPr>
            <w:tcW w:w="907" w:type="dxa"/>
          </w:tcPr>
          <w:p>
            <w:pPr>
              <w:pStyle w:val="TableParagraph"/>
              <w:spacing w:line="177" w:lineRule="exact" w:before="19"/>
              <w:ind w:right="245"/>
              <w:rPr>
                <w:sz w:val="17"/>
              </w:rPr>
            </w:pPr>
            <w:r>
              <w:rPr>
                <w:sz w:val="17"/>
              </w:rPr>
              <w:t>2,3</w:t>
            </w:r>
          </w:p>
        </w:tc>
        <w:tc>
          <w:tcPr>
            <w:tcW w:w="735" w:type="dxa"/>
          </w:tcPr>
          <w:p>
            <w:pPr>
              <w:pStyle w:val="TableParagraph"/>
              <w:spacing w:line="177" w:lineRule="exact" w:before="19"/>
              <w:ind w:right="245"/>
              <w:rPr>
                <w:sz w:val="17"/>
              </w:rPr>
            </w:pPr>
            <w:r>
              <w:rPr>
                <w:sz w:val="17"/>
              </w:rPr>
              <w:t>2,2</w:t>
            </w:r>
          </w:p>
        </w:tc>
        <w:tc>
          <w:tcPr>
            <w:tcW w:w="734" w:type="dxa"/>
          </w:tcPr>
          <w:p>
            <w:pPr>
              <w:pStyle w:val="TableParagraph"/>
              <w:spacing w:line="177" w:lineRule="exact" w:before="19"/>
              <w:ind w:left="144" w:right="145"/>
              <w:jc w:val="center"/>
              <w:rPr>
                <w:sz w:val="17"/>
              </w:rPr>
            </w:pPr>
            <w:r>
              <w:rPr>
                <w:sz w:val="17"/>
              </w:rPr>
              <w:t>2,3</w:t>
            </w:r>
          </w:p>
        </w:tc>
        <w:tc>
          <w:tcPr>
            <w:tcW w:w="731" w:type="dxa"/>
          </w:tcPr>
          <w:p>
            <w:pPr>
              <w:pStyle w:val="TableParagraph"/>
              <w:spacing w:line="177" w:lineRule="exact" w:before="19"/>
              <w:ind w:left="146" w:right="146"/>
              <w:jc w:val="center"/>
              <w:rPr>
                <w:sz w:val="17"/>
              </w:rPr>
            </w:pPr>
            <w:r>
              <w:rPr>
                <w:sz w:val="17"/>
              </w:rPr>
              <w:t>2,0</w:t>
            </w:r>
          </w:p>
        </w:tc>
        <w:tc>
          <w:tcPr>
            <w:tcW w:w="734" w:type="dxa"/>
          </w:tcPr>
          <w:p>
            <w:pPr>
              <w:pStyle w:val="TableParagraph"/>
              <w:spacing w:line="177" w:lineRule="exact" w:before="19"/>
              <w:ind w:left="144" w:right="147"/>
              <w:jc w:val="center"/>
              <w:rPr>
                <w:sz w:val="17"/>
              </w:rPr>
            </w:pPr>
            <w:r>
              <w:rPr>
                <w:sz w:val="17"/>
              </w:rPr>
              <w:t>2,1</w:t>
            </w:r>
          </w:p>
        </w:tc>
        <w:tc>
          <w:tcPr>
            <w:tcW w:w="740" w:type="dxa"/>
          </w:tcPr>
          <w:p>
            <w:pPr>
              <w:pStyle w:val="TableParagraph"/>
              <w:spacing w:line="177" w:lineRule="exact" w:before="19"/>
              <w:ind w:left="148" w:right="150"/>
              <w:jc w:val="center"/>
              <w:rPr>
                <w:sz w:val="17"/>
              </w:rPr>
            </w:pPr>
            <w:r>
              <w:rPr>
                <w:sz w:val="17"/>
              </w:rPr>
              <w:t>2,1</w:t>
            </w:r>
          </w:p>
        </w:tc>
      </w:tr>
      <w:tr>
        <w:trPr>
          <w:trHeight w:val="216" w:hRule="atLeast"/>
        </w:trPr>
        <w:tc>
          <w:tcPr>
            <w:tcW w:w="3506" w:type="dxa"/>
          </w:tcPr>
          <w:p>
            <w:pPr>
              <w:pStyle w:val="TableParagraph"/>
              <w:spacing w:line="177" w:lineRule="exact" w:before="19"/>
              <w:jc w:val="left"/>
              <w:rPr>
                <w:sz w:val="17"/>
              </w:rPr>
            </w:pPr>
            <w:r>
              <w:rPr>
                <w:sz w:val="17"/>
              </w:rPr>
              <w:t>10. Saldo di bilancio strutturale (3)</w:t>
            </w:r>
          </w:p>
        </w:tc>
        <w:tc>
          <w:tcPr>
            <w:tcW w:w="907" w:type="dxa"/>
          </w:tcPr>
          <w:p>
            <w:pPr>
              <w:pStyle w:val="TableParagraph"/>
              <w:spacing w:line="177" w:lineRule="exact" w:before="19"/>
              <w:ind w:right="223"/>
              <w:rPr>
                <w:sz w:val="17"/>
              </w:rPr>
            </w:pPr>
            <w:r>
              <w:rPr>
                <w:sz w:val="17"/>
              </w:rPr>
              <w:t>-1,4</w:t>
            </w:r>
          </w:p>
        </w:tc>
        <w:tc>
          <w:tcPr>
            <w:tcW w:w="735" w:type="dxa"/>
          </w:tcPr>
          <w:p>
            <w:pPr>
              <w:pStyle w:val="TableParagraph"/>
              <w:spacing w:line="177" w:lineRule="exact" w:before="19"/>
              <w:ind w:right="224"/>
              <w:rPr>
                <w:sz w:val="17"/>
              </w:rPr>
            </w:pPr>
            <w:r>
              <w:rPr>
                <w:sz w:val="17"/>
              </w:rPr>
              <w:t>-1,5</w:t>
            </w:r>
          </w:p>
        </w:tc>
        <w:tc>
          <w:tcPr>
            <w:tcW w:w="734" w:type="dxa"/>
          </w:tcPr>
          <w:p>
            <w:pPr>
              <w:pStyle w:val="TableParagraph"/>
              <w:spacing w:line="177" w:lineRule="exact" w:before="19"/>
              <w:ind w:left="144" w:right="145"/>
              <w:jc w:val="center"/>
              <w:rPr>
                <w:sz w:val="17"/>
              </w:rPr>
            </w:pPr>
            <w:r>
              <w:rPr>
                <w:sz w:val="17"/>
              </w:rPr>
              <w:t>-1,2</w:t>
            </w:r>
          </w:p>
        </w:tc>
        <w:tc>
          <w:tcPr>
            <w:tcW w:w="731" w:type="dxa"/>
          </w:tcPr>
          <w:p>
            <w:pPr>
              <w:pStyle w:val="TableParagraph"/>
              <w:spacing w:line="177" w:lineRule="exact" w:before="19"/>
              <w:ind w:left="146" w:right="146"/>
              <w:jc w:val="center"/>
              <w:rPr>
                <w:sz w:val="17"/>
              </w:rPr>
            </w:pPr>
            <w:r>
              <w:rPr>
                <w:sz w:val="17"/>
              </w:rPr>
              <w:t>-1,4</w:t>
            </w:r>
          </w:p>
        </w:tc>
        <w:tc>
          <w:tcPr>
            <w:tcW w:w="734" w:type="dxa"/>
          </w:tcPr>
          <w:p>
            <w:pPr>
              <w:pStyle w:val="TableParagraph"/>
              <w:spacing w:line="177" w:lineRule="exact" w:before="19"/>
              <w:ind w:left="144" w:right="147"/>
              <w:jc w:val="center"/>
              <w:rPr>
                <w:sz w:val="17"/>
              </w:rPr>
            </w:pPr>
            <w:r>
              <w:rPr>
                <w:sz w:val="17"/>
              </w:rPr>
              <w:t>-1,2</w:t>
            </w:r>
          </w:p>
        </w:tc>
        <w:tc>
          <w:tcPr>
            <w:tcW w:w="740" w:type="dxa"/>
          </w:tcPr>
          <w:p>
            <w:pPr>
              <w:pStyle w:val="TableParagraph"/>
              <w:spacing w:line="177" w:lineRule="exact" w:before="19"/>
              <w:ind w:left="148" w:right="150"/>
              <w:jc w:val="center"/>
              <w:rPr>
                <w:sz w:val="17"/>
              </w:rPr>
            </w:pPr>
            <w:r>
              <w:rPr>
                <w:sz w:val="17"/>
              </w:rPr>
              <w:t>-1,0</w:t>
            </w:r>
          </w:p>
        </w:tc>
      </w:tr>
      <w:tr>
        <w:trPr>
          <w:trHeight w:val="215" w:hRule="atLeast"/>
        </w:trPr>
        <w:tc>
          <w:tcPr>
            <w:tcW w:w="3506" w:type="dxa"/>
          </w:tcPr>
          <w:p>
            <w:pPr>
              <w:pStyle w:val="TableParagraph"/>
              <w:spacing w:line="177" w:lineRule="exact" w:before="19"/>
              <w:jc w:val="left"/>
              <w:rPr>
                <w:sz w:val="17"/>
              </w:rPr>
            </w:pPr>
            <w:r>
              <w:rPr>
                <w:sz w:val="17"/>
              </w:rPr>
              <w:t>11. Avanzo primario strutturale (3)</w:t>
            </w:r>
          </w:p>
        </w:tc>
        <w:tc>
          <w:tcPr>
            <w:tcW w:w="907" w:type="dxa"/>
          </w:tcPr>
          <w:p>
            <w:pPr>
              <w:pStyle w:val="TableParagraph"/>
              <w:spacing w:line="177" w:lineRule="exact" w:before="19"/>
              <w:ind w:right="245"/>
              <w:rPr>
                <w:sz w:val="17"/>
              </w:rPr>
            </w:pPr>
            <w:r>
              <w:rPr>
                <w:sz w:val="17"/>
              </w:rPr>
              <w:t>2,4</w:t>
            </w:r>
          </w:p>
        </w:tc>
        <w:tc>
          <w:tcPr>
            <w:tcW w:w="735" w:type="dxa"/>
          </w:tcPr>
          <w:p>
            <w:pPr>
              <w:pStyle w:val="TableParagraph"/>
              <w:spacing w:line="177" w:lineRule="exact" w:before="19"/>
              <w:ind w:right="245"/>
              <w:rPr>
                <w:sz w:val="17"/>
              </w:rPr>
            </w:pPr>
            <w:r>
              <w:rPr>
                <w:sz w:val="17"/>
              </w:rPr>
              <w:t>2,1</w:t>
            </w:r>
          </w:p>
        </w:tc>
        <w:tc>
          <w:tcPr>
            <w:tcW w:w="734" w:type="dxa"/>
          </w:tcPr>
          <w:p>
            <w:pPr>
              <w:pStyle w:val="TableParagraph"/>
              <w:spacing w:line="177" w:lineRule="exact" w:before="19"/>
              <w:ind w:left="144" w:right="145"/>
              <w:jc w:val="center"/>
              <w:rPr>
                <w:sz w:val="17"/>
              </w:rPr>
            </w:pPr>
            <w:r>
              <w:rPr>
                <w:sz w:val="17"/>
              </w:rPr>
              <w:t>2,2</w:t>
            </w:r>
          </w:p>
        </w:tc>
        <w:tc>
          <w:tcPr>
            <w:tcW w:w="731" w:type="dxa"/>
          </w:tcPr>
          <w:p>
            <w:pPr>
              <w:pStyle w:val="TableParagraph"/>
              <w:spacing w:line="177" w:lineRule="exact" w:before="19"/>
              <w:ind w:left="146" w:right="146"/>
              <w:jc w:val="center"/>
              <w:rPr>
                <w:sz w:val="17"/>
              </w:rPr>
            </w:pPr>
            <w:r>
              <w:rPr>
                <w:sz w:val="17"/>
              </w:rPr>
              <w:t>1,9</w:t>
            </w:r>
          </w:p>
        </w:tc>
        <w:tc>
          <w:tcPr>
            <w:tcW w:w="734" w:type="dxa"/>
          </w:tcPr>
          <w:p>
            <w:pPr>
              <w:pStyle w:val="TableParagraph"/>
              <w:spacing w:line="177" w:lineRule="exact" w:before="19"/>
              <w:ind w:left="144" w:right="147"/>
              <w:jc w:val="center"/>
              <w:rPr>
                <w:sz w:val="17"/>
              </w:rPr>
            </w:pPr>
            <w:r>
              <w:rPr>
                <w:sz w:val="17"/>
              </w:rPr>
              <w:t>1,9</w:t>
            </w:r>
          </w:p>
        </w:tc>
        <w:tc>
          <w:tcPr>
            <w:tcW w:w="740" w:type="dxa"/>
          </w:tcPr>
          <w:p>
            <w:pPr>
              <w:pStyle w:val="TableParagraph"/>
              <w:spacing w:line="177" w:lineRule="exact" w:before="19"/>
              <w:ind w:left="148" w:right="150"/>
              <w:jc w:val="center"/>
              <w:rPr>
                <w:sz w:val="17"/>
              </w:rPr>
            </w:pPr>
            <w:r>
              <w:rPr>
                <w:sz w:val="17"/>
              </w:rPr>
              <w:t>2,0</w:t>
            </w:r>
          </w:p>
        </w:tc>
      </w:tr>
      <w:tr>
        <w:trPr>
          <w:trHeight w:val="216" w:hRule="atLeast"/>
        </w:trPr>
        <w:tc>
          <w:tcPr>
            <w:tcW w:w="3506" w:type="dxa"/>
          </w:tcPr>
          <w:p>
            <w:pPr>
              <w:pStyle w:val="TableParagraph"/>
              <w:spacing w:line="177" w:lineRule="exact" w:before="19"/>
              <w:jc w:val="left"/>
              <w:rPr>
                <w:sz w:val="17"/>
              </w:rPr>
            </w:pPr>
            <w:r>
              <w:rPr>
                <w:sz w:val="17"/>
              </w:rPr>
              <w:t>12. Variazione saldo di bilancio strutturale</w:t>
            </w:r>
          </w:p>
        </w:tc>
        <w:tc>
          <w:tcPr>
            <w:tcW w:w="907" w:type="dxa"/>
          </w:tcPr>
          <w:p>
            <w:pPr>
              <w:pStyle w:val="TableParagraph"/>
              <w:spacing w:line="177" w:lineRule="exact" w:before="19"/>
              <w:ind w:right="223"/>
              <w:rPr>
                <w:sz w:val="17"/>
              </w:rPr>
            </w:pPr>
            <w:r>
              <w:rPr>
                <w:sz w:val="17"/>
              </w:rPr>
              <w:t>-0,6</w:t>
            </w:r>
          </w:p>
        </w:tc>
        <w:tc>
          <w:tcPr>
            <w:tcW w:w="735" w:type="dxa"/>
          </w:tcPr>
          <w:p>
            <w:pPr>
              <w:pStyle w:val="TableParagraph"/>
              <w:spacing w:line="177" w:lineRule="exact" w:before="19"/>
              <w:ind w:right="224"/>
              <w:rPr>
                <w:sz w:val="17"/>
              </w:rPr>
            </w:pPr>
            <w:r>
              <w:rPr>
                <w:sz w:val="17"/>
              </w:rPr>
              <w:t>-0,1</w:t>
            </w:r>
          </w:p>
        </w:tc>
        <w:tc>
          <w:tcPr>
            <w:tcW w:w="734" w:type="dxa"/>
          </w:tcPr>
          <w:p>
            <w:pPr>
              <w:pStyle w:val="TableParagraph"/>
              <w:spacing w:line="177" w:lineRule="exact" w:before="19"/>
              <w:ind w:left="144" w:right="145"/>
              <w:jc w:val="center"/>
              <w:rPr>
                <w:sz w:val="17"/>
              </w:rPr>
            </w:pPr>
            <w:r>
              <w:rPr>
                <w:sz w:val="17"/>
              </w:rPr>
              <w:t>0,3</w:t>
            </w:r>
          </w:p>
        </w:tc>
        <w:tc>
          <w:tcPr>
            <w:tcW w:w="731" w:type="dxa"/>
          </w:tcPr>
          <w:p>
            <w:pPr>
              <w:pStyle w:val="TableParagraph"/>
              <w:spacing w:line="177" w:lineRule="exact" w:before="19"/>
              <w:ind w:left="146" w:right="146"/>
              <w:jc w:val="center"/>
              <w:rPr>
                <w:sz w:val="17"/>
              </w:rPr>
            </w:pPr>
            <w:r>
              <w:rPr>
                <w:sz w:val="17"/>
              </w:rPr>
              <w:t>-0,1</w:t>
            </w:r>
          </w:p>
        </w:tc>
        <w:tc>
          <w:tcPr>
            <w:tcW w:w="734" w:type="dxa"/>
          </w:tcPr>
          <w:p>
            <w:pPr>
              <w:pStyle w:val="TableParagraph"/>
              <w:spacing w:line="177" w:lineRule="exact" w:before="19"/>
              <w:ind w:left="144" w:right="147"/>
              <w:jc w:val="center"/>
              <w:rPr>
                <w:sz w:val="17"/>
              </w:rPr>
            </w:pPr>
            <w:r>
              <w:rPr>
                <w:sz w:val="17"/>
              </w:rPr>
              <w:t>0,2</w:t>
            </w:r>
          </w:p>
        </w:tc>
        <w:tc>
          <w:tcPr>
            <w:tcW w:w="740" w:type="dxa"/>
          </w:tcPr>
          <w:p>
            <w:pPr>
              <w:pStyle w:val="TableParagraph"/>
              <w:spacing w:line="177" w:lineRule="exact" w:before="19"/>
              <w:ind w:left="148" w:right="150"/>
              <w:jc w:val="center"/>
              <w:rPr>
                <w:sz w:val="17"/>
              </w:rPr>
            </w:pPr>
            <w:r>
              <w:rPr>
                <w:sz w:val="17"/>
              </w:rPr>
              <w:t>0,2</w:t>
            </w:r>
          </w:p>
        </w:tc>
      </w:tr>
      <w:tr>
        <w:trPr>
          <w:trHeight w:val="225" w:hRule="atLeast"/>
        </w:trPr>
        <w:tc>
          <w:tcPr>
            <w:tcW w:w="3506" w:type="dxa"/>
            <w:tcBorders>
              <w:bottom w:val="single" w:sz="2" w:space="0" w:color="000000"/>
            </w:tcBorders>
          </w:tcPr>
          <w:p>
            <w:pPr>
              <w:pStyle w:val="TableParagraph"/>
              <w:spacing w:line="186" w:lineRule="exact" w:before="19"/>
              <w:jc w:val="left"/>
              <w:rPr>
                <w:sz w:val="17"/>
              </w:rPr>
            </w:pPr>
            <w:r>
              <w:rPr>
                <w:sz w:val="17"/>
              </w:rPr>
              <w:t>13. Variazione avanzo primario strutturale</w:t>
            </w:r>
          </w:p>
        </w:tc>
        <w:tc>
          <w:tcPr>
            <w:tcW w:w="907" w:type="dxa"/>
            <w:tcBorders>
              <w:bottom w:val="single" w:sz="2" w:space="0" w:color="000000"/>
            </w:tcBorders>
          </w:tcPr>
          <w:p>
            <w:pPr>
              <w:pStyle w:val="TableParagraph"/>
              <w:spacing w:line="186" w:lineRule="exact" w:before="19"/>
              <w:ind w:right="223"/>
              <w:rPr>
                <w:sz w:val="17"/>
              </w:rPr>
            </w:pPr>
            <w:r>
              <w:rPr>
                <w:sz w:val="17"/>
              </w:rPr>
              <w:t>-0,7</w:t>
            </w:r>
          </w:p>
        </w:tc>
        <w:tc>
          <w:tcPr>
            <w:tcW w:w="735" w:type="dxa"/>
            <w:tcBorders>
              <w:bottom w:val="single" w:sz="2" w:space="0" w:color="000000"/>
            </w:tcBorders>
          </w:tcPr>
          <w:p>
            <w:pPr>
              <w:pStyle w:val="TableParagraph"/>
              <w:spacing w:line="186" w:lineRule="exact" w:before="19"/>
              <w:ind w:right="224"/>
              <w:rPr>
                <w:sz w:val="17"/>
              </w:rPr>
            </w:pPr>
            <w:r>
              <w:rPr>
                <w:sz w:val="17"/>
              </w:rPr>
              <w:t>-0,2</w:t>
            </w:r>
          </w:p>
        </w:tc>
        <w:tc>
          <w:tcPr>
            <w:tcW w:w="734" w:type="dxa"/>
            <w:tcBorders>
              <w:bottom w:val="single" w:sz="2" w:space="0" w:color="000000"/>
            </w:tcBorders>
          </w:tcPr>
          <w:p>
            <w:pPr>
              <w:pStyle w:val="TableParagraph"/>
              <w:spacing w:line="186" w:lineRule="exact" w:before="19"/>
              <w:ind w:left="144" w:right="145"/>
              <w:jc w:val="center"/>
              <w:rPr>
                <w:sz w:val="17"/>
              </w:rPr>
            </w:pPr>
            <w:r>
              <w:rPr>
                <w:sz w:val="17"/>
              </w:rPr>
              <w:t>0,1</w:t>
            </w:r>
          </w:p>
        </w:tc>
        <w:tc>
          <w:tcPr>
            <w:tcW w:w="731" w:type="dxa"/>
            <w:tcBorders>
              <w:bottom w:val="single" w:sz="2" w:space="0" w:color="000000"/>
            </w:tcBorders>
          </w:tcPr>
          <w:p>
            <w:pPr>
              <w:pStyle w:val="TableParagraph"/>
              <w:spacing w:line="186" w:lineRule="exact" w:before="19"/>
              <w:ind w:left="146" w:right="146"/>
              <w:jc w:val="center"/>
              <w:rPr>
                <w:sz w:val="17"/>
              </w:rPr>
            </w:pPr>
            <w:r>
              <w:rPr>
                <w:sz w:val="17"/>
              </w:rPr>
              <w:t>-0,3</w:t>
            </w:r>
          </w:p>
        </w:tc>
        <w:tc>
          <w:tcPr>
            <w:tcW w:w="734" w:type="dxa"/>
            <w:tcBorders>
              <w:bottom w:val="single" w:sz="2" w:space="0" w:color="000000"/>
            </w:tcBorders>
          </w:tcPr>
          <w:p>
            <w:pPr>
              <w:pStyle w:val="TableParagraph"/>
              <w:spacing w:line="186" w:lineRule="exact" w:before="19"/>
              <w:ind w:left="144" w:right="147"/>
              <w:jc w:val="center"/>
              <w:rPr>
                <w:sz w:val="17"/>
              </w:rPr>
            </w:pPr>
            <w:r>
              <w:rPr>
                <w:sz w:val="17"/>
              </w:rPr>
              <w:t>0,0</w:t>
            </w:r>
          </w:p>
        </w:tc>
        <w:tc>
          <w:tcPr>
            <w:tcW w:w="740" w:type="dxa"/>
            <w:tcBorders>
              <w:bottom w:val="single" w:sz="2" w:space="0" w:color="000000"/>
            </w:tcBorders>
          </w:tcPr>
          <w:p>
            <w:pPr>
              <w:pStyle w:val="TableParagraph"/>
              <w:spacing w:line="186" w:lineRule="exact" w:before="19"/>
              <w:ind w:left="148" w:right="150"/>
              <w:jc w:val="center"/>
              <w:rPr>
                <w:sz w:val="17"/>
              </w:rPr>
            </w:pPr>
            <w:r>
              <w:rPr>
                <w:sz w:val="17"/>
              </w:rPr>
              <w:t>0,0</w:t>
            </w:r>
          </w:p>
        </w:tc>
      </w:tr>
    </w:tbl>
    <w:p>
      <w:pPr>
        <w:pStyle w:val="ListParagraph"/>
        <w:numPr>
          <w:ilvl w:val="0"/>
          <w:numId w:val="8"/>
        </w:numPr>
        <w:tabs>
          <w:tab w:pos="524" w:val="left" w:leader="none"/>
        </w:tabs>
        <w:spacing w:line="240" w:lineRule="auto" w:before="0" w:after="0"/>
        <w:ind w:left="523" w:right="0" w:hanging="246"/>
        <w:jc w:val="left"/>
        <w:rPr>
          <w:rFonts w:ascii="Franklin Gothic Book"/>
          <w:sz w:val="17"/>
        </w:rPr>
      </w:pPr>
      <w:r>
        <w:rPr>
          <w:rFonts w:ascii="Franklin Gothic Book"/>
          <w:sz w:val="17"/>
        </w:rPr>
        <w:t>Gli arrotondamenti possono determinare incongruenze tra i valori presentati in</w:t>
      </w:r>
      <w:r>
        <w:rPr>
          <w:rFonts w:ascii="Franklin Gothic Book"/>
          <w:spacing w:val="-8"/>
          <w:sz w:val="17"/>
        </w:rPr>
        <w:t> </w:t>
      </w:r>
      <w:r>
        <w:rPr>
          <w:rFonts w:ascii="Franklin Gothic Book"/>
          <w:sz w:val="17"/>
        </w:rPr>
        <w:t>tabella.</w:t>
      </w:r>
    </w:p>
    <w:p>
      <w:pPr>
        <w:pStyle w:val="ListParagraph"/>
        <w:numPr>
          <w:ilvl w:val="0"/>
          <w:numId w:val="8"/>
        </w:numPr>
        <w:tabs>
          <w:tab w:pos="524" w:val="left" w:leader="none"/>
        </w:tabs>
        <w:spacing w:line="240" w:lineRule="auto" w:before="14" w:after="0"/>
        <w:ind w:left="523" w:right="0" w:hanging="246"/>
        <w:jc w:val="left"/>
        <w:rPr>
          <w:rFonts w:ascii="Franklin Gothic Book"/>
          <w:sz w:val="17"/>
        </w:rPr>
      </w:pPr>
      <w:r>
        <w:rPr>
          <w:rFonts w:ascii="Franklin Gothic Book"/>
          <w:sz w:val="17"/>
        </w:rPr>
        <w:t>Il segno positivo indica misure una tantum a riduzione del</w:t>
      </w:r>
      <w:r>
        <w:rPr>
          <w:rFonts w:ascii="Franklin Gothic Book"/>
          <w:spacing w:val="-4"/>
          <w:sz w:val="17"/>
        </w:rPr>
        <w:t> </w:t>
      </w:r>
      <w:r>
        <w:rPr>
          <w:rFonts w:ascii="Franklin Gothic Book"/>
          <w:sz w:val="17"/>
        </w:rPr>
        <w:t>deficit.</w:t>
      </w:r>
    </w:p>
    <w:p>
      <w:pPr>
        <w:pStyle w:val="ListParagraph"/>
        <w:numPr>
          <w:ilvl w:val="0"/>
          <w:numId w:val="8"/>
        </w:numPr>
        <w:tabs>
          <w:tab w:pos="524" w:val="left" w:leader="none"/>
        </w:tabs>
        <w:spacing w:line="240" w:lineRule="auto" w:before="13" w:after="18"/>
        <w:ind w:left="523" w:right="0" w:hanging="246"/>
        <w:jc w:val="left"/>
        <w:rPr>
          <w:rFonts w:ascii="Franklin Gothic Book"/>
          <w:sz w:val="17"/>
        </w:rPr>
      </w:pPr>
      <w:r>
        <w:rPr>
          <w:rFonts w:ascii="Franklin Gothic Book"/>
          <w:sz w:val="17"/>
        </w:rPr>
        <w:t>Corretto per il ciclo al netto delle misure una tantum e altre misure</w:t>
      </w:r>
      <w:r>
        <w:rPr>
          <w:rFonts w:ascii="Franklin Gothic Book"/>
          <w:spacing w:val="-11"/>
          <w:sz w:val="17"/>
        </w:rPr>
        <w:t> </w:t>
      </w:r>
      <w:r>
        <w:rPr>
          <w:rFonts w:ascii="Franklin Gothic Book"/>
          <w:sz w:val="17"/>
        </w:rPr>
        <w:t>temporanee.</w:t>
      </w:r>
    </w:p>
    <w:p>
      <w:pPr>
        <w:pStyle w:val="BodyText"/>
        <w:spacing w:line="30" w:lineRule="exact"/>
        <w:ind w:left="249"/>
        <w:rPr>
          <w:rFonts w:ascii="Franklin Gothic Book"/>
          <w:sz w:val="3"/>
        </w:rPr>
      </w:pPr>
      <w:r>
        <w:rPr>
          <w:rFonts w:ascii="Franklin Gothic Book"/>
          <w:position w:val="0"/>
          <w:sz w:val="3"/>
        </w:rPr>
        <w:pict>
          <v:group style="width:404.95pt;height:1.45pt;mso-position-horizontal-relative:char;mso-position-vertical-relative:line" coordorigin="0,0" coordsize="8099,29">
            <v:line style="position:absolute" from="0,14" to="8099,14" stroked="true" strokeweight="1.44pt" strokecolor="#086d44">
              <v:stroke dashstyle="solid"/>
            </v:line>
          </v:group>
        </w:pict>
      </w:r>
      <w:r>
        <w:rPr>
          <w:rFonts w:ascii="Franklin Gothic Book"/>
          <w:position w:val="0"/>
          <w:sz w:val="3"/>
        </w:rPr>
      </w:r>
    </w:p>
    <w:p>
      <w:pPr>
        <w:pStyle w:val="BodyText"/>
        <w:spacing w:before="5"/>
        <w:rPr>
          <w:rFonts w:ascii="Franklin Gothic Book"/>
          <w:sz w:val="23"/>
        </w:rPr>
      </w:pPr>
    </w:p>
    <w:tbl>
      <w:tblPr>
        <w:tblW w:w="0" w:type="auto"/>
        <w:jc w:val="left"/>
        <w:tblInd w:w="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06"/>
        <w:gridCol w:w="758"/>
        <w:gridCol w:w="683"/>
        <w:gridCol w:w="758"/>
        <w:gridCol w:w="761"/>
        <w:gridCol w:w="767"/>
        <w:gridCol w:w="789"/>
      </w:tblGrid>
      <w:tr>
        <w:trPr>
          <w:trHeight w:val="295" w:hRule="atLeast"/>
        </w:trPr>
        <w:tc>
          <w:tcPr>
            <w:tcW w:w="8222" w:type="dxa"/>
            <w:gridSpan w:val="7"/>
            <w:shd w:val="clear" w:color="auto" w:fill="086D44"/>
          </w:tcPr>
          <w:p>
            <w:pPr>
              <w:pStyle w:val="TableParagraph"/>
              <w:spacing w:before="45"/>
              <w:ind w:left="55"/>
              <w:jc w:val="left"/>
              <w:rPr>
                <w:rFonts w:ascii="Franklin Gothic Heavy"/>
                <w:b/>
                <w:sz w:val="17"/>
              </w:rPr>
            </w:pPr>
            <w:r>
              <w:rPr>
                <w:rFonts w:ascii="Franklin Gothic Heavy"/>
                <w:b/>
                <w:color w:val="EFEFEF"/>
                <w:sz w:val="17"/>
              </w:rPr>
              <w:t>TAVOLA III.4: MISURE UNA TANTUM A LEGISLAZIONE VIGENTE (in milioni)</w:t>
            </w:r>
          </w:p>
        </w:tc>
      </w:tr>
      <w:tr>
        <w:trPr>
          <w:trHeight w:val="213" w:hRule="atLeast"/>
        </w:trPr>
        <w:tc>
          <w:tcPr>
            <w:tcW w:w="3706" w:type="dxa"/>
            <w:vMerge w:val="restart"/>
            <w:tcBorders>
              <w:bottom w:val="single" w:sz="4" w:space="0" w:color="000000"/>
            </w:tcBorders>
          </w:tcPr>
          <w:p>
            <w:pPr>
              <w:pStyle w:val="TableParagraph"/>
              <w:jc w:val="left"/>
              <w:rPr>
                <w:rFonts w:ascii="Times New Roman"/>
                <w:sz w:val="16"/>
              </w:rPr>
            </w:pPr>
          </w:p>
        </w:tc>
        <w:tc>
          <w:tcPr>
            <w:tcW w:w="1441" w:type="dxa"/>
            <w:gridSpan w:val="2"/>
            <w:tcBorders>
              <w:bottom w:val="single" w:sz="4" w:space="0" w:color="000000"/>
              <w:right w:val="single" w:sz="8" w:space="0" w:color="EFEFEF"/>
            </w:tcBorders>
          </w:tcPr>
          <w:p>
            <w:pPr>
              <w:pStyle w:val="TableParagraph"/>
              <w:spacing w:line="188" w:lineRule="exact" w:before="5"/>
              <w:ind w:left="242"/>
              <w:jc w:val="left"/>
              <w:rPr>
                <w:sz w:val="17"/>
              </w:rPr>
            </w:pPr>
            <w:r>
              <w:rPr>
                <w:sz w:val="17"/>
              </w:rPr>
              <w:t>CONSUNTIVO</w:t>
            </w:r>
          </w:p>
        </w:tc>
        <w:tc>
          <w:tcPr>
            <w:tcW w:w="3075" w:type="dxa"/>
            <w:gridSpan w:val="4"/>
            <w:tcBorders>
              <w:left w:val="single" w:sz="8" w:space="0" w:color="EFEFEF"/>
              <w:bottom w:val="single" w:sz="4" w:space="0" w:color="000000"/>
            </w:tcBorders>
          </w:tcPr>
          <w:p>
            <w:pPr>
              <w:pStyle w:val="TableParagraph"/>
              <w:spacing w:line="188" w:lineRule="exact" w:before="5"/>
              <w:ind w:left="1090" w:right="1108"/>
              <w:jc w:val="center"/>
              <w:rPr>
                <w:sz w:val="17"/>
              </w:rPr>
            </w:pPr>
            <w:r>
              <w:rPr>
                <w:sz w:val="17"/>
              </w:rPr>
              <w:t>PREVISIONI</w:t>
            </w:r>
          </w:p>
        </w:tc>
      </w:tr>
      <w:tr>
        <w:trPr>
          <w:trHeight w:val="203" w:hRule="atLeast"/>
        </w:trPr>
        <w:tc>
          <w:tcPr>
            <w:tcW w:w="3706" w:type="dxa"/>
            <w:vMerge/>
            <w:tcBorders>
              <w:top w:val="nil"/>
              <w:bottom w:val="single" w:sz="4" w:space="0" w:color="000000"/>
            </w:tcBorders>
          </w:tcPr>
          <w:p>
            <w:pPr>
              <w:rPr>
                <w:sz w:val="2"/>
                <w:szCs w:val="2"/>
              </w:rPr>
            </w:pPr>
          </w:p>
        </w:tc>
        <w:tc>
          <w:tcPr>
            <w:tcW w:w="758" w:type="dxa"/>
            <w:tcBorders>
              <w:top w:val="single" w:sz="4" w:space="0" w:color="000000"/>
              <w:bottom w:val="single" w:sz="4" w:space="0" w:color="000000"/>
            </w:tcBorders>
          </w:tcPr>
          <w:p>
            <w:pPr>
              <w:pStyle w:val="TableParagraph"/>
              <w:spacing w:line="184" w:lineRule="exact"/>
              <w:ind w:left="218"/>
              <w:jc w:val="left"/>
              <w:rPr>
                <w:sz w:val="17"/>
              </w:rPr>
            </w:pPr>
            <w:r>
              <w:rPr>
                <w:sz w:val="17"/>
              </w:rPr>
              <w:t>2017</w:t>
            </w:r>
          </w:p>
        </w:tc>
        <w:tc>
          <w:tcPr>
            <w:tcW w:w="683" w:type="dxa"/>
            <w:tcBorders>
              <w:top w:val="single" w:sz="4" w:space="0" w:color="000000"/>
              <w:bottom w:val="single" w:sz="4" w:space="0" w:color="000000"/>
              <w:right w:val="single" w:sz="8" w:space="0" w:color="EFEFEF"/>
            </w:tcBorders>
          </w:tcPr>
          <w:p>
            <w:pPr>
              <w:pStyle w:val="TableParagraph"/>
              <w:spacing w:line="184" w:lineRule="exact"/>
              <w:ind w:left="139"/>
              <w:jc w:val="left"/>
              <w:rPr>
                <w:sz w:val="17"/>
              </w:rPr>
            </w:pPr>
            <w:r>
              <w:rPr>
                <w:sz w:val="17"/>
              </w:rPr>
              <w:t>2018</w:t>
            </w:r>
          </w:p>
        </w:tc>
        <w:tc>
          <w:tcPr>
            <w:tcW w:w="758" w:type="dxa"/>
            <w:tcBorders>
              <w:top w:val="single" w:sz="4" w:space="0" w:color="000000"/>
              <w:left w:val="single" w:sz="8" w:space="0" w:color="EFEFEF"/>
              <w:bottom w:val="single" w:sz="4" w:space="0" w:color="000000"/>
            </w:tcBorders>
          </w:tcPr>
          <w:p>
            <w:pPr>
              <w:pStyle w:val="TableParagraph"/>
              <w:spacing w:line="184" w:lineRule="exact"/>
              <w:ind w:left="167"/>
              <w:jc w:val="left"/>
              <w:rPr>
                <w:sz w:val="17"/>
              </w:rPr>
            </w:pPr>
            <w:r>
              <w:rPr>
                <w:sz w:val="17"/>
              </w:rPr>
              <w:t>2019</w:t>
            </w:r>
          </w:p>
        </w:tc>
        <w:tc>
          <w:tcPr>
            <w:tcW w:w="761" w:type="dxa"/>
            <w:tcBorders>
              <w:top w:val="single" w:sz="4" w:space="0" w:color="000000"/>
              <w:bottom w:val="single" w:sz="4" w:space="0" w:color="000000"/>
            </w:tcBorders>
          </w:tcPr>
          <w:p>
            <w:pPr>
              <w:pStyle w:val="TableParagraph"/>
              <w:spacing w:line="184" w:lineRule="exact"/>
              <w:ind w:left="179"/>
              <w:jc w:val="left"/>
              <w:rPr>
                <w:sz w:val="17"/>
              </w:rPr>
            </w:pPr>
            <w:r>
              <w:rPr>
                <w:sz w:val="17"/>
              </w:rPr>
              <w:t>2020</w:t>
            </w:r>
          </w:p>
        </w:tc>
        <w:tc>
          <w:tcPr>
            <w:tcW w:w="767" w:type="dxa"/>
            <w:tcBorders>
              <w:top w:val="single" w:sz="4" w:space="0" w:color="000000"/>
              <w:bottom w:val="single" w:sz="4" w:space="0" w:color="000000"/>
            </w:tcBorders>
          </w:tcPr>
          <w:p>
            <w:pPr>
              <w:pStyle w:val="TableParagraph"/>
              <w:spacing w:line="184" w:lineRule="exact"/>
              <w:ind w:left="179"/>
              <w:jc w:val="left"/>
              <w:rPr>
                <w:sz w:val="17"/>
              </w:rPr>
            </w:pPr>
            <w:r>
              <w:rPr>
                <w:sz w:val="17"/>
              </w:rPr>
              <w:t>2021</w:t>
            </w:r>
          </w:p>
        </w:tc>
        <w:tc>
          <w:tcPr>
            <w:tcW w:w="789" w:type="dxa"/>
            <w:tcBorders>
              <w:top w:val="single" w:sz="4" w:space="0" w:color="000000"/>
              <w:bottom w:val="single" w:sz="4" w:space="0" w:color="000000"/>
            </w:tcBorders>
          </w:tcPr>
          <w:p>
            <w:pPr>
              <w:pStyle w:val="TableParagraph"/>
              <w:spacing w:line="184" w:lineRule="exact"/>
              <w:ind w:left="186"/>
              <w:jc w:val="left"/>
              <w:rPr>
                <w:sz w:val="17"/>
              </w:rPr>
            </w:pPr>
            <w:r>
              <w:rPr>
                <w:sz w:val="17"/>
              </w:rPr>
              <w:t>2022</w:t>
            </w:r>
          </w:p>
        </w:tc>
      </w:tr>
    </w:tbl>
    <w:tbl>
      <w:tblPr>
        <w:tblW w:w="0" w:type="auto"/>
        <w:jc w:val="left"/>
        <w:tblInd w:w="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73"/>
        <w:gridCol w:w="1035"/>
        <w:gridCol w:w="714"/>
        <w:gridCol w:w="720"/>
        <w:gridCol w:w="761"/>
        <w:gridCol w:w="782"/>
        <w:gridCol w:w="774"/>
        <w:gridCol w:w="760"/>
      </w:tblGrid>
      <w:tr>
        <w:trPr>
          <w:trHeight w:val="203" w:hRule="atLeast"/>
        </w:trPr>
        <w:tc>
          <w:tcPr>
            <w:tcW w:w="3708" w:type="dxa"/>
            <w:gridSpan w:val="2"/>
          </w:tcPr>
          <w:p>
            <w:pPr>
              <w:pStyle w:val="TableParagraph"/>
              <w:spacing w:line="183" w:lineRule="exact"/>
              <w:ind w:left="26"/>
              <w:jc w:val="left"/>
              <w:rPr>
                <w:sz w:val="17"/>
              </w:rPr>
            </w:pPr>
            <w:r>
              <w:rPr>
                <w:sz w:val="17"/>
              </w:rPr>
              <w:t>Totale misure una tantum</w:t>
            </w:r>
          </w:p>
        </w:tc>
        <w:tc>
          <w:tcPr>
            <w:tcW w:w="714" w:type="dxa"/>
          </w:tcPr>
          <w:p>
            <w:pPr>
              <w:pStyle w:val="TableParagraph"/>
              <w:spacing w:line="183" w:lineRule="exact"/>
              <w:ind w:right="95"/>
              <w:rPr>
                <w:sz w:val="17"/>
              </w:rPr>
            </w:pPr>
            <w:r>
              <w:rPr>
                <w:sz w:val="17"/>
              </w:rPr>
              <w:t>-685</w:t>
            </w:r>
          </w:p>
        </w:tc>
        <w:tc>
          <w:tcPr>
            <w:tcW w:w="720" w:type="dxa"/>
          </w:tcPr>
          <w:p>
            <w:pPr>
              <w:pStyle w:val="TableParagraph"/>
              <w:spacing w:line="183" w:lineRule="exact"/>
              <w:ind w:right="136"/>
              <w:rPr>
                <w:sz w:val="17"/>
              </w:rPr>
            </w:pPr>
            <w:r>
              <w:rPr>
                <w:sz w:val="17"/>
              </w:rPr>
              <w:t>1.772</w:t>
            </w:r>
          </w:p>
        </w:tc>
        <w:tc>
          <w:tcPr>
            <w:tcW w:w="761" w:type="dxa"/>
          </w:tcPr>
          <w:p>
            <w:pPr>
              <w:pStyle w:val="TableParagraph"/>
              <w:spacing w:line="183" w:lineRule="exact"/>
              <w:ind w:right="136"/>
              <w:rPr>
                <w:sz w:val="17"/>
              </w:rPr>
            </w:pPr>
            <w:r>
              <w:rPr>
                <w:sz w:val="17"/>
              </w:rPr>
              <w:t>1.152</w:t>
            </w:r>
          </w:p>
        </w:tc>
        <w:tc>
          <w:tcPr>
            <w:tcW w:w="782" w:type="dxa"/>
          </w:tcPr>
          <w:p>
            <w:pPr>
              <w:pStyle w:val="TableParagraph"/>
              <w:spacing w:line="183" w:lineRule="exact"/>
              <w:ind w:right="157"/>
              <w:rPr>
                <w:sz w:val="17"/>
              </w:rPr>
            </w:pPr>
            <w:r>
              <w:rPr>
                <w:sz w:val="17"/>
              </w:rPr>
              <w:t>2.855</w:t>
            </w:r>
          </w:p>
        </w:tc>
        <w:tc>
          <w:tcPr>
            <w:tcW w:w="774" w:type="dxa"/>
          </w:tcPr>
          <w:p>
            <w:pPr>
              <w:pStyle w:val="TableParagraph"/>
              <w:spacing w:line="183" w:lineRule="exact"/>
              <w:ind w:right="170"/>
              <w:rPr>
                <w:sz w:val="17"/>
              </w:rPr>
            </w:pPr>
            <w:r>
              <w:rPr>
                <w:sz w:val="17"/>
              </w:rPr>
              <w:t>2.625</w:t>
            </w:r>
          </w:p>
        </w:tc>
        <w:tc>
          <w:tcPr>
            <w:tcW w:w="760" w:type="dxa"/>
          </w:tcPr>
          <w:p>
            <w:pPr>
              <w:pStyle w:val="TableParagraph"/>
              <w:spacing w:line="183" w:lineRule="exact"/>
              <w:ind w:right="143"/>
              <w:rPr>
                <w:sz w:val="17"/>
              </w:rPr>
            </w:pPr>
            <w:r>
              <w:rPr>
                <w:sz w:val="17"/>
              </w:rPr>
              <w:t>2.298</w:t>
            </w:r>
          </w:p>
        </w:tc>
      </w:tr>
      <w:tr>
        <w:trPr>
          <w:trHeight w:val="218" w:hRule="atLeast"/>
        </w:trPr>
        <w:tc>
          <w:tcPr>
            <w:tcW w:w="3708" w:type="dxa"/>
            <w:gridSpan w:val="2"/>
            <w:tcBorders>
              <w:bottom w:val="single" w:sz="4" w:space="0" w:color="000000"/>
            </w:tcBorders>
          </w:tcPr>
          <w:p>
            <w:pPr>
              <w:pStyle w:val="TableParagraph"/>
              <w:spacing w:line="188" w:lineRule="exact" w:before="10"/>
              <w:ind w:right="31"/>
              <w:rPr>
                <w:i/>
                <w:sz w:val="17"/>
              </w:rPr>
            </w:pPr>
            <w:r>
              <w:rPr>
                <w:i/>
                <w:sz w:val="17"/>
              </w:rPr>
              <w:t>in % del PIL</w:t>
            </w:r>
          </w:p>
        </w:tc>
        <w:tc>
          <w:tcPr>
            <w:tcW w:w="714" w:type="dxa"/>
            <w:tcBorders>
              <w:bottom w:val="single" w:sz="4" w:space="0" w:color="000000"/>
            </w:tcBorders>
          </w:tcPr>
          <w:p>
            <w:pPr>
              <w:pStyle w:val="TableParagraph"/>
              <w:spacing w:line="188" w:lineRule="exact" w:before="10"/>
              <w:ind w:right="95"/>
              <w:rPr>
                <w:i/>
                <w:sz w:val="17"/>
              </w:rPr>
            </w:pPr>
            <w:r>
              <w:rPr>
                <w:i/>
                <w:sz w:val="17"/>
              </w:rPr>
              <w:t>0,0</w:t>
            </w:r>
          </w:p>
        </w:tc>
        <w:tc>
          <w:tcPr>
            <w:tcW w:w="720" w:type="dxa"/>
            <w:tcBorders>
              <w:bottom w:val="single" w:sz="4" w:space="0" w:color="000000"/>
            </w:tcBorders>
          </w:tcPr>
          <w:p>
            <w:pPr>
              <w:pStyle w:val="TableParagraph"/>
              <w:spacing w:line="188" w:lineRule="exact" w:before="10"/>
              <w:ind w:right="136"/>
              <w:rPr>
                <w:i/>
                <w:sz w:val="17"/>
              </w:rPr>
            </w:pPr>
            <w:r>
              <w:rPr>
                <w:i/>
                <w:sz w:val="17"/>
              </w:rPr>
              <w:t>0,1</w:t>
            </w:r>
          </w:p>
        </w:tc>
        <w:tc>
          <w:tcPr>
            <w:tcW w:w="761" w:type="dxa"/>
            <w:tcBorders>
              <w:bottom w:val="single" w:sz="4" w:space="0" w:color="000000"/>
            </w:tcBorders>
          </w:tcPr>
          <w:p>
            <w:pPr>
              <w:pStyle w:val="TableParagraph"/>
              <w:spacing w:line="188" w:lineRule="exact" w:before="10"/>
              <w:ind w:right="136"/>
              <w:rPr>
                <w:i/>
                <w:sz w:val="17"/>
              </w:rPr>
            </w:pPr>
            <w:r>
              <w:rPr>
                <w:i/>
                <w:sz w:val="17"/>
              </w:rPr>
              <w:t>0,1</w:t>
            </w:r>
          </w:p>
        </w:tc>
        <w:tc>
          <w:tcPr>
            <w:tcW w:w="782" w:type="dxa"/>
            <w:tcBorders>
              <w:bottom w:val="single" w:sz="4" w:space="0" w:color="000000"/>
            </w:tcBorders>
          </w:tcPr>
          <w:p>
            <w:pPr>
              <w:pStyle w:val="TableParagraph"/>
              <w:spacing w:line="188" w:lineRule="exact" w:before="10"/>
              <w:ind w:right="157"/>
              <w:rPr>
                <w:i/>
                <w:sz w:val="17"/>
              </w:rPr>
            </w:pPr>
            <w:r>
              <w:rPr>
                <w:i/>
                <w:sz w:val="17"/>
              </w:rPr>
              <w:t>0,2</w:t>
            </w:r>
          </w:p>
        </w:tc>
        <w:tc>
          <w:tcPr>
            <w:tcW w:w="774" w:type="dxa"/>
            <w:tcBorders>
              <w:bottom w:val="single" w:sz="4" w:space="0" w:color="000000"/>
            </w:tcBorders>
          </w:tcPr>
          <w:p>
            <w:pPr>
              <w:pStyle w:val="TableParagraph"/>
              <w:spacing w:line="188" w:lineRule="exact" w:before="10"/>
              <w:ind w:right="170"/>
              <w:rPr>
                <w:i/>
                <w:sz w:val="17"/>
              </w:rPr>
            </w:pPr>
            <w:r>
              <w:rPr>
                <w:i/>
                <w:sz w:val="17"/>
              </w:rPr>
              <w:t>0,1</w:t>
            </w:r>
          </w:p>
        </w:tc>
        <w:tc>
          <w:tcPr>
            <w:tcW w:w="760" w:type="dxa"/>
            <w:tcBorders>
              <w:bottom w:val="single" w:sz="4" w:space="0" w:color="000000"/>
            </w:tcBorders>
          </w:tcPr>
          <w:p>
            <w:pPr>
              <w:pStyle w:val="TableParagraph"/>
              <w:spacing w:line="188" w:lineRule="exact" w:before="10"/>
              <w:ind w:right="142"/>
              <w:rPr>
                <w:i/>
                <w:sz w:val="17"/>
              </w:rPr>
            </w:pPr>
            <w:r>
              <w:rPr>
                <w:i/>
                <w:sz w:val="17"/>
              </w:rPr>
              <w:t>0,1</w:t>
            </w:r>
          </w:p>
        </w:tc>
      </w:tr>
      <w:tr>
        <w:trPr>
          <w:trHeight w:val="207" w:hRule="atLeast"/>
        </w:trPr>
        <w:tc>
          <w:tcPr>
            <w:tcW w:w="3708" w:type="dxa"/>
            <w:gridSpan w:val="2"/>
            <w:tcBorders>
              <w:top w:val="single" w:sz="4" w:space="0" w:color="000000"/>
            </w:tcBorders>
          </w:tcPr>
          <w:p>
            <w:pPr>
              <w:pStyle w:val="TableParagraph"/>
              <w:spacing w:line="183" w:lineRule="exact" w:before="4"/>
              <w:ind w:left="26"/>
              <w:jc w:val="left"/>
              <w:rPr>
                <w:sz w:val="17"/>
              </w:rPr>
            </w:pPr>
            <w:r>
              <w:rPr>
                <w:sz w:val="17"/>
              </w:rPr>
              <w:t>- a) Entrate</w:t>
            </w:r>
          </w:p>
        </w:tc>
        <w:tc>
          <w:tcPr>
            <w:tcW w:w="714" w:type="dxa"/>
            <w:tcBorders>
              <w:top w:val="single" w:sz="4" w:space="0" w:color="000000"/>
            </w:tcBorders>
          </w:tcPr>
          <w:p>
            <w:pPr>
              <w:pStyle w:val="TableParagraph"/>
              <w:spacing w:line="183" w:lineRule="exact" w:before="4"/>
              <w:ind w:right="95"/>
              <w:rPr>
                <w:sz w:val="17"/>
              </w:rPr>
            </w:pPr>
            <w:r>
              <w:rPr>
                <w:sz w:val="17"/>
              </w:rPr>
              <w:t>8.848</w:t>
            </w:r>
          </w:p>
        </w:tc>
        <w:tc>
          <w:tcPr>
            <w:tcW w:w="720" w:type="dxa"/>
            <w:tcBorders>
              <w:top w:val="single" w:sz="4" w:space="0" w:color="000000"/>
            </w:tcBorders>
          </w:tcPr>
          <w:p>
            <w:pPr>
              <w:pStyle w:val="TableParagraph"/>
              <w:spacing w:line="183" w:lineRule="exact" w:before="4"/>
              <w:ind w:right="136"/>
              <w:rPr>
                <w:sz w:val="17"/>
              </w:rPr>
            </w:pPr>
            <w:r>
              <w:rPr>
                <w:sz w:val="17"/>
              </w:rPr>
              <w:t>3.147</w:t>
            </w:r>
          </w:p>
        </w:tc>
        <w:tc>
          <w:tcPr>
            <w:tcW w:w="761" w:type="dxa"/>
            <w:tcBorders>
              <w:top w:val="single" w:sz="4" w:space="0" w:color="000000"/>
            </w:tcBorders>
          </w:tcPr>
          <w:p>
            <w:pPr>
              <w:pStyle w:val="TableParagraph"/>
              <w:spacing w:line="183" w:lineRule="exact" w:before="4"/>
              <w:ind w:right="136"/>
              <w:rPr>
                <w:sz w:val="17"/>
              </w:rPr>
            </w:pPr>
            <w:r>
              <w:rPr>
                <w:sz w:val="17"/>
              </w:rPr>
              <w:t>2.501</w:t>
            </w:r>
          </w:p>
        </w:tc>
        <w:tc>
          <w:tcPr>
            <w:tcW w:w="782" w:type="dxa"/>
            <w:tcBorders>
              <w:top w:val="single" w:sz="4" w:space="0" w:color="000000"/>
            </w:tcBorders>
          </w:tcPr>
          <w:p>
            <w:pPr>
              <w:pStyle w:val="TableParagraph"/>
              <w:spacing w:line="183" w:lineRule="exact" w:before="4"/>
              <w:ind w:right="157"/>
              <w:rPr>
                <w:sz w:val="17"/>
              </w:rPr>
            </w:pPr>
            <w:r>
              <w:rPr>
                <w:sz w:val="17"/>
              </w:rPr>
              <w:t>2.153</w:t>
            </w:r>
          </w:p>
        </w:tc>
        <w:tc>
          <w:tcPr>
            <w:tcW w:w="774" w:type="dxa"/>
            <w:tcBorders>
              <w:top w:val="single" w:sz="4" w:space="0" w:color="000000"/>
            </w:tcBorders>
          </w:tcPr>
          <w:p>
            <w:pPr>
              <w:pStyle w:val="TableParagraph"/>
              <w:spacing w:line="183" w:lineRule="exact" w:before="4"/>
              <w:ind w:right="170"/>
              <w:rPr>
                <w:sz w:val="17"/>
              </w:rPr>
            </w:pPr>
            <w:r>
              <w:rPr>
                <w:sz w:val="17"/>
              </w:rPr>
              <w:t>2.085</w:t>
            </w:r>
          </w:p>
        </w:tc>
        <w:tc>
          <w:tcPr>
            <w:tcW w:w="760" w:type="dxa"/>
            <w:tcBorders>
              <w:top w:val="single" w:sz="4" w:space="0" w:color="000000"/>
            </w:tcBorders>
          </w:tcPr>
          <w:p>
            <w:pPr>
              <w:pStyle w:val="TableParagraph"/>
              <w:spacing w:line="183" w:lineRule="exact" w:before="4"/>
              <w:ind w:right="143"/>
              <w:rPr>
                <w:sz w:val="17"/>
              </w:rPr>
            </w:pPr>
            <w:r>
              <w:rPr>
                <w:sz w:val="17"/>
              </w:rPr>
              <w:t>1.898</w:t>
            </w:r>
          </w:p>
        </w:tc>
      </w:tr>
      <w:tr>
        <w:trPr>
          <w:trHeight w:val="214" w:hRule="atLeast"/>
        </w:trPr>
        <w:tc>
          <w:tcPr>
            <w:tcW w:w="3708" w:type="dxa"/>
            <w:gridSpan w:val="2"/>
          </w:tcPr>
          <w:p>
            <w:pPr>
              <w:pStyle w:val="TableParagraph"/>
              <w:spacing w:line="184" w:lineRule="exact" w:before="10"/>
              <w:ind w:right="31"/>
              <w:rPr>
                <w:i/>
                <w:sz w:val="17"/>
              </w:rPr>
            </w:pPr>
            <w:r>
              <w:rPr>
                <w:i/>
                <w:sz w:val="17"/>
              </w:rPr>
              <w:t>in % del PIL</w:t>
            </w:r>
          </w:p>
        </w:tc>
        <w:tc>
          <w:tcPr>
            <w:tcW w:w="714" w:type="dxa"/>
          </w:tcPr>
          <w:p>
            <w:pPr>
              <w:pStyle w:val="TableParagraph"/>
              <w:spacing w:line="184" w:lineRule="exact" w:before="10"/>
              <w:ind w:right="95"/>
              <w:rPr>
                <w:i/>
                <w:sz w:val="17"/>
              </w:rPr>
            </w:pPr>
            <w:r>
              <w:rPr>
                <w:i/>
                <w:sz w:val="17"/>
              </w:rPr>
              <w:t>0,5</w:t>
            </w:r>
          </w:p>
        </w:tc>
        <w:tc>
          <w:tcPr>
            <w:tcW w:w="720" w:type="dxa"/>
          </w:tcPr>
          <w:p>
            <w:pPr>
              <w:pStyle w:val="TableParagraph"/>
              <w:spacing w:line="184" w:lineRule="exact" w:before="10"/>
              <w:ind w:right="136"/>
              <w:rPr>
                <w:i/>
                <w:sz w:val="17"/>
              </w:rPr>
            </w:pPr>
            <w:r>
              <w:rPr>
                <w:i/>
                <w:sz w:val="17"/>
              </w:rPr>
              <w:t>0,2</w:t>
            </w:r>
          </w:p>
        </w:tc>
        <w:tc>
          <w:tcPr>
            <w:tcW w:w="761" w:type="dxa"/>
          </w:tcPr>
          <w:p>
            <w:pPr>
              <w:pStyle w:val="TableParagraph"/>
              <w:spacing w:line="184" w:lineRule="exact" w:before="10"/>
              <w:ind w:right="136"/>
              <w:rPr>
                <w:i/>
                <w:sz w:val="17"/>
              </w:rPr>
            </w:pPr>
            <w:r>
              <w:rPr>
                <w:i/>
                <w:sz w:val="17"/>
              </w:rPr>
              <w:t>0,1</w:t>
            </w:r>
          </w:p>
        </w:tc>
        <w:tc>
          <w:tcPr>
            <w:tcW w:w="782" w:type="dxa"/>
          </w:tcPr>
          <w:p>
            <w:pPr>
              <w:pStyle w:val="TableParagraph"/>
              <w:spacing w:line="184" w:lineRule="exact" w:before="10"/>
              <w:ind w:right="157"/>
              <w:rPr>
                <w:i/>
                <w:sz w:val="17"/>
              </w:rPr>
            </w:pPr>
            <w:r>
              <w:rPr>
                <w:i/>
                <w:sz w:val="17"/>
              </w:rPr>
              <w:t>0,1</w:t>
            </w:r>
          </w:p>
        </w:tc>
        <w:tc>
          <w:tcPr>
            <w:tcW w:w="774" w:type="dxa"/>
          </w:tcPr>
          <w:p>
            <w:pPr>
              <w:pStyle w:val="TableParagraph"/>
              <w:spacing w:line="184" w:lineRule="exact" w:before="10"/>
              <w:ind w:right="170"/>
              <w:rPr>
                <w:i/>
                <w:sz w:val="17"/>
              </w:rPr>
            </w:pPr>
            <w:r>
              <w:rPr>
                <w:i/>
                <w:sz w:val="17"/>
              </w:rPr>
              <w:t>0,1</w:t>
            </w:r>
          </w:p>
        </w:tc>
        <w:tc>
          <w:tcPr>
            <w:tcW w:w="760" w:type="dxa"/>
          </w:tcPr>
          <w:p>
            <w:pPr>
              <w:pStyle w:val="TableParagraph"/>
              <w:spacing w:line="184" w:lineRule="exact" w:before="10"/>
              <w:ind w:right="142"/>
              <w:rPr>
                <w:i/>
                <w:sz w:val="17"/>
              </w:rPr>
            </w:pPr>
            <w:r>
              <w:rPr>
                <w:i/>
                <w:sz w:val="17"/>
              </w:rPr>
              <w:t>0,1</w:t>
            </w:r>
          </w:p>
        </w:tc>
      </w:tr>
      <w:tr>
        <w:trPr>
          <w:trHeight w:val="215" w:hRule="atLeast"/>
        </w:trPr>
        <w:tc>
          <w:tcPr>
            <w:tcW w:w="3708" w:type="dxa"/>
            <w:gridSpan w:val="2"/>
          </w:tcPr>
          <w:p>
            <w:pPr>
              <w:pStyle w:val="TableParagraph"/>
              <w:spacing w:line="183" w:lineRule="exact" w:before="11"/>
              <w:ind w:left="26"/>
              <w:jc w:val="left"/>
              <w:rPr>
                <w:sz w:val="17"/>
              </w:rPr>
            </w:pPr>
            <w:r>
              <w:rPr>
                <w:sz w:val="17"/>
              </w:rPr>
              <w:t>- Imposte sostitutive varie</w:t>
            </w:r>
          </w:p>
        </w:tc>
        <w:tc>
          <w:tcPr>
            <w:tcW w:w="714" w:type="dxa"/>
          </w:tcPr>
          <w:p>
            <w:pPr>
              <w:pStyle w:val="TableParagraph"/>
              <w:spacing w:line="183" w:lineRule="exact" w:before="11"/>
              <w:ind w:right="95"/>
              <w:rPr>
                <w:sz w:val="17"/>
              </w:rPr>
            </w:pPr>
            <w:r>
              <w:rPr>
                <w:sz w:val="17"/>
              </w:rPr>
              <w:t>1.070</w:t>
            </w:r>
          </w:p>
        </w:tc>
        <w:tc>
          <w:tcPr>
            <w:tcW w:w="720" w:type="dxa"/>
          </w:tcPr>
          <w:p>
            <w:pPr>
              <w:pStyle w:val="TableParagraph"/>
              <w:spacing w:line="183" w:lineRule="exact" w:before="11"/>
              <w:ind w:right="136"/>
              <w:rPr>
                <w:sz w:val="17"/>
              </w:rPr>
            </w:pPr>
            <w:r>
              <w:rPr>
                <w:sz w:val="17"/>
              </w:rPr>
              <w:t>1.360</w:t>
            </w:r>
          </w:p>
        </w:tc>
        <w:tc>
          <w:tcPr>
            <w:tcW w:w="761" w:type="dxa"/>
          </w:tcPr>
          <w:p>
            <w:pPr>
              <w:pStyle w:val="TableParagraph"/>
              <w:spacing w:line="183" w:lineRule="exact" w:before="11"/>
              <w:ind w:right="136"/>
              <w:rPr>
                <w:sz w:val="17"/>
              </w:rPr>
            </w:pPr>
            <w:r>
              <w:rPr>
                <w:sz w:val="17"/>
              </w:rPr>
              <w:t>1.749</w:t>
            </w:r>
          </w:p>
        </w:tc>
        <w:tc>
          <w:tcPr>
            <w:tcW w:w="782" w:type="dxa"/>
          </w:tcPr>
          <w:p>
            <w:pPr>
              <w:pStyle w:val="TableParagraph"/>
              <w:spacing w:line="183" w:lineRule="exact" w:before="11"/>
              <w:ind w:right="156"/>
              <w:rPr>
                <w:sz w:val="17"/>
              </w:rPr>
            </w:pPr>
            <w:r>
              <w:rPr>
                <w:sz w:val="17"/>
              </w:rPr>
              <w:t>823</w:t>
            </w:r>
          </w:p>
        </w:tc>
        <w:tc>
          <w:tcPr>
            <w:tcW w:w="774" w:type="dxa"/>
          </w:tcPr>
          <w:p>
            <w:pPr>
              <w:pStyle w:val="TableParagraph"/>
              <w:spacing w:line="183" w:lineRule="exact" w:before="11"/>
              <w:ind w:right="169"/>
              <w:rPr>
                <w:sz w:val="17"/>
              </w:rPr>
            </w:pPr>
            <w:r>
              <w:rPr>
                <w:sz w:val="17"/>
              </w:rPr>
              <w:t>428</w:t>
            </w:r>
          </w:p>
        </w:tc>
        <w:tc>
          <w:tcPr>
            <w:tcW w:w="760" w:type="dxa"/>
          </w:tcPr>
          <w:p>
            <w:pPr>
              <w:pStyle w:val="TableParagraph"/>
              <w:spacing w:line="183" w:lineRule="exact" w:before="11"/>
              <w:ind w:right="145"/>
              <w:rPr>
                <w:sz w:val="17"/>
              </w:rPr>
            </w:pPr>
            <w:r>
              <w:rPr>
                <w:w w:val="100"/>
                <w:sz w:val="17"/>
              </w:rPr>
              <w:t>0</w:t>
            </w:r>
          </w:p>
        </w:tc>
      </w:tr>
      <w:tr>
        <w:trPr>
          <w:trHeight w:val="213" w:hRule="atLeast"/>
        </w:trPr>
        <w:tc>
          <w:tcPr>
            <w:tcW w:w="3708" w:type="dxa"/>
            <w:gridSpan w:val="2"/>
          </w:tcPr>
          <w:p>
            <w:pPr>
              <w:pStyle w:val="TableParagraph"/>
              <w:spacing w:line="183" w:lineRule="exact" w:before="10"/>
              <w:ind w:left="26"/>
              <w:jc w:val="left"/>
              <w:rPr>
                <w:sz w:val="17"/>
              </w:rPr>
            </w:pPr>
            <w:r>
              <w:rPr>
                <w:sz w:val="17"/>
              </w:rPr>
              <w:t>- Allineamento valori di bilancio ai principi IAS</w:t>
            </w:r>
          </w:p>
        </w:tc>
        <w:tc>
          <w:tcPr>
            <w:tcW w:w="714" w:type="dxa"/>
          </w:tcPr>
          <w:p>
            <w:pPr>
              <w:pStyle w:val="TableParagraph"/>
              <w:spacing w:line="183" w:lineRule="exact" w:before="10"/>
              <w:ind w:right="94"/>
              <w:rPr>
                <w:sz w:val="17"/>
              </w:rPr>
            </w:pPr>
            <w:r>
              <w:rPr>
                <w:sz w:val="17"/>
              </w:rPr>
              <w:t>250</w:t>
            </w:r>
          </w:p>
        </w:tc>
        <w:tc>
          <w:tcPr>
            <w:tcW w:w="720" w:type="dxa"/>
          </w:tcPr>
          <w:p>
            <w:pPr>
              <w:pStyle w:val="TableParagraph"/>
              <w:spacing w:line="183" w:lineRule="exact" w:before="10"/>
              <w:ind w:right="135"/>
              <w:rPr>
                <w:sz w:val="17"/>
              </w:rPr>
            </w:pPr>
            <w:r>
              <w:rPr>
                <w:sz w:val="17"/>
              </w:rPr>
              <w:t>308</w:t>
            </w:r>
          </w:p>
        </w:tc>
        <w:tc>
          <w:tcPr>
            <w:tcW w:w="761" w:type="dxa"/>
          </w:tcPr>
          <w:p>
            <w:pPr>
              <w:pStyle w:val="TableParagraph"/>
              <w:spacing w:line="183" w:lineRule="exact" w:before="10"/>
              <w:ind w:right="135"/>
              <w:rPr>
                <w:sz w:val="17"/>
              </w:rPr>
            </w:pPr>
            <w:r>
              <w:rPr>
                <w:sz w:val="17"/>
              </w:rPr>
              <w:t>216</w:t>
            </w:r>
          </w:p>
        </w:tc>
        <w:tc>
          <w:tcPr>
            <w:tcW w:w="782" w:type="dxa"/>
          </w:tcPr>
          <w:p>
            <w:pPr>
              <w:pStyle w:val="TableParagraph"/>
              <w:spacing w:line="183" w:lineRule="exact" w:before="10"/>
              <w:ind w:right="156"/>
              <w:rPr>
                <w:sz w:val="17"/>
              </w:rPr>
            </w:pPr>
            <w:r>
              <w:rPr>
                <w:sz w:val="17"/>
              </w:rPr>
              <w:t>215</w:t>
            </w:r>
          </w:p>
        </w:tc>
        <w:tc>
          <w:tcPr>
            <w:tcW w:w="774" w:type="dxa"/>
          </w:tcPr>
          <w:p>
            <w:pPr>
              <w:pStyle w:val="TableParagraph"/>
              <w:spacing w:line="183" w:lineRule="exact" w:before="10"/>
              <w:ind w:right="169"/>
              <w:rPr>
                <w:sz w:val="17"/>
              </w:rPr>
            </w:pPr>
            <w:r>
              <w:rPr>
                <w:sz w:val="17"/>
              </w:rPr>
              <w:t>215</w:t>
            </w:r>
          </w:p>
        </w:tc>
        <w:tc>
          <w:tcPr>
            <w:tcW w:w="760" w:type="dxa"/>
          </w:tcPr>
          <w:p>
            <w:pPr>
              <w:pStyle w:val="TableParagraph"/>
              <w:spacing w:line="183" w:lineRule="exact" w:before="10"/>
              <w:ind w:right="141"/>
              <w:rPr>
                <w:sz w:val="17"/>
              </w:rPr>
            </w:pPr>
            <w:r>
              <w:rPr>
                <w:sz w:val="17"/>
              </w:rPr>
              <w:t>215</w:t>
            </w:r>
          </w:p>
        </w:tc>
      </w:tr>
      <w:tr>
        <w:trPr>
          <w:trHeight w:val="213" w:hRule="atLeast"/>
        </w:trPr>
        <w:tc>
          <w:tcPr>
            <w:tcW w:w="3708" w:type="dxa"/>
            <w:gridSpan w:val="2"/>
          </w:tcPr>
          <w:p>
            <w:pPr>
              <w:pStyle w:val="TableParagraph"/>
              <w:spacing w:line="183" w:lineRule="exact" w:before="10"/>
              <w:ind w:left="26"/>
              <w:jc w:val="left"/>
              <w:rPr>
                <w:sz w:val="17"/>
              </w:rPr>
            </w:pPr>
            <w:r>
              <w:rPr>
                <w:sz w:val="17"/>
              </w:rPr>
              <w:t>- Fondo solidarietà U.E. per sisma Amatrice</w:t>
            </w:r>
          </w:p>
        </w:tc>
        <w:tc>
          <w:tcPr>
            <w:tcW w:w="714" w:type="dxa"/>
          </w:tcPr>
          <w:p>
            <w:pPr>
              <w:pStyle w:val="TableParagraph"/>
              <w:spacing w:line="183" w:lineRule="exact" w:before="10"/>
              <w:ind w:right="95"/>
              <w:rPr>
                <w:sz w:val="17"/>
              </w:rPr>
            </w:pPr>
            <w:r>
              <w:rPr>
                <w:sz w:val="17"/>
              </w:rPr>
              <w:t>1.167</w:t>
            </w:r>
          </w:p>
        </w:tc>
        <w:tc>
          <w:tcPr>
            <w:tcW w:w="720" w:type="dxa"/>
          </w:tcPr>
          <w:p>
            <w:pPr>
              <w:pStyle w:val="TableParagraph"/>
              <w:spacing w:line="183" w:lineRule="exact" w:before="10"/>
              <w:ind w:right="138"/>
              <w:rPr>
                <w:sz w:val="17"/>
              </w:rPr>
            </w:pPr>
            <w:r>
              <w:rPr>
                <w:w w:val="100"/>
                <w:sz w:val="17"/>
              </w:rPr>
              <w:t>0</w:t>
            </w:r>
          </w:p>
        </w:tc>
        <w:tc>
          <w:tcPr>
            <w:tcW w:w="761" w:type="dxa"/>
          </w:tcPr>
          <w:p>
            <w:pPr>
              <w:pStyle w:val="TableParagraph"/>
              <w:spacing w:line="183" w:lineRule="exact" w:before="10"/>
              <w:ind w:right="138"/>
              <w:rPr>
                <w:sz w:val="17"/>
              </w:rPr>
            </w:pPr>
            <w:r>
              <w:rPr>
                <w:w w:val="100"/>
                <w:sz w:val="17"/>
              </w:rPr>
              <w:t>0</w:t>
            </w:r>
          </w:p>
        </w:tc>
        <w:tc>
          <w:tcPr>
            <w:tcW w:w="782" w:type="dxa"/>
          </w:tcPr>
          <w:p>
            <w:pPr>
              <w:pStyle w:val="TableParagraph"/>
              <w:spacing w:line="183" w:lineRule="exact" w:before="10"/>
              <w:ind w:right="159"/>
              <w:rPr>
                <w:sz w:val="17"/>
              </w:rPr>
            </w:pPr>
            <w:r>
              <w:rPr>
                <w:w w:val="100"/>
                <w:sz w:val="17"/>
              </w:rPr>
              <w:t>0</w:t>
            </w:r>
          </w:p>
        </w:tc>
        <w:tc>
          <w:tcPr>
            <w:tcW w:w="774" w:type="dxa"/>
          </w:tcPr>
          <w:p>
            <w:pPr>
              <w:pStyle w:val="TableParagraph"/>
              <w:spacing w:line="183" w:lineRule="exact" w:before="10"/>
              <w:ind w:right="172"/>
              <w:rPr>
                <w:sz w:val="17"/>
              </w:rPr>
            </w:pPr>
            <w:r>
              <w:rPr>
                <w:w w:val="100"/>
                <w:sz w:val="17"/>
              </w:rPr>
              <w:t>0</w:t>
            </w:r>
          </w:p>
        </w:tc>
        <w:tc>
          <w:tcPr>
            <w:tcW w:w="760" w:type="dxa"/>
          </w:tcPr>
          <w:p>
            <w:pPr>
              <w:pStyle w:val="TableParagraph"/>
              <w:spacing w:line="183" w:lineRule="exact" w:before="10"/>
              <w:ind w:right="145"/>
              <w:rPr>
                <w:sz w:val="17"/>
              </w:rPr>
            </w:pPr>
            <w:r>
              <w:rPr>
                <w:w w:val="100"/>
                <w:sz w:val="17"/>
              </w:rPr>
              <w:t>0</w:t>
            </w:r>
          </w:p>
        </w:tc>
      </w:tr>
      <w:tr>
        <w:trPr>
          <w:trHeight w:val="203" w:hRule="atLeast"/>
        </w:trPr>
        <w:tc>
          <w:tcPr>
            <w:tcW w:w="3708" w:type="dxa"/>
            <w:gridSpan w:val="2"/>
          </w:tcPr>
          <w:p>
            <w:pPr>
              <w:pStyle w:val="TableParagraph"/>
              <w:spacing w:line="173" w:lineRule="exact" w:before="10"/>
              <w:ind w:left="26"/>
              <w:jc w:val="left"/>
              <w:rPr>
                <w:sz w:val="17"/>
              </w:rPr>
            </w:pPr>
            <w:r>
              <w:rPr>
                <w:sz w:val="17"/>
              </w:rPr>
              <w:t>- Fondo risoluzione bancaria</w:t>
            </w:r>
          </w:p>
        </w:tc>
        <w:tc>
          <w:tcPr>
            <w:tcW w:w="714" w:type="dxa"/>
          </w:tcPr>
          <w:p>
            <w:pPr>
              <w:pStyle w:val="TableParagraph"/>
              <w:spacing w:line="173" w:lineRule="exact" w:before="10"/>
              <w:ind w:right="95"/>
              <w:rPr>
                <w:sz w:val="17"/>
              </w:rPr>
            </w:pPr>
            <w:r>
              <w:rPr>
                <w:sz w:val="17"/>
              </w:rPr>
              <w:t>1.526</w:t>
            </w:r>
          </w:p>
        </w:tc>
        <w:tc>
          <w:tcPr>
            <w:tcW w:w="720" w:type="dxa"/>
          </w:tcPr>
          <w:p>
            <w:pPr>
              <w:pStyle w:val="TableParagraph"/>
              <w:spacing w:line="173" w:lineRule="exact" w:before="10"/>
              <w:ind w:right="138"/>
              <w:rPr>
                <w:sz w:val="17"/>
              </w:rPr>
            </w:pPr>
            <w:r>
              <w:rPr>
                <w:w w:val="100"/>
                <w:sz w:val="17"/>
              </w:rPr>
              <w:t>0</w:t>
            </w:r>
          </w:p>
        </w:tc>
        <w:tc>
          <w:tcPr>
            <w:tcW w:w="761" w:type="dxa"/>
          </w:tcPr>
          <w:p>
            <w:pPr>
              <w:pStyle w:val="TableParagraph"/>
              <w:spacing w:line="173" w:lineRule="exact" w:before="10"/>
              <w:ind w:right="138"/>
              <w:rPr>
                <w:sz w:val="17"/>
              </w:rPr>
            </w:pPr>
            <w:r>
              <w:rPr>
                <w:w w:val="100"/>
                <w:sz w:val="17"/>
              </w:rPr>
              <w:t>0</w:t>
            </w:r>
          </w:p>
        </w:tc>
        <w:tc>
          <w:tcPr>
            <w:tcW w:w="782" w:type="dxa"/>
          </w:tcPr>
          <w:p>
            <w:pPr>
              <w:pStyle w:val="TableParagraph"/>
              <w:spacing w:line="173" w:lineRule="exact" w:before="10"/>
              <w:ind w:right="159"/>
              <w:rPr>
                <w:sz w:val="17"/>
              </w:rPr>
            </w:pPr>
            <w:r>
              <w:rPr>
                <w:w w:val="100"/>
                <w:sz w:val="17"/>
              </w:rPr>
              <w:t>0</w:t>
            </w:r>
          </w:p>
        </w:tc>
        <w:tc>
          <w:tcPr>
            <w:tcW w:w="774" w:type="dxa"/>
          </w:tcPr>
          <w:p>
            <w:pPr>
              <w:pStyle w:val="TableParagraph"/>
              <w:spacing w:line="173" w:lineRule="exact" w:before="10"/>
              <w:ind w:right="172"/>
              <w:rPr>
                <w:sz w:val="17"/>
              </w:rPr>
            </w:pPr>
            <w:r>
              <w:rPr>
                <w:w w:val="100"/>
                <w:sz w:val="17"/>
              </w:rPr>
              <w:t>0</w:t>
            </w:r>
          </w:p>
        </w:tc>
        <w:tc>
          <w:tcPr>
            <w:tcW w:w="760" w:type="dxa"/>
          </w:tcPr>
          <w:p>
            <w:pPr>
              <w:pStyle w:val="TableParagraph"/>
              <w:spacing w:line="173" w:lineRule="exact" w:before="10"/>
              <w:ind w:right="145"/>
              <w:rPr>
                <w:sz w:val="17"/>
              </w:rPr>
            </w:pPr>
            <w:r>
              <w:rPr>
                <w:w w:val="100"/>
                <w:sz w:val="17"/>
              </w:rPr>
              <w:t>0</w:t>
            </w:r>
          </w:p>
        </w:tc>
      </w:tr>
      <w:tr>
        <w:trPr>
          <w:trHeight w:val="252" w:hRule="atLeast"/>
        </w:trPr>
        <w:tc>
          <w:tcPr>
            <w:tcW w:w="3708" w:type="dxa"/>
            <w:gridSpan w:val="2"/>
          </w:tcPr>
          <w:p>
            <w:pPr>
              <w:pStyle w:val="TableParagraph"/>
              <w:spacing w:before="20"/>
              <w:ind w:left="26"/>
              <w:jc w:val="left"/>
              <w:rPr>
                <w:sz w:val="17"/>
              </w:rPr>
            </w:pPr>
            <w:r>
              <w:rPr>
                <w:sz w:val="17"/>
              </w:rPr>
              <w:t>- Emersione capitali all'estero (voluntary</w:t>
            </w:r>
          </w:p>
        </w:tc>
        <w:tc>
          <w:tcPr>
            <w:tcW w:w="714" w:type="dxa"/>
          </w:tcPr>
          <w:p>
            <w:pPr>
              <w:pStyle w:val="TableParagraph"/>
              <w:spacing w:line="121" w:lineRule="exact" w:before="112"/>
              <w:ind w:right="94"/>
              <w:rPr>
                <w:sz w:val="17"/>
              </w:rPr>
            </w:pPr>
            <w:r>
              <w:rPr>
                <w:sz w:val="17"/>
              </w:rPr>
              <w:t>956</w:t>
            </w:r>
          </w:p>
        </w:tc>
        <w:tc>
          <w:tcPr>
            <w:tcW w:w="720" w:type="dxa"/>
          </w:tcPr>
          <w:p>
            <w:pPr>
              <w:pStyle w:val="TableParagraph"/>
              <w:spacing w:line="121" w:lineRule="exact" w:before="112"/>
              <w:ind w:right="135"/>
              <w:rPr>
                <w:sz w:val="17"/>
              </w:rPr>
            </w:pPr>
            <w:r>
              <w:rPr>
                <w:sz w:val="17"/>
              </w:rPr>
              <w:t>264</w:t>
            </w:r>
          </w:p>
        </w:tc>
        <w:tc>
          <w:tcPr>
            <w:tcW w:w="761" w:type="dxa"/>
          </w:tcPr>
          <w:p>
            <w:pPr>
              <w:pStyle w:val="TableParagraph"/>
              <w:spacing w:line="121" w:lineRule="exact" w:before="112"/>
              <w:ind w:right="135"/>
              <w:rPr>
                <w:sz w:val="17"/>
              </w:rPr>
            </w:pPr>
            <w:r>
              <w:rPr>
                <w:sz w:val="17"/>
              </w:rPr>
              <w:t>37</w:t>
            </w:r>
          </w:p>
        </w:tc>
        <w:tc>
          <w:tcPr>
            <w:tcW w:w="782" w:type="dxa"/>
          </w:tcPr>
          <w:p>
            <w:pPr>
              <w:pStyle w:val="TableParagraph"/>
              <w:spacing w:line="121" w:lineRule="exact" w:before="112"/>
              <w:ind w:right="159"/>
              <w:rPr>
                <w:sz w:val="17"/>
              </w:rPr>
            </w:pPr>
            <w:r>
              <w:rPr>
                <w:w w:val="100"/>
                <w:sz w:val="17"/>
              </w:rPr>
              <w:t>0</w:t>
            </w:r>
          </w:p>
        </w:tc>
        <w:tc>
          <w:tcPr>
            <w:tcW w:w="774" w:type="dxa"/>
          </w:tcPr>
          <w:p>
            <w:pPr>
              <w:pStyle w:val="TableParagraph"/>
              <w:spacing w:line="121" w:lineRule="exact" w:before="112"/>
              <w:ind w:right="172"/>
              <w:rPr>
                <w:sz w:val="17"/>
              </w:rPr>
            </w:pPr>
            <w:r>
              <w:rPr>
                <w:w w:val="100"/>
                <w:sz w:val="17"/>
              </w:rPr>
              <w:t>0</w:t>
            </w:r>
          </w:p>
        </w:tc>
        <w:tc>
          <w:tcPr>
            <w:tcW w:w="760" w:type="dxa"/>
          </w:tcPr>
          <w:p>
            <w:pPr>
              <w:pStyle w:val="TableParagraph"/>
              <w:spacing w:line="121" w:lineRule="exact" w:before="112"/>
              <w:ind w:right="145"/>
              <w:rPr>
                <w:sz w:val="17"/>
              </w:rPr>
            </w:pPr>
            <w:r>
              <w:rPr>
                <w:w w:val="100"/>
                <w:sz w:val="17"/>
              </w:rPr>
              <w:t>0</w:t>
            </w:r>
          </w:p>
        </w:tc>
      </w:tr>
      <w:tr>
        <w:trPr>
          <w:trHeight w:val="151" w:hRule="atLeast"/>
        </w:trPr>
        <w:tc>
          <w:tcPr>
            <w:tcW w:w="2673" w:type="dxa"/>
          </w:tcPr>
          <w:p>
            <w:pPr>
              <w:pStyle w:val="TableParagraph"/>
              <w:spacing w:line="131" w:lineRule="exact"/>
              <w:ind w:left="26"/>
              <w:jc w:val="left"/>
              <w:rPr>
                <w:sz w:val="17"/>
              </w:rPr>
            </w:pPr>
            <w:r>
              <w:rPr>
                <w:sz w:val="17"/>
              </w:rPr>
              <w:t>disclosure)</w:t>
            </w:r>
          </w:p>
        </w:tc>
        <w:tc>
          <w:tcPr>
            <w:tcW w:w="1035" w:type="dxa"/>
          </w:tcPr>
          <w:p>
            <w:pPr>
              <w:pStyle w:val="TableParagraph"/>
              <w:jc w:val="left"/>
              <w:rPr>
                <w:rFonts w:ascii="Times New Roman"/>
                <w:sz w:val="8"/>
              </w:rPr>
            </w:pPr>
          </w:p>
        </w:tc>
        <w:tc>
          <w:tcPr>
            <w:tcW w:w="714" w:type="dxa"/>
          </w:tcPr>
          <w:p>
            <w:pPr>
              <w:pStyle w:val="TableParagraph"/>
              <w:jc w:val="left"/>
              <w:rPr>
                <w:rFonts w:ascii="Times New Roman"/>
                <w:sz w:val="8"/>
              </w:rPr>
            </w:pPr>
          </w:p>
        </w:tc>
        <w:tc>
          <w:tcPr>
            <w:tcW w:w="720" w:type="dxa"/>
          </w:tcPr>
          <w:p>
            <w:pPr>
              <w:pStyle w:val="TableParagraph"/>
              <w:jc w:val="left"/>
              <w:rPr>
                <w:rFonts w:ascii="Times New Roman"/>
                <w:sz w:val="8"/>
              </w:rPr>
            </w:pPr>
          </w:p>
        </w:tc>
        <w:tc>
          <w:tcPr>
            <w:tcW w:w="761" w:type="dxa"/>
          </w:tcPr>
          <w:p>
            <w:pPr>
              <w:pStyle w:val="TableParagraph"/>
              <w:jc w:val="left"/>
              <w:rPr>
                <w:rFonts w:ascii="Times New Roman"/>
                <w:sz w:val="8"/>
              </w:rPr>
            </w:pPr>
          </w:p>
        </w:tc>
        <w:tc>
          <w:tcPr>
            <w:tcW w:w="782" w:type="dxa"/>
          </w:tcPr>
          <w:p>
            <w:pPr>
              <w:pStyle w:val="TableParagraph"/>
              <w:jc w:val="left"/>
              <w:rPr>
                <w:rFonts w:ascii="Times New Roman"/>
                <w:sz w:val="8"/>
              </w:rPr>
            </w:pPr>
          </w:p>
        </w:tc>
        <w:tc>
          <w:tcPr>
            <w:tcW w:w="774" w:type="dxa"/>
          </w:tcPr>
          <w:p>
            <w:pPr>
              <w:pStyle w:val="TableParagraph"/>
              <w:jc w:val="left"/>
              <w:rPr>
                <w:rFonts w:ascii="Times New Roman"/>
                <w:sz w:val="8"/>
              </w:rPr>
            </w:pPr>
          </w:p>
        </w:tc>
        <w:tc>
          <w:tcPr>
            <w:tcW w:w="760" w:type="dxa"/>
          </w:tcPr>
          <w:p>
            <w:pPr>
              <w:pStyle w:val="TableParagraph"/>
              <w:jc w:val="left"/>
              <w:rPr>
                <w:rFonts w:ascii="Times New Roman"/>
                <w:sz w:val="8"/>
              </w:rPr>
            </w:pPr>
          </w:p>
        </w:tc>
      </w:tr>
      <w:tr>
        <w:trPr>
          <w:trHeight w:val="321" w:hRule="atLeast"/>
        </w:trPr>
        <w:tc>
          <w:tcPr>
            <w:tcW w:w="2673" w:type="dxa"/>
          </w:tcPr>
          <w:p>
            <w:pPr>
              <w:pStyle w:val="TableParagraph"/>
              <w:spacing w:before="10"/>
              <w:ind w:left="26"/>
              <w:jc w:val="left"/>
              <w:rPr>
                <w:sz w:val="17"/>
              </w:rPr>
            </w:pPr>
            <w:r>
              <w:rPr>
                <w:sz w:val="17"/>
              </w:rPr>
              <w:t>- Rottamazione cartelle (*)</w:t>
            </w:r>
          </w:p>
        </w:tc>
        <w:tc>
          <w:tcPr>
            <w:tcW w:w="1035" w:type="dxa"/>
          </w:tcPr>
          <w:p>
            <w:pPr>
              <w:pStyle w:val="TableParagraph"/>
              <w:jc w:val="left"/>
              <w:rPr>
                <w:rFonts w:ascii="Times New Roman"/>
                <w:sz w:val="16"/>
              </w:rPr>
            </w:pPr>
          </w:p>
        </w:tc>
        <w:tc>
          <w:tcPr>
            <w:tcW w:w="714" w:type="dxa"/>
          </w:tcPr>
          <w:p>
            <w:pPr>
              <w:pStyle w:val="TableParagraph"/>
              <w:spacing w:before="10"/>
              <w:ind w:right="95"/>
              <w:rPr>
                <w:sz w:val="17"/>
              </w:rPr>
            </w:pPr>
            <w:r>
              <w:rPr>
                <w:sz w:val="17"/>
              </w:rPr>
              <w:t>3.879</w:t>
            </w:r>
          </w:p>
        </w:tc>
        <w:tc>
          <w:tcPr>
            <w:tcW w:w="720" w:type="dxa"/>
          </w:tcPr>
          <w:p>
            <w:pPr>
              <w:pStyle w:val="TableParagraph"/>
              <w:spacing w:before="10"/>
              <w:ind w:right="136"/>
              <w:rPr>
                <w:sz w:val="17"/>
              </w:rPr>
            </w:pPr>
            <w:r>
              <w:rPr>
                <w:sz w:val="17"/>
              </w:rPr>
              <w:t>1.215</w:t>
            </w:r>
          </w:p>
        </w:tc>
        <w:tc>
          <w:tcPr>
            <w:tcW w:w="761" w:type="dxa"/>
          </w:tcPr>
          <w:p>
            <w:pPr>
              <w:pStyle w:val="TableParagraph"/>
              <w:spacing w:before="10"/>
              <w:ind w:right="135"/>
              <w:rPr>
                <w:sz w:val="17"/>
              </w:rPr>
            </w:pPr>
            <w:r>
              <w:rPr>
                <w:sz w:val="17"/>
              </w:rPr>
              <w:t>499</w:t>
            </w:r>
          </w:p>
        </w:tc>
        <w:tc>
          <w:tcPr>
            <w:tcW w:w="782" w:type="dxa"/>
          </w:tcPr>
          <w:p>
            <w:pPr>
              <w:pStyle w:val="TableParagraph"/>
              <w:spacing w:before="10"/>
              <w:ind w:right="157"/>
              <w:rPr>
                <w:sz w:val="17"/>
              </w:rPr>
            </w:pPr>
            <w:r>
              <w:rPr>
                <w:sz w:val="17"/>
              </w:rPr>
              <w:t>1.115</w:t>
            </w:r>
          </w:p>
        </w:tc>
        <w:tc>
          <w:tcPr>
            <w:tcW w:w="774" w:type="dxa"/>
          </w:tcPr>
          <w:p>
            <w:pPr>
              <w:pStyle w:val="TableParagraph"/>
              <w:spacing w:before="10"/>
              <w:ind w:right="170"/>
              <w:rPr>
                <w:sz w:val="17"/>
              </w:rPr>
            </w:pPr>
            <w:r>
              <w:rPr>
                <w:sz w:val="17"/>
              </w:rPr>
              <w:t>1.442</w:t>
            </w:r>
          </w:p>
        </w:tc>
        <w:tc>
          <w:tcPr>
            <w:tcW w:w="760" w:type="dxa"/>
          </w:tcPr>
          <w:p>
            <w:pPr>
              <w:pStyle w:val="TableParagraph"/>
              <w:spacing w:before="10"/>
              <w:ind w:right="143"/>
              <w:rPr>
                <w:sz w:val="17"/>
              </w:rPr>
            </w:pPr>
            <w:r>
              <w:rPr>
                <w:sz w:val="17"/>
              </w:rPr>
              <w:t>1.683</w:t>
            </w:r>
          </w:p>
        </w:tc>
      </w:tr>
      <w:tr>
        <w:trPr>
          <w:trHeight w:val="321" w:hRule="atLeast"/>
        </w:trPr>
        <w:tc>
          <w:tcPr>
            <w:tcW w:w="2673" w:type="dxa"/>
          </w:tcPr>
          <w:p>
            <w:pPr>
              <w:pStyle w:val="TableParagraph"/>
              <w:spacing w:line="183" w:lineRule="exact" w:before="118"/>
              <w:ind w:left="26"/>
              <w:jc w:val="left"/>
              <w:rPr>
                <w:sz w:val="17"/>
              </w:rPr>
            </w:pPr>
            <w:r>
              <w:rPr>
                <w:sz w:val="17"/>
              </w:rPr>
              <w:t>- b) Spese</w:t>
            </w:r>
          </w:p>
        </w:tc>
        <w:tc>
          <w:tcPr>
            <w:tcW w:w="1035" w:type="dxa"/>
          </w:tcPr>
          <w:p>
            <w:pPr>
              <w:pStyle w:val="TableParagraph"/>
              <w:jc w:val="left"/>
              <w:rPr>
                <w:rFonts w:ascii="Times New Roman"/>
                <w:sz w:val="16"/>
              </w:rPr>
            </w:pPr>
          </w:p>
        </w:tc>
        <w:tc>
          <w:tcPr>
            <w:tcW w:w="714" w:type="dxa"/>
          </w:tcPr>
          <w:p>
            <w:pPr>
              <w:pStyle w:val="TableParagraph"/>
              <w:spacing w:line="183" w:lineRule="exact" w:before="118"/>
              <w:ind w:right="95"/>
              <w:rPr>
                <w:sz w:val="17"/>
              </w:rPr>
            </w:pPr>
            <w:r>
              <w:rPr>
                <w:sz w:val="17"/>
              </w:rPr>
              <w:t>-10.289</w:t>
            </w:r>
          </w:p>
        </w:tc>
        <w:tc>
          <w:tcPr>
            <w:tcW w:w="720" w:type="dxa"/>
          </w:tcPr>
          <w:p>
            <w:pPr>
              <w:pStyle w:val="TableParagraph"/>
              <w:spacing w:line="183" w:lineRule="exact" w:before="118"/>
              <w:ind w:right="136"/>
              <w:rPr>
                <w:sz w:val="17"/>
              </w:rPr>
            </w:pPr>
            <w:r>
              <w:rPr>
                <w:sz w:val="17"/>
              </w:rPr>
              <w:t>-2.200</w:t>
            </w:r>
          </w:p>
        </w:tc>
        <w:tc>
          <w:tcPr>
            <w:tcW w:w="761" w:type="dxa"/>
          </w:tcPr>
          <w:p>
            <w:pPr>
              <w:pStyle w:val="TableParagraph"/>
              <w:spacing w:line="183" w:lineRule="exact" w:before="118"/>
              <w:ind w:right="136"/>
              <w:rPr>
                <w:sz w:val="17"/>
              </w:rPr>
            </w:pPr>
            <w:r>
              <w:rPr>
                <w:sz w:val="17"/>
              </w:rPr>
              <w:t>-2.239</w:t>
            </w:r>
          </w:p>
        </w:tc>
        <w:tc>
          <w:tcPr>
            <w:tcW w:w="782" w:type="dxa"/>
          </w:tcPr>
          <w:p>
            <w:pPr>
              <w:pStyle w:val="TableParagraph"/>
              <w:spacing w:line="183" w:lineRule="exact" w:before="118"/>
              <w:ind w:right="157"/>
              <w:rPr>
                <w:sz w:val="17"/>
              </w:rPr>
            </w:pPr>
            <w:r>
              <w:rPr>
                <w:sz w:val="17"/>
              </w:rPr>
              <w:t>-1.048</w:t>
            </w:r>
          </w:p>
        </w:tc>
        <w:tc>
          <w:tcPr>
            <w:tcW w:w="774" w:type="dxa"/>
          </w:tcPr>
          <w:p>
            <w:pPr>
              <w:pStyle w:val="TableParagraph"/>
              <w:spacing w:line="183" w:lineRule="exact" w:before="118"/>
              <w:ind w:right="170"/>
              <w:rPr>
                <w:sz w:val="17"/>
              </w:rPr>
            </w:pPr>
            <w:r>
              <w:rPr>
                <w:sz w:val="17"/>
              </w:rPr>
              <w:t>-340</w:t>
            </w:r>
          </w:p>
        </w:tc>
        <w:tc>
          <w:tcPr>
            <w:tcW w:w="760" w:type="dxa"/>
          </w:tcPr>
          <w:p>
            <w:pPr>
              <w:pStyle w:val="TableParagraph"/>
              <w:spacing w:line="183" w:lineRule="exact" w:before="118"/>
              <w:ind w:right="142"/>
              <w:rPr>
                <w:sz w:val="17"/>
              </w:rPr>
            </w:pPr>
            <w:r>
              <w:rPr>
                <w:sz w:val="17"/>
              </w:rPr>
              <w:t>-340</w:t>
            </w:r>
          </w:p>
        </w:tc>
      </w:tr>
      <w:tr>
        <w:trPr>
          <w:trHeight w:val="213" w:hRule="atLeast"/>
        </w:trPr>
        <w:tc>
          <w:tcPr>
            <w:tcW w:w="2673" w:type="dxa"/>
          </w:tcPr>
          <w:p>
            <w:pPr>
              <w:pStyle w:val="TableParagraph"/>
              <w:jc w:val="left"/>
              <w:rPr>
                <w:rFonts w:ascii="Times New Roman"/>
                <w:sz w:val="14"/>
              </w:rPr>
            </w:pPr>
          </w:p>
        </w:tc>
        <w:tc>
          <w:tcPr>
            <w:tcW w:w="1035" w:type="dxa"/>
          </w:tcPr>
          <w:p>
            <w:pPr>
              <w:pStyle w:val="TableParagraph"/>
              <w:spacing w:line="183" w:lineRule="exact" w:before="10"/>
              <w:ind w:right="31"/>
              <w:rPr>
                <w:i/>
                <w:sz w:val="17"/>
              </w:rPr>
            </w:pPr>
            <w:r>
              <w:rPr>
                <w:i/>
                <w:sz w:val="17"/>
              </w:rPr>
              <w:t>in % del PIL</w:t>
            </w:r>
          </w:p>
        </w:tc>
        <w:tc>
          <w:tcPr>
            <w:tcW w:w="714" w:type="dxa"/>
          </w:tcPr>
          <w:p>
            <w:pPr>
              <w:pStyle w:val="TableParagraph"/>
              <w:spacing w:line="183" w:lineRule="exact" w:before="10"/>
              <w:ind w:right="95"/>
              <w:rPr>
                <w:i/>
                <w:sz w:val="17"/>
              </w:rPr>
            </w:pPr>
            <w:r>
              <w:rPr>
                <w:i/>
                <w:sz w:val="17"/>
              </w:rPr>
              <w:t>-0,6</w:t>
            </w:r>
          </w:p>
        </w:tc>
        <w:tc>
          <w:tcPr>
            <w:tcW w:w="720" w:type="dxa"/>
          </w:tcPr>
          <w:p>
            <w:pPr>
              <w:pStyle w:val="TableParagraph"/>
              <w:spacing w:line="183" w:lineRule="exact" w:before="10"/>
              <w:ind w:right="136"/>
              <w:rPr>
                <w:i/>
                <w:sz w:val="17"/>
              </w:rPr>
            </w:pPr>
            <w:r>
              <w:rPr>
                <w:i/>
                <w:sz w:val="17"/>
              </w:rPr>
              <w:t>-0,1</w:t>
            </w:r>
          </w:p>
        </w:tc>
        <w:tc>
          <w:tcPr>
            <w:tcW w:w="761" w:type="dxa"/>
          </w:tcPr>
          <w:p>
            <w:pPr>
              <w:pStyle w:val="TableParagraph"/>
              <w:spacing w:line="183" w:lineRule="exact" w:before="10"/>
              <w:ind w:right="136"/>
              <w:rPr>
                <w:i/>
                <w:sz w:val="17"/>
              </w:rPr>
            </w:pPr>
            <w:r>
              <w:rPr>
                <w:i/>
                <w:sz w:val="17"/>
              </w:rPr>
              <w:t>-0,1</w:t>
            </w:r>
          </w:p>
        </w:tc>
        <w:tc>
          <w:tcPr>
            <w:tcW w:w="782" w:type="dxa"/>
          </w:tcPr>
          <w:p>
            <w:pPr>
              <w:pStyle w:val="TableParagraph"/>
              <w:spacing w:line="183" w:lineRule="exact" w:before="10"/>
              <w:ind w:right="157"/>
              <w:rPr>
                <w:i/>
                <w:sz w:val="17"/>
              </w:rPr>
            </w:pPr>
            <w:r>
              <w:rPr>
                <w:i/>
                <w:sz w:val="17"/>
              </w:rPr>
              <w:t>-0,1</w:t>
            </w:r>
          </w:p>
        </w:tc>
        <w:tc>
          <w:tcPr>
            <w:tcW w:w="774" w:type="dxa"/>
          </w:tcPr>
          <w:p>
            <w:pPr>
              <w:pStyle w:val="TableParagraph"/>
              <w:spacing w:line="183" w:lineRule="exact" w:before="10"/>
              <w:ind w:right="170"/>
              <w:rPr>
                <w:i/>
                <w:sz w:val="17"/>
              </w:rPr>
            </w:pPr>
            <w:r>
              <w:rPr>
                <w:i/>
                <w:sz w:val="17"/>
              </w:rPr>
              <w:t>0,0</w:t>
            </w:r>
          </w:p>
        </w:tc>
        <w:tc>
          <w:tcPr>
            <w:tcW w:w="760" w:type="dxa"/>
          </w:tcPr>
          <w:p>
            <w:pPr>
              <w:pStyle w:val="TableParagraph"/>
              <w:spacing w:line="183" w:lineRule="exact" w:before="10"/>
              <w:ind w:right="142"/>
              <w:rPr>
                <w:i/>
                <w:sz w:val="17"/>
              </w:rPr>
            </w:pPr>
            <w:r>
              <w:rPr>
                <w:i/>
                <w:sz w:val="17"/>
              </w:rPr>
              <w:t>0,0</w:t>
            </w:r>
          </w:p>
        </w:tc>
      </w:tr>
      <w:tr>
        <w:trPr>
          <w:trHeight w:val="213" w:hRule="atLeast"/>
        </w:trPr>
        <w:tc>
          <w:tcPr>
            <w:tcW w:w="2673" w:type="dxa"/>
          </w:tcPr>
          <w:p>
            <w:pPr>
              <w:pStyle w:val="TableParagraph"/>
              <w:spacing w:line="183" w:lineRule="exact" w:before="10"/>
              <w:ind w:left="26"/>
              <w:jc w:val="left"/>
              <w:rPr>
                <w:sz w:val="17"/>
              </w:rPr>
            </w:pPr>
            <w:r>
              <w:rPr>
                <w:sz w:val="17"/>
              </w:rPr>
              <w:t>- Interventi per calamità naturali:</w:t>
            </w:r>
          </w:p>
        </w:tc>
        <w:tc>
          <w:tcPr>
            <w:tcW w:w="1035" w:type="dxa"/>
          </w:tcPr>
          <w:p>
            <w:pPr>
              <w:pStyle w:val="TableParagraph"/>
              <w:jc w:val="left"/>
              <w:rPr>
                <w:rFonts w:ascii="Times New Roman"/>
                <w:sz w:val="14"/>
              </w:rPr>
            </w:pPr>
          </w:p>
        </w:tc>
        <w:tc>
          <w:tcPr>
            <w:tcW w:w="714" w:type="dxa"/>
          </w:tcPr>
          <w:p>
            <w:pPr>
              <w:pStyle w:val="TableParagraph"/>
              <w:spacing w:line="183" w:lineRule="exact" w:before="10"/>
              <w:ind w:right="95"/>
              <w:rPr>
                <w:sz w:val="17"/>
              </w:rPr>
            </w:pPr>
            <w:r>
              <w:rPr>
                <w:sz w:val="17"/>
              </w:rPr>
              <w:t>-2.326</w:t>
            </w:r>
          </w:p>
        </w:tc>
        <w:tc>
          <w:tcPr>
            <w:tcW w:w="720" w:type="dxa"/>
          </w:tcPr>
          <w:p>
            <w:pPr>
              <w:pStyle w:val="TableParagraph"/>
              <w:spacing w:line="183" w:lineRule="exact" w:before="10"/>
              <w:ind w:right="136"/>
              <w:rPr>
                <w:sz w:val="17"/>
              </w:rPr>
            </w:pPr>
            <w:r>
              <w:rPr>
                <w:sz w:val="17"/>
              </w:rPr>
              <w:t>-1.900</w:t>
            </w:r>
          </w:p>
        </w:tc>
        <w:tc>
          <w:tcPr>
            <w:tcW w:w="761" w:type="dxa"/>
          </w:tcPr>
          <w:p>
            <w:pPr>
              <w:pStyle w:val="TableParagraph"/>
              <w:spacing w:line="183" w:lineRule="exact" w:before="10"/>
              <w:ind w:right="136"/>
              <w:rPr>
                <w:sz w:val="17"/>
              </w:rPr>
            </w:pPr>
            <w:r>
              <w:rPr>
                <w:sz w:val="17"/>
              </w:rPr>
              <w:t>-2.239</w:t>
            </w:r>
          </w:p>
        </w:tc>
        <w:tc>
          <w:tcPr>
            <w:tcW w:w="782" w:type="dxa"/>
          </w:tcPr>
          <w:p>
            <w:pPr>
              <w:pStyle w:val="TableParagraph"/>
              <w:spacing w:line="183" w:lineRule="exact" w:before="10"/>
              <w:ind w:right="157"/>
              <w:rPr>
                <w:sz w:val="17"/>
              </w:rPr>
            </w:pPr>
            <w:r>
              <w:rPr>
                <w:sz w:val="17"/>
              </w:rPr>
              <w:t>-1.048</w:t>
            </w:r>
          </w:p>
        </w:tc>
        <w:tc>
          <w:tcPr>
            <w:tcW w:w="774" w:type="dxa"/>
          </w:tcPr>
          <w:p>
            <w:pPr>
              <w:pStyle w:val="TableParagraph"/>
              <w:spacing w:line="183" w:lineRule="exact" w:before="10"/>
              <w:ind w:right="170"/>
              <w:rPr>
                <w:sz w:val="17"/>
              </w:rPr>
            </w:pPr>
            <w:r>
              <w:rPr>
                <w:sz w:val="17"/>
              </w:rPr>
              <w:t>-340</w:t>
            </w:r>
          </w:p>
        </w:tc>
        <w:tc>
          <w:tcPr>
            <w:tcW w:w="760" w:type="dxa"/>
          </w:tcPr>
          <w:p>
            <w:pPr>
              <w:pStyle w:val="TableParagraph"/>
              <w:spacing w:line="183" w:lineRule="exact" w:before="10"/>
              <w:ind w:right="142"/>
              <w:rPr>
                <w:sz w:val="17"/>
              </w:rPr>
            </w:pPr>
            <w:r>
              <w:rPr>
                <w:sz w:val="17"/>
              </w:rPr>
              <w:t>-340</w:t>
            </w:r>
          </w:p>
        </w:tc>
      </w:tr>
      <w:tr>
        <w:trPr>
          <w:trHeight w:val="213" w:hRule="atLeast"/>
        </w:trPr>
        <w:tc>
          <w:tcPr>
            <w:tcW w:w="2673" w:type="dxa"/>
          </w:tcPr>
          <w:p>
            <w:pPr>
              <w:pStyle w:val="TableParagraph"/>
              <w:spacing w:line="183" w:lineRule="exact" w:before="10"/>
              <w:ind w:left="26"/>
              <w:jc w:val="left"/>
              <w:rPr>
                <w:sz w:val="17"/>
              </w:rPr>
            </w:pPr>
            <w:r>
              <w:rPr>
                <w:sz w:val="17"/>
              </w:rPr>
              <w:t>- Dividendi in uscita</w:t>
            </w:r>
          </w:p>
        </w:tc>
        <w:tc>
          <w:tcPr>
            <w:tcW w:w="1035" w:type="dxa"/>
          </w:tcPr>
          <w:p>
            <w:pPr>
              <w:pStyle w:val="TableParagraph"/>
              <w:jc w:val="left"/>
              <w:rPr>
                <w:rFonts w:ascii="Times New Roman"/>
                <w:sz w:val="14"/>
              </w:rPr>
            </w:pPr>
          </w:p>
        </w:tc>
        <w:tc>
          <w:tcPr>
            <w:tcW w:w="714" w:type="dxa"/>
          </w:tcPr>
          <w:p>
            <w:pPr>
              <w:pStyle w:val="TableParagraph"/>
              <w:spacing w:line="183" w:lineRule="exact" w:before="10"/>
              <w:ind w:right="94"/>
              <w:rPr>
                <w:sz w:val="17"/>
              </w:rPr>
            </w:pPr>
            <w:r>
              <w:rPr>
                <w:sz w:val="17"/>
              </w:rPr>
              <w:t>-20</w:t>
            </w:r>
          </w:p>
        </w:tc>
        <w:tc>
          <w:tcPr>
            <w:tcW w:w="720" w:type="dxa"/>
          </w:tcPr>
          <w:p>
            <w:pPr>
              <w:pStyle w:val="TableParagraph"/>
              <w:spacing w:line="183" w:lineRule="exact" w:before="10"/>
              <w:ind w:right="138"/>
              <w:rPr>
                <w:sz w:val="17"/>
              </w:rPr>
            </w:pPr>
            <w:r>
              <w:rPr>
                <w:w w:val="100"/>
                <w:sz w:val="17"/>
              </w:rPr>
              <w:t>0</w:t>
            </w:r>
          </w:p>
        </w:tc>
        <w:tc>
          <w:tcPr>
            <w:tcW w:w="761" w:type="dxa"/>
          </w:tcPr>
          <w:p>
            <w:pPr>
              <w:pStyle w:val="TableParagraph"/>
              <w:spacing w:line="183" w:lineRule="exact" w:before="10"/>
              <w:ind w:right="138"/>
              <w:rPr>
                <w:sz w:val="17"/>
              </w:rPr>
            </w:pPr>
            <w:r>
              <w:rPr>
                <w:w w:val="100"/>
                <w:sz w:val="17"/>
              </w:rPr>
              <w:t>0</w:t>
            </w:r>
          </w:p>
        </w:tc>
        <w:tc>
          <w:tcPr>
            <w:tcW w:w="782" w:type="dxa"/>
          </w:tcPr>
          <w:p>
            <w:pPr>
              <w:pStyle w:val="TableParagraph"/>
              <w:spacing w:line="183" w:lineRule="exact" w:before="10"/>
              <w:ind w:right="159"/>
              <w:rPr>
                <w:sz w:val="17"/>
              </w:rPr>
            </w:pPr>
            <w:r>
              <w:rPr>
                <w:w w:val="100"/>
                <w:sz w:val="17"/>
              </w:rPr>
              <w:t>0</w:t>
            </w:r>
          </w:p>
        </w:tc>
        <w:tc>
          <w:tcPr>
            <w:tcW w:w="774" w:type="dxa"/>
          </w:tcPr>
          <w:p>
            <w:pPr>
              <w:pStyle w:val="TableParagraph"/>
              <w:spacing w:line="183" w:lineRule="exact" w:before="10"/>
              <w:ind w:right="172"/>
              <w:rPr>
                <w:sz w:val="17"/>
              </w:rPr>
            </w:pPr>
            <w:r>
              <w:rPr>
                <w:w w:val="100"/>
                <w:sz w:val="17"/>
              </w:rPr>
              <w:t>0</w:t>
            </w:r>
          </w:p>
        </w:tc>
        <w:tc>
          <w:tcPr>
            <w:tcW w:w="760" w:type="dxa"/>
          </w:tcPr>
          <w:p>
            <w:pPr>
              <w:pStyle w:val="TableParagraph"/>
              <w:spacing w:line="183" w:lineRule="exact" w:before="10"/>
              <w:ind w:right="145"/>
              <w:rPr>
                <w:sz w:val="17"/>
              </w:rPr>
            </w:pPr>
            <w:r>
              <w:rPr>
                <w:w w:val="100"/>
                <w:sz w:val="17"/>
              </w:rPr>
              <w:t>0</w:t>
            </w:r>
          </w:p>
        </w:tc>
      </w:tr>
      <w:tr>
        <w:trPr>
          <w:trHeight w:val="214" w:hRule="atLeast"/>
        </w:trPr>
        <w:tc>
          <w:tcPr>
            <w:tcW w:w="2673" w:type="dxa"/>
          </w:tcPr>
          <w:p>
            <w:pPr>
              <w:pStyle w:val="TableParagraph"/>
              <w:spacing w:line="184" w:lineRule="exact" w:before="10"/>
              <w:ind w:left="26"/>
              <w:jc w:val="left"/>
              <w:rPr>
                <w:sz w:val="17"/>
              </w:rPr>
            </w:pPr>
            <w:r>
              <w:rPr>
                <w:sz w:val="17"/>
              </w:rPr>
              <w:t>- Fondo risoluzione bancaria</w:t>
            </w:r>
          </w:p>
        </w:tc>
        <w:tc>
          <w:tcPr>
            <w:tcW w:w="1035" w:type="dxa"/>
          </w:tcPr>
          <w:p>
            <w:pPr>
              <w:pStyle w:val="TableParagraph"/>
              <w:jc w:val="left"/>
              <w:rPr>
                <w:rFonts w:ascii="Times New Roman"/>
                <w:sz w:val="14"/>
              </w:rPr>
            </w:pPr>
          </w:p>
        </w:tc>
        <w:tc>
          <w:tcPr>
            <w:tcW w:w="714" w:type="dxa"/>
          </w:tcPr>
          <w:p>
            <w:pPr>
              <w:pStyle w:val="TableParagraph"/>
              <w:spacing w:line="184" w:lineRule="exact" w:before="10"/>
              <w:ind w:right="95"/>
              <w:rPr>
                <w:sz w:val="17"/>
              </w:rPr>
            </w:pPr>
            <w:r>
              <w:rPr>
                <w:sz w:val="17"/>
              </w:rPr>
              <w:t>-1.000</w:t>
            </w:r>
          </w:p>
        </w:tc>
        <w:tc>
          <w:tcPr>
            <w:tcW w:w="720" w:type="dxa"/>
          </w:tcPr>
          <w:p>
            <w:pPr>
              <w:pStyle w:val="TableParagraph"/>
              <w:spacing w:line="184" w:lineRule="exact" w:before="10"/>
              <w:ind w:right="138"/>
              <w:rPr>
                <w:sz w:val="17"/>
              </w:rPr>
            </w:pPr>
            <w:r>
              <w:rPr>
                <w:w w:val="100"/>
                <w:sz w:val="17"/>
              </w:rPr>
              <w:t>0</w:t>
            </w:r>
          </w:p>
        </w:tc>
        <w:tc>
          <w:tcPr>
            <w:tcW w:w="761" w:type="dxa"/>
          </w:tcPr>
          <w:p>
            <w:pPr>
              <w:pStyle w:val="TableParagraph"/>
              <w:spacing w:line="184" w:lineRule="exact" w:before="10"/>
              <w:ind w:right="138"/>
              <w:rPr>
                <w:sz w:val="17"/>
              </w:rPr>
            </w:pPr>
            <w:r>
              <w:rPr>
                <w:w w:val="100"/>
                <w:sz w:val="17"/>
              </w:rPr>
              <w:t>0</w:t>
            </w:r>
          </w:p>
        </w:tc>
        <w:tc>
          <w:tcPr>
            <w:tcW w:w="782" w:type="dxa"/>
          </w:tcPr>
          <w:p>
            <w:pPr>
              <w:pStyle w:val="TableParagraph"/>
              <w:spacing w:line="184" w:lineRule="exact" w:before="10"/>
              <w:ind w:right="159"/>
              <w:rPr>
                <w:sz w:val="17"/>
              </w:rPr>
            </w:pPr>
            <w:r>
              <w:rPr>
                <w:w w:val="100"/>
                <w:sz w:val="17"/>
              </w:rPr>
              <w:t>0</w:t>
            </w:r>
          </w:p>
        </w:tc>
        <w:tc>
          <w:tcPr>
            <w:tcW w:w="774" w:type="dxa"/>
          </w:tcPr>
          <w:p>
            <w:pPr>
              <w:pStyle w:val="TableParagraph"/>
              <w:spacing w:line="184" w:lineRule="exact" w:before="10"/>
              <w:ind w:right="172"/>
              <w:rPr>
                <w:sz w:val="17"/>
              </w:rPr>
            </w:pPr>
            <w:r>
              <w:rPr>
                <w:w w:val="100"/>
                <w:sz w:val="17"/>
              </w:rPr>
              <w:t>0</w:t>
            </w:r>
          </w:p>
        </w:tc>
        <w:tc>
          <w:tcPr>
            <w:tcW w:w="760" w:type="dxa"/>
          </w:tcPr>
          <w:p>
            <w:pPr>
              <w:pStyle w:val="TableParagraph"/>
              <w:spacing w:line="184" w:lineRule="exact" w:before="10"/>
              <w:ind w:right="145"/>
              <w:rPr>
                <w:sz w:val="17"/>
              </w:rPr>
            </w:pPr>
            <w:r>
              <w:rPr>
                <w:w w:val="100"/>
                <w:sz w:val="17"/>
              </w:rPr>
              <w:t>0</w:t>
            </w:r>
          </w:p>
        </w:tc>
      </w:tr>
      <w:tr>
        <w:trPr>
          <w:trHeight w:val="214" w:hRule="atLeast"/>
        </w:trPr>
        <w:tc>
          <w:tcPr>
            <w:tcW w:w="2673" w:type="dxa"/>
          </w:tcPr>
          <w:p>
            <w:pPr>
              <w:pStyle w:val="TableParagraph"/>
              <w:spacing w:line="183" w:lineRule="exact" w:before="11"/>
              <w:ind w:left="26"/>
              <w:jc w:val="left"/>
              <w:rPr>
                <w:sz w:val="17"/>
              </w:rPr>
            </w:pPr>
            <w:r>
              <w:rPr>
                <w:sz w:val="17"/>
              </w:rPr>
              <w:t>- Riclassificazione operazione MPS</w:t>
            </w:r>
          </w:p>
        </w:tc>
        <w:tc>
          <w:tcPr>
            <w:tcW w:w="1035" w:type="dxa"/>
          </w:tcPr>
          <w:p>
            <w:pPr>
              <w:pStyle w:val="TableParagraph"/>
              <w:jc w:val="left"/>
              <w:rPr>
                <w:rFonts w:ascii="Times New Roman"/>
                <w:sz w:val="14"/>
              </w:rPr>
            </w:pPr>
          </w:p>
        </w:tc>
        <w:tc>
          <w:tcPr>
            <w:tcW w:w="714" w:type="dxa"/>
          </w:tcPr>
          <w:p>
            <w:pPr>
              <w:pStyle w:val="TableParagraph"/>
              <w:spacing w:line="183" w:lineRule="exact" w:before="11"/>
              <w:ind w:right="95"/>
              <w:rPr>
                <w:sz w:val="17"/>
              </w:rPr>
            </w:pPr>
            <w:r>
              <w:rPr>
                <w:sz w:val="17"/>
              </w:rPr>
              <w:t>-1.587</w:t>
            </w:r>
          </w:p>
        </w:tc>
        <w:tc>
          <w:tcPr>
            <w:tcW w:w="720" w:type="dxa"/>
          </w:tcPr>
          <w:p>
            <w:pPr>
              <w:pStyle w:val="TableParagraph"/>
              <w:spacing w:line="183" w:lineRule="exact" w:before="11"/>
              <w:ind w:right="138"/>
              <w:rPr>
                <w:sz w:val="17"/>
              </w:rPr>
            </w:pPr>
            <w:r>
              <w:rPr>
                <w:w w:val="100"/>
                <w:sz w:val="17"/>
              </w:rPr>
              <w:t>0</w:t>
            </w:r>
          </w:p>
        </w:tc>
        <w:tc>
          <w:tcPr>
            <w:tcW w:w="761" w:type="dxa"/>
          </w:tcPr>
          <w:p>
            <w:pPr>
              <w:pStyle w:val="TableParagraph"/>
              <w:spacing w:line="183" w:lineRule="exact" w:before="11"/>
              <w:ind w:right="138"/>
              <w:rPr>
                <w:sz w:val="17"/>
              </w:rPr>
            </w:pPr>
            <w:r>
              <w:rPr>
                <w:w w:val="100"/>
                <w:sz w:val="17"/>
              </w:rPr>
              <w:t>0</w:t>
            </w:r>
          </w:p>
        </w:tc>
        <w:tc>
          <w:tcPr>
            <w:tcW w:w="782" w:type="dxa"/>
          </w:tcPr>
          <w:p>
            <w:pPr>
              <w:pStyle w:val="TableParagraph"/>
              <w:spacing w:line="183" w:lineRule="exact" w:before="11"/>
              <w:ind w:right="159"/>
              <w:rPr>
                <w:sz w:val="17"/>
              </w:rPr>
            </w:pPr>
            <w:r>
              <w:rPr>
                <w:w w:val="100"/>
                <w:sz w:val="17"/>
              </w:rPr>
              <w:t>0</w:t>
            </w:r>
          </w:p>
        </w:tc>
        <w:tc>
          <w:tcPr>
            <w:tcW w:w="774" w:type="dxa"/>
          </w:tcPr>
          <w:p>
            <w:pPr>
              <w:pStyle w:val="TableParagraph"/>
              <w:spacing w:line="183" w:lineRule="exact" w:before="11"/>
              <w:ind w:right="172"/>
              <w:rPr>
                <w:sz w:val="17"/>
              </w:rPr>
            </w:pPr>
            <w:r>
              <w:rPr>
                <w:w w:val="100"/>
                <w:sz w:val="17"/>
              </w:rPr>
              <w:t>0</w:t>
            </w:r>
          </w:p>
        </w:tc>
        <w:tc>
          <w:tcPr>
            <w:tcW w:w="760" w:type="dxa"/>
          </w:tcPr>
          <w:p>
            <w:pPr>
              <w:pStyle w:val="TableParagraph"/>
              <w:spacing w:line="183" w:lineRule="exact" w:before="11"/>
              <w:ind w:right="145"/>
              <w:rPr>
                <w:sz w:val="17"/>
              </w:rPr>
            </w:pPr>
            <w:r>
              <w:rPr>
                <w:w w:val="100"/>
                <w:sz w:val="17"/>
              </w:rPr>
              <w:t>0</w:t>
            </w:r>
          </w:p>
        </w:tc>
      </w:tr>
      <w:tr>
        <w:trPr>
          <w:trHeight w:val="213" w:hRule="atLeast"/>
        </w:trPr>
        <w:tc>
          <w:tcPr>
            <w:tcW w:w="2673" w:type="dxa"/>
          </w:tcPr>
          <w:p>
            <w:pPr>
              <w:pStyle w:val="TableParagraph"/>
              <w:spacing w:line="183" w:lineRule="exact" w:before="10"/>
              <w:ind w:left="26"/>
              <w:jc w:val="left"/>
              <w:rPr>
                <w:sz w:val="17"/>
              </w:rPr>
            </w:pPr>
            <w:r>
              <w:rPr>
                <w:sz w:val="17"/>
              </w:rPr>
              <w:t>- Banche Venete</w:t>
            </w:r>
          </w:p>
        </w:tc>
        <w:tc>
          <w:tcPr>
            <w:tcW w:w="1035" w:type="dxa"/>
          </w:tcPr>
          <w:p>
            <w:pPr>
              <w:pStyle w:val="TableParagraph"/>
              <w:jc w:val="left"/>
              <w:rPr>
                <w:rFonts w:ascii="Times New Roman"/>
                <w:sz w:val="14"/>
              </w:rPr>
            </w:pPr>
          </w:p>
        </w:tc>
        <w:tc>
          <w:tcPr>
            <w:tcW w:w="714" w:type="dxa"/>
          </w:tcPr>
          <w:p>
            <w:pPr>
              <w:pStyle w:val="TableParagraph"/>
              <w:spacing w:line="183" w:lineRule="exact" w:before="10"/>
              <w:ind w:right="95"/>
              <w:rPr>
                <w:sz w:val="17"/>
              </w:rPr>
            </w:pPr>
            <w:r>
              <w:rPr>
                <w:sz w:val="17"/>
              </w:rPr>
              <w:t>-4.756</w:t>
            </w:r>
          </w:p>
        </w:tc>
        <w:tc>
          <w:tcPr>
            <w:tcW w:w="720" w:type="dxa"/>
          </w:tcPr>
          <w:p>
            <w:pPr>
              <w:pStyle w:val="TableParagraph"/>
              <w:spacing w:line="183" w:lineRule="exact" w:before="10"/>
              <w:ind w:right="138"/>
              <w:rPr>
                <w:sz w:val="17"/>
              </w:rPr>
            </w:pPr>
            <w:r>
              <w:rPr>
                <w:w w:val="100"/>
                <w:sz w:val="17"/>
              </w:rPr>
              <w:t>0</w:t>
            </w:r>
          </w:p>
        </w:tc>
        <w:tc>
          <w:tcPr>
            <w:tcW w:w="761" w:type="dxa"/>
          </w:tcPr>
          <w:p>
            <w:pPr>
              <w:pStyle w:val="TableParagraph"/>
              <w:spacing w:line="183" w:lineRule="exact" w:before="10"/>
              <w:ind w:right="138"/>
              <w:rPr>
                <w:sz w:val="17"/>
              </w:rPr>
            </w:pPr>
            <w:r>
              <w:rPr>
                <w:w w:val="100"/>
                <w:sz w:val="17"/>
              </w:rPr>
              <w:t>0</w:t>
            </w:r>
          </w:p>
        </w:tc>
        <w:tc>
          <w:tcPr>
            <w:tcW w:w="782" w:type="dxa"/>
          </w:tcPr>
          <w:p>
            <w:pPr>
              <w:pStyle w:val="TableParagraph"/>
              <w:spacing w:line="183" w:lineRule="exact" w:before="10"/>
              <w:ind w:right="159"/>
              <w:rPr>
                <w:sz w:val="17"/>
              </w:rPr>
            </w:pPr>
            <w:r>
              <w:rPr>
                <w:w w:val="100"/>
                <w:sz w:val="17"/>
              </w:rPr>
              <w:t>0</w:t>
            </w:r>
          </w:p>
        </w:tc>
        <w:tc>
          <w:tcPr>
            <w:tcW w:w="774" w:type="dxa"/>
          </w:tcPr>
          <w:p>
            <w:pPr>
              <w:pStyle w:val="TableParagraph"/>
              <w:spacing w:line="183" w:lineRule="exact" w:before="10"/>
              <w:ind w:right="172"/>
              <w:rPr>
                <w:sz w:val="17"/>
              </w:rPr>
            </w:pPr>
            <w:r>
              <w:rPr>
                <w:w w:val="100"/>
                <w:sz w:val="17"/>
              </w:rPr>
              <w:t>0</w:t>
            </w:r>
          </w:p>
        </w:tc>
        <w:tc>
          <w:tcPr>
            <w:tcW w:w="760" w:type="dxa"/>
          </w:tcPr>
          <w:p>
            <w:pPr>
              <w:pStyle w:val="TableParagraph"/>
              <w:spacing w:line="183" w:lineRule="exact" w:before="10"/>
              <w:ind w:right="145"/>
              <w:rPr>
                <w:sz w:val="17"/>
              </w:rPr>
            </w:pPr>
            <w:r>
              <w:rPr>
                <w:w w:val="100"/>
                <w:sz w:val="17"/>
              </w:rPr>
              <w:t>0</w:t>
            </w:r>
          </w:p>
        </w:tc>
      </w:tr>
      <w:tr>
        <w:trPr>
          <w:trHeight w:val="320" w:hRule="atLeast"/>
        </w:trPr>
        <w:tc>
          <w:tcPr>
            <w:tcW w:w="2673" w:type="dxa"/>
          </w:tcPr>
          <w:p>
            <w:pPr>
              <w:pStyle w:val="TableParagraph"/>
              <w:spacing w:before="10"/>
              <w:ind w:left="26"/>
              <w:jc w:val="left"/>
              <w:rPr>
                <w:sz w:val="17"/>
              </w:rPr>
            </w:pPr>
            <w:r>
              <w:rPr>
                <w:sz w:val="17"/>
              </w:rPr>
              <w:t>- Riclassificazione prestito Alitalia</w:t>
            </w:r>
          </w:p>
        </w:tc>
        <w:tc>
          <w:tcPr>
            <w:tcW w:w="1035" w:type="dxa"/>
          </w:tcPr>
          <w:p>
            <w:pPr>
              <w:pStyle w:val="TableParagraph"/>
              <w:jc w:val="left"/>
              <w:rPr>
                <w:rFonts w:ascii="Times New Roman"/>
                <w:sz w:val="16"/>
              </w:rPr>
            </w:pPr>
          </w:p>
        </w:tc>
        <w:tc>
          <w:tcPr>
            <w:tcW w:w="714" w:type="dxa"/>
          </w:tcPr>
          <w:p>
            <w:pPr>
              <w:pStyle w:val="TableParagraph"/>
              <w:spacing w:before="10"/>
              <w:ind w:right="95"/>
              <w:rPr>
                <w:sz w:val="17"/>
              </w:rPr>
            </w:pPr>
            <w:r>
              <w:rPr>
                <w:sz w:val="17"/>
              </w:rPr>
              <w:t>-600</w:t>
            </w:r>
          </w:p>
        </w:tc>
        <w:tc>
          <w:tcPr>
            <w:tcW w:w="720" w:type="dxa"/>
          </w:tcPr>
          <w:p>
            <w:pPr>
              <w:pStyle w:val="TableParagraph"/>
              <w:spacing w:before="10"/>
              <w:ind w:right="136"/>
              <w:rPr>
                <w:sz w:val="17"/>
              </w:rPr>
            </w:pPr>
            <w:r>
              <w:rPr>
                <w:sz w:val="17"/>
              </w:rPr>
              <w:t>-300</w:t>
            </w:r>
          </w:p>
        </w:tc>
        <w:tc>
          <w:tcPr>
            <w:tcW w:w="761" w:type="dxa"/>
          </w:tcPr>
          <w:p>
            <w:pPr>
              <w:pStyle w:val="TableParagraph"/>
              <w:spacing w:before="10"/>
              <w:ind w:right="138"/>
              <w:rPr>
                <w:sz w:val="17"/>
              </w:rPr>
            </w:pPr>
            <w:r>
              <w:rPr>
                <w:w w:val="100"/>
                <w:sz w:val="17"/>
              </w:rPr>
              <w:t>0</w:t>
            </w:r>
          </w:p>
        </w:tc>
        <w:tc>
          <w:tcPr>
            <w:tcW w:w="782" w:type="dxa"/>
          </w:tcPr>
          <w:p>
            <w:pPr>
              <w:pStyle w:val="TableParagraph"/>
              <w:spacing w:before="10"/>
              <w:ind w:right="159"/>
              <w:rPr>
                <w:sz w:val="17"/>
              </w:rPr>
            </w:pPr>
            <w:r>
              <w:rPr>
                <w:w w:val="100"/>
                <w:sz w:val="17"/>
              </w:rPr>
              <w:t>0</w:t>
            </w:r>
          </w:p>
        </w:tc>
        <w:tc>
          <w:tcPr>
            <w:tcW w:w="774" w:type="dxa"/>
          </w:tcPr>
          <w:p>
            <w:pPr>
              <w:pStyle w:val="TableParagraph"/>
              <w:spacing w:before="10"/>
              <w:ind w:right="172"/>
              <w:rPr>
                <w:sz w:val="17"/>
              </w:rPr>
            </w:pPr>
            <w:r>
              <w:rPr>
                <w:w w:val="100"/>
                <w:sz w:val="17"/>
              </w:rPr>
              <w:t>0</w:t>
            </w:r>
          </w:p>
        </w:tc>
        <w:tc>
          <w:tcPr>
            <w:tcW w:w="760" w:type="dxa"/>
          </w:tcPr>
          <w:p>
            <w:pPr>
              <w:pStyle w:val="TableParagraph"/>
              <w:spacing w:before="10"/>
              <w:ind w:right="145"/>
              <w:rPr>
                <w:sz w:val="17"/>
              </w:rPr>
            </w:pPr>
            <w:r>
              <w:rPr>
                <w:w w:val="100"/>
                <w:sz w:val="17"/>
              </w:rPr>
              <w:t>0</w:t>
            </w:r>
          </w:p>
        </w:tc>
      </w:tr>
      <w:tr>
        <w:trPr>
          <w:trHeight w:val="320" w:hRule="atLeast"/>
        </w:trPr>
        <w:tc>
          <w:tcPr>
            <w:tcW w:w="2673" w:type="dxa"/>
          </w:tcPr>
          <w:p>
            <w:pPr>
              <w:pStyle w:val="TableParagraph"/>
              <w:spacing w:line="183" w:lineRule="exact" w:before="117"/>
              <w:ind w:left="69"/>
              <w:jc w:val="left"/>
              <w:rPr>
                <w:sz w:val="17"/>
              </w:rPr>
            </w:pPr>
            <w:r>
              <w:rPr>
                <w:sz w:val="17"/>
              </w:rPr>
              <w:t>- c) Dismissioni immobiliari</w:t>
            </w:r>
          </w:p>
        </w:tc>
        <w:tc>
          <w:tcPr>
            <w:tcW w:w="1035" w:type="dxa"/>
          </w:tcPr>
          <w:p>
            <w:pPr>
              <w:pStyle w:val="TableParagraph"/>
              <w:jc w:val="left"/>
              <w:rPr>
                <w:rFonts w:ascii="Times New Roman"/>
                <w:sz w:val="16"/>
              </w:rPr>
            </w:pPr>
          </w:p>
        </w:tc>
        <w:tc>
          <w:tcPr>
            <w:tcW w:w="714" w:type="dxa"/>
          </w:tcPr>
          <w:p>
            <w:pPr>
              <w:pStyle w:val="TableParagraph"/>
              <w:spacing w:line="183" w:lineRule="exact" w:before="117"/>
              <w:ind w:right="94"/>
              <w:rPr>
                <w:sz w:val="17"/>
              </w:rPr>
            </w:pPr>
            <w:r>
              <w:rPr>
                <w:sz w:val="17"/>
              </w:rPr>
              <w:t>756</w:t>
            </w:r>
          </w:p>
        </w:tc>
        <w:tc>
          <w:tcPr>
            <w:tcW w:w="720" w:type="dxa"/>
          </w:tcPr>
          <w:p>
            <w:pPr>
              <w:pStyle w:val="TableParagraph"/>
              <w:spacing w:line="183" w:lineRule="exact" w:before="117"/>
              <w:ind w:right="135"/>
              <w:rPr>
                <w:sz w:val="17"/>
              </w:rPr>
            </w:pPr>
            <w:r>
              <w:rPr>
                <w:sz w:val="17"/>
              </w:rPr>
              <w:t>825</w:t>
            </w:r>
          </w:p>
        </w:tc>
        <w:tc>
          <w:tcPr>
            <w:tcW w:w="761" w:type="dxa"/>
          </w:tcPr>
          <w:p>
            <w:pPr>
              <w:pStyle w:val="TableParagraph"/>
              <w:spacing w:line="183" w:lineRule="exact" w:before="117"/>
              <w:ind w:right="135"/>
              <w:rPr>
                <w:sz w:val="17"/>
              </w:rPr>
            </w:pPr>
            <w:r>
              <w:rPr>
                <w:sz w:val="17"/>
              </w:rPr>
              <w:t>890</w:t>
            </w:r>
          </w:p>
        </w:tc>
        <w:tc>
          <w:tcPr>
            <w:tcW w:w="782" w:type="dxa"/>
          </w:tcPr>
          <w:p>
            <w:pPr>
              <w:pStyle w:val="TableParagraph"/>
              <w:spacing w:line="183" w:lineRule="exact" w:before="117"/>
              <w:ind w:right="157"/>
              <w:rPr>
                <w:sz w:val="17"/>
              </w:rPr>
            </w:pPr>
            <w:r>
              <w:rPr>
                <w:sz w:val="17"/>
              </w:rPr>
              <w:t>1.750</w:t>
            </w:r>
          </w:p>
        </w:tc>
        <w:tc>
          <w:tcPr>
            <w:tcW w:w="774" w:type="dxa"/>
          </w:tcPr>
          <w:p>
            <w:pPr>
              <w:pStyle w:val="TableParagraph"/>
              <w:spacing w:line="183" w:lineRule="exact" w:before="117"/>
              <w:ind w:right="169"/>
              <w:rPr>
                <w:sz w:val="17"/>
              </w:rPr>
            </w:pPr>
            <w:r>
              <w:rPr>
                <w:sz w:val="17"/>
              </w:rPr>
              <w:t>880</w:t>
            </w:r>
          </w:p>
        </w:tc>
        <w:tc>
          <w:tcPr>
            <w:tcW w:w="760" w:type="dxa"/>
          </w:tcPr>
          <w:p>
            <w:pPr>
              <w:pStyle w:val="TableParagraph"/>
              <w:spacing w:line="183" w:lineRule="exact" w:before="117"/>
              <w:ind w:right="141"/>
              <w:rPr>
                <w:sz w:val="17"/>
              </w:rPr>
            </w:pPr>
            <w:r>
              <w:rPr>
                <w:sz w:val="17"/>
              </w:rPr>
              <w:t>740</w:t>
            </w:r>
          </w:p>
        </w:tc>
      </w:tr>
      <w:tr>
        <w:trPr>
          <w:trHeight w:val="221" w:hRule="atLeast"/>
        </w:trPr>
        <w:tc>
          <w:tcPr>
            <w:tcW w:w="2673" w:type="dxa"/>
            <w:tcBorders>
              <w:bottom w:val="single" w:sz="4" w:space="0" w:color="000000"/>
            </w:tcBorders>
          </w:tcPr>
          <w:p>
            <w:pPr>
              <w:pStyle w:val="TableParagraph"/>
              <w:jc w:val="left"/>
              <w:rPr>
                <w:rFonts w:ascii="Times New Roman"/>
                <w:sz w:val="14"/>
              </w:rPr>
            </w:pPr>
          </w:p>
        </w:tc>
        <w:tc>
          <w:tcPr>
            <w:tcW w:w="1035" w:type="dxa"/>
            <w:tcBorders>
              <w:bottom w:val="single" w:sz="4" w:space="0" w:color="000000"/>
            </w:tcBorders>
          </w:tcPr>
          <w:p>
            <w:pPr>
              <w:pStyle w:val="TableParagraph"/>
              <w:spacing w:line="191" w:lineRule="exact" w:before="10"/>
              <w:ind w:right="31"/>
              <w:rPr>
                <w:i/>
                <w:sz w:val="17"/>
              </w:rPr>
            </w:pPr>
            <w:r>
              <w:rPr>
                <w:i/>
                <w:sz w:val="17"/>
              </w:rPr>
              <w:t>in % del PIL</w:t>
            </w:r>
          </w:p>
        </w:tc>
        <w:tc>
          <w:tcPr>
            <w:tcW w:w="714" w:type="dxa"/>
            <w:tcBorders>
              <w:bottom w:val="single" w:sz="4" w:space="0" w:color="000000"/>
            </w:tcBorders>
          </w:tcPr>
          <w:p>
            <w:pPr>
              <w:pStyle w:val="TableParagraph"/>
              <w:spacing w:line="191" w:lineRule="exact" w:before="10"/>
              <w:ind w:right="95"/>
              <w:rPr>
                <w:i/>
                <w:sz w:val="17"/>
              </w:rPr>
            </w:pPr>
            <w:r>
              <w:rPr>
                <w:i/>
                <w:sz w:val="17"/>
              </w:rPr>
              <w:t>0,0</w:t>
            </w:r>
          </w:p>
        </w:tc>
        <w:tc>
          <w:tcPr>
            <w:tcW w:w="720" w:type="dxa"/>
            <w:tcBorders>
              <w:bottom w:val="single" w:sz="4" w:space="0" w:color="000000"/>
            </w:tcBorders>
          </w:tcPr>
          <w:p>
            <w:pPr>
              <w:pStyle w:val="TableParagraph"/>
              <w:spacing w:line="191" w:lineRule="exact" w:before="10"/>
              <w:ind w:right="136"/>
              <w:rPr>
                <w:i/>
                <w:sz w:val="17"/>
              </w:rPr>
            </w:pPr>
            <w:r>
              <w:rPr>
                <w:i/>
                <w:sz w:val="17"/>
              </w:rPr>
              <w:t>0,0</w:t>
            </w:r>
          </w:p>
        </w:tc>
        <w:tc>
          <w:tcPr>
            <w:tcW w:w="761" w:type="dxa"/>
            <w:tcBorders>
              <w:bottom w:val="single" w:sz="4" w:space="0" w:color="000000"/>
            </w:tcBorders>
          </w:tcPr>
          <w:p>
            <w:pPr>
              <w:pStyle w:val="TableParagraph"/>
              <w:spacing w:line="191" w:lineRule="exact" w:before="10"/>
              <w:ind w:right="136"/>
              <w:rPr>
                <w:i/>
                <w:sz w:val="17"/>
              </w:rPr>
            </w:pPr>
            <w:r>
              <w:rPr>
                <w:i/>
                <w:sz w:val="17"/>
              </w:rPr>
              <w:t>0,0</w:t>
            </w:r>
          </w:p>
        </w:tc>
        <w:tc>
          <w:tcPr>
            <w:tcW w:w="782" w:type="dxa"/>
            <w:tcBorders>
              <w:bottom w:val="single" w:sz="4" w:space="0" w:color="000000"/>
            </w:tcBorders>
          </w:tcPr>
          <w:p>
            <w:pPr>
              <w:pStyle w:val="TableParagraph"/>
              <w:spacing w:line="191" w:lineRule="exact" w:before="10"/>
              <w:ind w:right="157"/>
              <w:rPr>
                <w:i/>
                <w:sz w:val="17"/>
              </w:rPr>
            </w:pPr>
            <w:r>
              <w:rPr>
                <w:i/>
                <w:sz w:val="17"/>
              </w:rPr>
              <w:t>0,1</w:t>
            </w:r>
          </w:p>
        </w:tc>
        <w:tc>
          <w:tcPr>
            <w:tcW w:w="774" w:type="dxa"/>
            <w:tcBorders>
              <w:bottom w:val="single" w:sz="4" w:space="0" w:color="000000"/>
            </w:tcBorders>
          </w:tcPr>
          <w:p>
            <w:pPr>
              <w:pStyle w:val="TableParagraph"/>
              <w:spacing w:line="191" w:lineRule="exact" w:before="10"/>
              <w:ind w:right="170"/>
              <w:rPr>
                <w:i/>
                <w:sz w:val="17"/>
              </w:rPr>
            </w:pPr>
            <w:r>
              <w:rPr>
                <w:i/>
                <w:sz w:val="17"/>
              </w:rPr>
              <w:t>0,0</w:t>
            </w:r>
          </w:p>
        </w:tc>
        <w:tc>
          <w:tcPr>
            <w:tcW w:w="760" w:type="dxa"/>
            <w:tcBorders>
              <w:bottom w:val="single" w:sz="4" w:space="0" w:color="000000"/>
            </w:tcBorders>
          </w:tcPr>
          <w:p>
            <w:pPr>
              <w:pStyle w:val="TableParagraph"/>
              <w:spacing w:line="191" w:lineRule="exact" w:before="10"/>
              <w:ind w:right="142"/>
              <w:rPr>
                <w:i/>
                <w:sz w:val="17"/>
              </w:rPr>
            </w:pPr>
            <w:r>
              <w:rPr>
                <w:i/>
                <w:sz w:val="17"/>
              </w:rPr>
              <w:t>0,0</w:t>
            </w:r>
          </w:p>
        </w:tc>
      </w:tr>
      <w:tr>
        <w:trPr>
          <w:trHeight w:val="208" w:hRule="atLeast"/>
        </w:trPr>
        <w:tc>
          <w:tcPr>
            <w:tcW w:w="2673" w:type="dxa"/>
            <w:tcBorders>
              <w:top w:val="single" w:sz="4" w:space="0" w:color="000000"/>
            </w:tcBorders>
          </w:tcPr>
          <w:p>
            <w:pPr>
              <w:pStyle w:val="TableParagraph"/>
              <w:spacing w:line="183" w:lineRule="exact" w:before="5"/>
              <w:ind w:left="26"/>
              <w:jc w:val="left"/>
              <w:rPr>
                <w:sz w:val="17"/>
              </w:rPr>
            </w:pPr>
            <w:r>
              <w:rPr>
                <w:sz w:val="17"/>
              </w:rPr>
              <w:t>Ripartizione per sotto settori</w:t>
            </w:r>
          </w:p>
        </w:tc>
        <w:tc>
          <w:tcPr>
            <w:tcW w:w="1035" w:type="dxa"/>
            <w:tcBorders>
              <w:top w:val="single" w:sz="4" w:space="0" w:color="000000"/>
            </w:tcBorders>
          </w:tcPr>
          <w:p>
            <w:pPr>
              <w:pStyle w:val="TableParagraph"/>
              <w:jc w:val="left"/>
              <w:rPr>
                <w:rFonts w:ascii="Times New Roman"/>
                <w:sz w:val="14"/>
              </w:rPr>
            </w:pPr>
          </w:p>
        </w:tc>
        <w:tc>
          <w:tcPr>
            <w:tcW w:w="714" w:type="dxa"/>
            <w:tcBorders>
              <w:top w:val="single" w:sz="4" w:space="0" w:color="000000"/>
            </w:tcBorders>
          </w:tcPr>
          <w:p>
            <w:pPr>
              <w:pStyle w:val="TableParagraph"/>
              <w:jc w:val="left"/>
              <w:rPr>
                <w:rFonts w:ascii="Times New Roman"/>
                <w:sz w:val="14"/>
              </w:rPr>
            </w:pPr>
          </w:p>
        </w:tc>
        <w:tc>
          <w:tcPr>
            <w:tcW w:w="720" w:type="dxa"/>
            <w:tcBorders>
              <w:top w:val="single" w:sz="4" w:space="0" w:color="000000"/>
            </w:tcBorders>
          </w:tcPr>
          <w:p>
            <w:pPr>
              <w:pStyle w:val="TableParagraph"/>
              <w:jc w:val="left"/>
              <w:rPr>
                <w:rFonts w:ascii="Times New Roman"/>
                <w:sz w:val="14"/>
              </w:rPr>
            </w:pPr>
          </w:p>
        </w:tc>
        <w:tc>
          <w:tcPr>
            <w:tcW w:w="761" w:type="dxa"/>
            <w:tcBorders>
              <w:top w:val="single" w:sz="4" w:space="0" w:color="000000"/>
            </w:tcBorders>
          </w:tcPr>
          <w:p>
            <w:pPr>
              <w:pStyle w:val="TableParagraph"/>
              <w:jc w:val="left"/>
              <w:rPr>
                <w:rFonts w:ascii="Times New Roman"/>
                <w:sz w:val="14"/>
              </w:rPr>
            </w:pPr>
          </w:p>
        </w:tc>
        <w:tc>
          <w:tcPr>
            <w:tcW w:w="782" w:type="dxa"/>
            <w:tcBorders>
              <w:top w:val="single" w:sz="4" w:space="0" w:color="000000"/>
            </w:tcBorders>
          </w:tcPr>
          <w:p>
            <w:pPr>
              <w:pStyle w:val="TableParagraph"/>
              <w:jc w:val="left"/>
              <w:rPr>
                <w:rFonts w:ascii="Times New Roman"/>
                <w:sz w:val="14"/>
              </w:rPr>
            </w:pPr>
          </w:p>
        </w:tc>
        <w:tc>
          <w:tcPr>
            <w:tcW w:w="774" w:type="dxa"/>
            <w:tcBorders>
              <w:top w:val="single" w:sz="4" w:space="0" w:color="000000"/>
            </w:tcBorders>
          </w:tcPr>
          <w:p>
            <w:pPr>
              <w:pStyle w:val="TableParagraph"/>
              <w:jc w:val="left"/>
              <w:rPr>
                <w:rFonts w:ascii="Times New Roman"/>
                <w:sz w:val="14"/>
              </w:rPr>
            </w:pPr>
          </w:p>
        </w:tc>
        <w:tc>
          <w:tcPr>
            <w:tcW w:w="760" w:type="dxa"/>
            <w:tcBorders>
              <w:top w:val="single" w:sz="4" w:space="0" w:color="000000"/>
            </w:tcBorders>
          </w:tcPr>
          <w:p>
            <w:pPr>
              <w:pStyle w:val="TableParagraph"/>
              <w:jc w:val="left"/>
              <w:rPr>
                <w:rFonts w:ascii="Times New Roman"/>
                <w:sz w:val="14"/>
              </w:rPr>
            </w:pPr>
          </w:p>
        </w:tc>
      </w:tr>
      <w:tr>
        <w:trPr>
          <w:trHeight w:val="213" w:hRule="atLeast"/>
        </w:trPr>
        <w:tc>
          <w:tcPr>
            <w:tcW w:w="2673" w:type="dxa"/>
          </w:tcPr>
          <w:p>
            <w:pPr>
              <w:pStyle w:val="TableParagraph"/>
              <w:spacing w:line="183" w:lineRule="exact" w:before="10"/>
              <w:ind w:left="26"/>
              <w:jc w:val="left"/>
              <w:rPr>
                <w:sz w:val="17"/>
              </w:rPr>
            </w:pPr>
            <w:r>
              <w:rPr>
                <w:sz w:val="17"/>
              </w:rPr>
              <w:t>- Amministrazioni Centrali</w:t>
            </w:r>
          </w:p>
        </w:tc>
        <w:tc>
          <w:tcPr>
            <w:tcW w:w="1035" w:type="dxa"/>
          </w:tcPr>
          <w:p>
            <w:pPr>
              <w:pStyle w:val="TableParagraph"/>
              <w:jc w:val="left"/>
              <w:rPr>
                <w:rFonts w:ascii="Times New Roman"/>
                <w:sz w:val="14"/>
              </w:rPr>
            </w:pPr>
          </w:p>
        </w:tc>
        <w:tc>
          <w:tcPr>
            <w:tcW w:w="714" w:type="dxa"/>
          </w:tcPr>
          <w:p>
            <w:pPr>
              <w:pStyle w:val="TableParagraph"/>
              <w:spacing w:line="183" w:lineRule="exact" w:before="10"/>
              <w:ind w:right="95"/>
              <w:rPr>
                <w:sz w:val="17"/>
              </w:rPr>
            </w:pPr>
            <w:r>
              <w:rPr>
                <w:sz w:val="17"/>
              </w:rPr>
              <w:t>-1.404</w:t>
            </w:r>
          </w:p>
        </w:tc>
        <w:tc>
          <w:tcPr>
            <w:tcW w:w="720" w:type="dxa"/>
          </w:tcPr>
          <w:p>
            <w:pPr>
              <w:pStyle w:val="TableParagraph"/>
              <w:spacing w:line="183" w:lineRule="exact" w:before="10"/>
              <w:ind w:right="135"/>
              <w:rPr>
                <w:sz w:val="17"/>
              </w:rPr>
            </w:pPr>
            <w:r>
              <w:rPr>
                <w:sz w:val="17"/>
              </w:rPr>
              <w:t>977</w:t>
            </w:r>
          </w:p>
        </w:tc>
        <w:tc>
          <w:tcPr>
            <w:tcW w:w="761" w:type="dxa"/>
          </w:tcPr>
          <w:p>
            <w:pPr>
              <w:pStyle w:val="TableParagraph"/>
              <w:spacing w:line="183" w:lineRule="exact" w:before="10"/>
              <w:ind w:right="135"/>
              <w:rPr>
                <w:sz w:val="17"/>
              </w:rPr>
            </w:pPr>
            <w:r>
              <w:rPr>
                <w:sz w:val="17"/>
              </w:rPr>
              <w:t>392</w:t>
            </w:r>
          </w:p>
        </w:tc>
        <w:tc>
          <w:tcPr>
            <w:tcW w:w="782" w:type="dxa"/>
          </w:tcPr>
          <w:p>
            <w:pPr>
              <w:pStyle w:val="TableParagraph"/>
              <w:spacing w:line="183" w:lineRule="exact" w:before="10"/>
              <w:ind w:right="157"/>
              <w:rPr>
                <w:sz w:val="17"/>
              </w:rPr>
            </w:pPr>
            <w:r>
              <w:rPr>
                <w:sz w:val="17"/>
              </w:rPr>
              <w:t>2.135</w:t>
            </w:r>
          </w:p>
        </w:tc>
        <w:tc>
          <w:tcPr>
            <w:tcW w:w="774" w:type="dxa"/>
          </w:tcPr>
          <w:p>
            <w:pPr>
              <w:pStyle w:val="TableParagraph"/>
              <w:spacing w:line="183" w:lineRule="exact" w:before="10"/>
              <w:ind w:right="170"/>
              <w:rPr>
                <w:sz w:val="17"/>
              </w:rPr>
            </w:pPr>
            <w:r>
              <w:rPr>
                <w:sz w:val="17"/>
              </w:rPr>
              <w:t>1.935</w:t>
            </w:r>
          </w:p>
        </w:tc>
        <w:tc>
          <w:tcPr>
            <w:tcW w:w="760" w:type="dxa"/>
          </w:tcPr>
          <w:p>
            <w:pPr>
              <w:pStyle w:val="TableParagraph"/>
              <w:spacing w:line="183" w:lineRule="exact" w:before="10"/>
              <w:ind w:right="143"/>
              <w:rPr>
                <w:sz w:val="17"/>
              </w:rPr>
            </w:pPr>
            <w:r>
              <w:rPr>
                <w:sz w:val="17"/>
              </w:rPr>
              <w:t>1.608</w:t>
            </w:r>
          </w:p>
        </w:tc>
      </w:tr>
      <w:tr>
        <w:trPr>
          <w:trHeight w:val="213" w:hRule="atLeast"/>
        </w:trPr>
        <w:tc>
          <w:tcPr>
            <w:tcW w:w="2673" w:type="dxa"/>
          </w:tcPr>
          <w:p>
            <w:pPr>
              <w:pStyle w:val="TableParagraph"/>
              <w:spacing w:line="183" w:lineRule="exact" w:before="10"/>
              <w:ind w:left="26"/>
              <w:jc w:val="left"/>
              <w:rPr>
                <w:sz w:val="17"/>
              </w:rPr>
            </w:pPr>
            <w:r>
              <w:rPr>
                <w:sz w:val="17"/>
              </w:rPr>
              <w:t>- Amministrazioni Locali</w:t>
            </w:r>
          </w:p>
        </w:tc>
        <w:tc>
          <w:tcPr>
            <w:tcW w:w="1035" w:type="dxa"/>
          </w:tcPr>
          <w:p>
            <w:pPr>
              <w:pStyle w:val="TableParagraph"/>
              <w:jc w:val="left"/>
              <w:rPr>
                <w:rFonts w:ascii="Times New Roman"/>
                <w:sz w:val="14"/>
              </w:rPr>
            </w:pPr>
          </w:p>
        </w:tc>
        <w:tc>
          <w:tcPr>
            <w:tcW w:w="714" w:type="dxa"/>
          </w:tcPr>
          <w:p>
            <w:pPr>
              <w:pStyle w:val="TableParagraph"/>
              <w:spacing w:line="183" w:lineRule="exact" w:before="10"/>
              <w:ind w:right="94"/>
              <w:rPr>
                <w:sz w:val="17"/>
              </w:rPr>
            </w:pPr>
            <w:r>
              <w:rPr>
                <w:sz w:val="17"/>
              </w:rPr>
              <w:t>550</w:t>
            </w:r>
          </w:p>
        </w:tc>
        <w:tc>
          <w:tcPr>
            <w:tcW w:w="720" w:type="dxa"/>
          </w:tcPr>
          <w:p>
            <w:pPr>
              <w:pStyle w:val="TableParagraph"/>
              <w:spacing w:line="183" w:lineRule="exact" w:before="10"/>
              <w:ind w:right="135"/>
              <w:rPr>
                <w:sz w:val="17"/>
              </w:rPr>
            </w:pPr>
            <w:r>
              <w:rPr>
                <w:sz w:val="17"/>
              </w:rPr>
              <w:t>626</w:t>
            </w:r>
          </w:p>
        </w:tc>
        <w:tc>
          <w:tcPr>
            <w:tcW w:w="761" w:type="dxa"/>
          </w:tcPr>
          <w:p>
            <w:pPr>
              <w:pStyle w:val="TableParagraph"/>
              <w:spacing w:line="183" w:lineRule="exact" w:before="10"/>
              <w:ind w:right="135"/>
              <w:rPr>
                <w:sz w:val="17"/>
              </w:rPr>
            </w:pPr>
            <w:r>
              <w:rPr>
                <w:sz w:val="17"/>
              </w:rPr>
              <w:t>500</w:t>
            </w:r>
          </w:p>
        </w:tc>
        <w:tc>
          <w:tcPr>
            <w:tcW w:w="782" w:type="dxa"/>
          </w:tcPr>
          <w:p>
            <w:pPr>
              <w:pStyle w:val="TableParagraph"/>
              <w:spacing w:line="183" w:lineRule="exact" w:before="10"/>
              <w:ind w:right="156"/>
              <w:rPr>
                <w:sz w:val="17"/>
              </w:rPr>
            </w:pPr>
            <w:r>
              <w:rPr>
                <w:sz w:val="17"/>
              </w:rPr>
              <w:t>500</w:t>
            </w:r>
          </w:p>
        </w:tc>
        <w:tc>
          <w:tcPr>
            <w:tcW w:w="774" w:type="dxa"/>
          </w:tcPr>
          <w:p>
            <w:pPr>
              <w:pStyle w:val="TableParagraph"/>
              <w:spacing w:line="183" w:lineRule="exact" w:before="10"/>
              <w:ind w:right="169"/>
              <w:rPr>
                <w:sz w:val="17"/>
              </w:rPr>
            </w:pPr>
            <w:r>
              <w:rPr>
                <w:sz w:val="17"/>
              </w:rPr>
              <w:t>510</w:t>
            </w:r>
          </w:p>
        </w:tc>
        <w:tc>
          <w:tcPr>
            <w:tcW w:w="760" w:type="dxa"/>
          </w:tcPr>
          <w:p>
            <w:pPr>
              <w:pStyle w:val="TableParagraph"/>
              <w:spacing w:line="183" w:lineRule="exact" w:before="10"/>
              <w:ind w:right="141"/>
              <w:rPr>
                <w:sz w:val="17"/>
              </w:rPr>
            </w:pPr>
            <w:r>
              <w:rPr>
                <w:sz w:val="17"/>
              </w:rPr>
              <w:t>550</w:t>
            </w:r>
          </w:p>
        </w:tc>
      </w:tr>
      <w:tr>
        <w:trPr>
          <w:trHeight w:val="218" w:hRule="atLeast"/>
        </w:trPr>
        <w:tc>
          <w:tcPr>
            <w:tcW w:w="2673" w:type="dxa"/>
            <w:tcBorders>
              <w:bottom w:val="single" w:sz="4" w:space="0" w:color="000000"/>
            </w:tcBorders>
          </w:tcPr>
          <w:p>
            <w:pPr>
              <w:pStyle w:val="TableParagraph"/>
              <w:spacing w:line="188" w:lineRule="exact" w:before="10"/>
              <w:ind w:left="26"/>
              <w:jc w:val="left"/>
              <w:rPr>
                <w:sz w:val="17"/>
              </w:rPr>
            </w:pPr>
            <w:r>
              <w:rPr>
                <w:sz w:val="17"/>
              </w:rPr>
              <w:t>- Enti di Previdenza</w:t>
            </w:r>
          </w:p>
        </w:tc>
        <w:tc>
          <w:tcPr>
            <w:tcW w:w="1035" w:type="dxa"/>
            <w:tcBorders>
              <w:bottom w:val="single" w:sz="4" w:space="0" w:color="000000"/>
            </w:tcBorders>
          </w:tcPr>
          <w:p>
            <w:pPr>
              <w:pStyle w:val="TableParagraph"/>
              <w:jc w:val="left"/>
              <w:rPr>
                <w:rFonts w:ascii="Times New Roman"/>
                <w:sz w:val="14"/>
              </w:rPr>
            </w:pPr>
          </w:p>
        </w:tc>
        <w:tc>
          <w:tcPr>
            <w:tcW w:w="714" w:type="dxa"/>
            <w:tcBorders>
              <w:bottom w:val="single" w:sz="4" w:space="0" w:color="000000"/>
            </w:tcBorders>
          </w:tcPr>
          <w:p>
            <w:pPr>
              <w:pStyle w:val="TableParagraph"/>
              <w:spacing w:line="188" w:lineRule="exact" w:before="10"/>
              <w:ind w:right="94"/>
              <w:rPr>
                <w:sz w:val="17"/>
              </w:rPr>
            </w:pPr>
            <w:r>
              <w:rPr>
                <w:sz w:val="17"/>
              </w:rPr>
              <w:t>169</w:t>
            </w:r>
          </w:p>
        </w:tc>
        <w:tc>
          <w:tcPr>
            <w:tcW w:w="720" w:type="dxa"/>
            <w:tcBorders>
              <w:bottom w:val="single" w:sz="4" w:space="0" w:color="000000"/>
            </w:tcBorders>
          </w:tcPr>
          <w:p>
            <w:pPr>
              <w:pStyle w:val="TableParagraph"/>
              <w:spacing w:line="188" w:lineRule="exact" w:before="10"/>
              <w:ind w:right="135"/>
              <w:rPr>
                <w:sz w:val="17"/>
              </w:rPr>
            </w:pPr>
            <w:r>
              <w:rPr>
                <w:sz w:val="17"/>
              </w:rPr>
              <w:t>169</w:t>
            </w:r>
          </w:p>
        </w:tc>
        <w:tc>
          <w:tcPr>
            <w:tcW w:w="761" w:type="dxa"/>
            <w:tcBorders>
              <w:bottom w:val="single" w:sz="4" w:space="0" w:color="000000"/>
            </w:tcBorders>
          </w:tcPr>
          <w:p>
            <w:pPr>
              <w:pStyle w:val="TableParagraph"/>
              <w:spacing w:line="188" w:lineRule="exact" w:before="10"/>
              <w:ind w:right="135"/>
              <w:rPr>
                <w:sz w:val="17"/>
              </w:rPr>
            </w:pPr>
            <w:r>
              <w:rPr>
                <w:sz w:val="17"/>
              </w:rPr>
              <w:t>260</w:t>
            </w:r>
          </w:p>
        </w:tc>
        <w:tc>
          <w:tcPr>
            <w:tcW w:w="782" w:type="dxa"/>
            <w:tcBorders>
              <w:bottom w:val="single" w:sz="4" w:space="0" w:color="000000"/>
            </w:tcBorders>
          </w:tcPr>
          <w:p>
            <w:pPr>
              <w:pStyle w:val="TableParagraph"/>
              <w:spacing w:line="188" w:lineRule="exact" w:before="10"/>
              <w:ind w:right="156"/>
              <w:rPr>
                <w:sz w:val="17"/>
              </w:rPr>
            </w:pPr>
            <w:r>
              <w:rPr>
                <w:sz w:val="17"/>
              </w:rPr>
              <w:t>220</w:t>
            </w:r>
          </w:p>
        </w:tc>
        <w:tc>
          <w:tcPr>
            <w:tcW w:w="774" w:type="dxa"/>
            <w:tcBorders>
              <w:bottom w:val="single" w:sz="4" w:space="0" w:color="000000"/>
            </w:tcBorders>
          </w:tcPr>
          <w:p>
            <w:pPr>
              <w:pStyle w:val="TableParagraph"/>
              <w:spacing w:line="188" w:lineRule="exact" w:before="10"/>
              <w:ind w:right="169"/>
              <w:rPr>
                <w:sz w:val="17"/>
              </w:rPr>
            </w:pPr>
            <w:r>
              <w:rPr>
                <w:sz w:val="17"/>
              </w:rPr>
              <w:t>180</w:t>
            </w:r>
          </w:p>
        </w:tc>
        <w:tc>
          <w:tcPr>
            <w:tcW w:w="760" w:type="dxa"/>
            <w:tcBorders>
              <w:bottom w:val="single" w:sz="4" w:space="0" w:color="000000"/>
            </w:tcBorders>
          </w:tcPr>
          <w:p>
            <w:pPr>
              <w:pStyle w:val="TableParagraph"/>
              <w:spacing w:line="188" w:lineRule="exact" w:before="10"/>
              <w:ind w:right="141"/>
              <w:rPr>
                <w:sz w:val="17"/>
              </w:rPr>
            </w:pPr>
            <w:r>
              <w:rPr>
                <w:sz w:val="17"/>
              </w:rPr>
              <w:t>140</w:t>
            </w:r>
          </w:p>
        </w:tc>
      </w:tr>
    </w:tbl>
    <w:p>
      <w:pPr>
        <w:spacing w:line="186" w:lineRule="exact" w:before="9"/>
        <w:ind w:left="305" w:right="0" w:firstLine="0"/>
        <w:jc w:val="left"/>
        <w:rPr>
          <w:rFonts w:ascii="Franklin Gothic Book"/>
          <w:sz w:val="17"/>
        </w:rPr>
      </w:pPr>
      <w:r>
        <w:rPr>
          <w:rFonts w:ascii="Franklin Gothic Book"/>
          <w:sz w:val="17"/>
        </w:rPr>
        <w:t>1) Comprende le misure del D.L. n.193/2016, D.L. n. 148/2017 e D.L. n. 119/2018.</w:t>
      </w:r>
    </w:p>
    <w:p>
      <w:pPr>
        <w:spacing w:line="186" w:lineRule="exact" w:before="0" w:after="16"/>
        <w:ind w:left="305" w:right="0" w:firstLine="0"/>
        <w:jc w:val="left"/>
        <w:rPr>
          <w:rFonts w:ascii="Franklin Gothic Book" w:hAnsi="Franklin Gothic Book"/>
          <w:sz w:val="17"/>
        </w:rPr>
      </w:pPr>
      <w:r>
        <w:rPr>
          <w:rFonts w:ascii="Franklin Gothic Book" w:hAnsi="Franklin Gothic Book"/>
          <w:sz w:val="17"/>
        </w:rPr>
        <w:t>Nota: Il segno positivo indica misure una tantum a riduzione dell’indebitamento netto nominale.</w:t>
      </w:r>
    </w:p>
    <w:p>
      <w:pPr>
        <w:pStyle w:val="BodyText"/>
        <w:spacing w:line="30" w:lineRule="exact"/>
        <w:ind w:left="249"/>
        <w:rPr>
          <w:rFonts w:ascii="Franklin Gothic Book"/>
          <w:sz w:val="3"/>
        </w:rPr>
      </w:pPr>
      <w:r>
        <w:rPr>
          <w:rFonts w:ascii="Franklin Gothic Book"/>
          <w:position w:val="0"/>
          <w:sz w:val="3"/>
        </w:rPr>
        <w:pict>
          <v:group style="width:411.8pt;height:1.45pt;mso-position-horizontal-relative:char;mso-position-vertical-relative:line" coordorigin="0,0" coordsize="8236,29">
            <v:line style="position:absolute" from="0,14" to="8236,14" stroked="true" strokeweight="1.44pt" strokecolor="#086d44">
              <v:stroke dashstyle="solid"/>
            </v:line>
          </v:group>
        </w:pict>
      </w:r>
      <w:r>
        <w:rPr>
          <w:rFonts w:ascii="Franklin Gothic Book"/>
          <w:position w:val="0"/>
          <w:sz w:val="3"/>
        </w:rPr>
      </w:r>
    </w:p>
    <w:p>
      <w:pPr>
        <w:spacing w:after="0" w:line="30" w:lineRule="exact"/>
        <w:rPr>
          <w:rFonts w:ascii="Franklin Gothic Book"/>
          <w:sz w:val="3"/>
        </w:rPr>
        <w:sectPr>
          <w:pgSz w:w="11910" w:h="16840"/>
          <w:pgMar w:header="838" w:footer="866" w:top="1100" w:bottom="1060" w:left="1140" w:right="0"/>
        </w:sect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spacing w:before="9"/>
        <w:rPr>
          <w:rFonts w:ascii="Franklin Gothic Book"/>
        </w:rPr>
      </w:pPr>
    </w:p>
    <w:p>
      <w:pPr>
        <w:tabs>
          <w:tab w:pos="9263" w:val="left" w:leader="none"/>
        </w:tabs>
        <w:spacing w:before="0"/>
        <w:ind w:left="1128" w:right="0" w:firstLine="0"/>
        <w:jc w:val="left"/>
        <w:rPr>
          <w:rFonts w:ascii="Franklin Gothic Heavy" w:hAnsi="Franklin Gothic Heavy"/>
          <w:b/>
          <w:sz w:val="17"/>
        </w:rPr>
      </w:pPr>
      <w:r>
        <w:rPr>
          <w:rFonts w:ascii="Franklin Gothic Heavy" w:hAnsi="Franklin Gothic Heavy"/>
          <w:b/>
          <w:color w:val="EFEFEF"/>
          <w:spacing w:val="12"/>
          <w:w w:val="100"/>
          <w:sz w:val="17"/>
          <w:shd w:fill="086D44" w:color="auto" w:val="clear"/>
        </w:rPr>
        <w:t> </w:t>
      </w:r>
      <w:r>
        <w:rPr>
          <w:rFonts w:ascii="Franklin Gothic Heavy" w:hAnsi="Franklin Gothic Heavy"/>
          <w:b/>
          <w:color w:val="EFEFEF"/>
          <w:sz w:val="17"/>
          <w:shd w:fill="086D44" w:color="auto" w:val="clear"/>
        </w:rPr>
        <w:t>TAVOLA III.5: FLESSIBILITÀ ACCORDATA ALL'ITALIA NEL PATTO DI</w:t>
      </w:r>
      <w:r>
        <w:rPr>
          <w:rFonts w:ascii="Franklin Gothic Heavy" w:hAnsi="Franklin Gothic Heavy"/>
          <w:b/>
          <w:color w:val="EFEFEF"/>
          <w:spacing w:val="-28"/>
          <w:sz w:val="17"/>
          <w:shd w:fill="086D44" w:color="auto" w:val="clear"/>
        </w:rPr>
        <w:t> </w:t>
      </w:r>
      <w:r>
        <w:rPr>
          <w:rFonts w:ascii="Franklin Gothic Heavy" w:hAnsi="Franklin Gothic Heavy"/>
          <w:b/>
          <w:color w:val="EFEFEF"/>
          <w:sz w:val="17"/>
          <w:shd w:fill="086D44" w:color="auto" w:val="clear"/>
        </w:rPr>
        <w:t>STABILITÀ</w:t>
        <w:tab/>
      </w:r>
    </w:p>
    <w:p>
      <w:pPr>
        <w:pStyle w:val="BodyText"/>
        <w:spacing w:before="4"/>
        <w:rPr>
          <w:rFonts w:ascii="Franklin Gothic Heavy"/>
          <w:b/>
          <w:sz w:val="8"/>
        </w:rPr>
      </w:pPr>
    </w:p>
    <w:tbl>
      <w:tblPr>
        <w:tblW w:w="0" w:type="auto"/>
        <w:jc w:val="left"/>
        <w:tblInd w:w="1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44"/>
        <w:gridCol w:w="1362"/>
        <w:gridCol w:w="974"/>
        <w:gridCol w:w="830"/>
        <w:gridCol w:w="881"/>
        <w:gridCol w:w="865"/>
      </w:tblGrid>
      <w:tr>
        <w:trPr>
          <w:trHeight w:val="206" w:hRule="atLeast"/>
        </w:trPr>
        <w:tc>
          <w:tcPr>
            <w:tcW w:w="4606" w:type="dxa"/>
            <w:gridSpan w:val="2"/>
            <w:tcBorders>
              <w:bottom w:val="single" w:sz="8" w:space="0" w:color="000000"/>
            </w:tcBorders>
          </w:tcPr>
          <w:p>
            <w:pPr>
              <w:pStyle w:val="TableParagraph"/>
              <w:ind w:right="539"/>
              <w:rPr>
                <w:sz w:val="17"/>
              </w:rPr>
            </w:pPr>
            <w:r>
              <w:rPr>
                <w:sz w:val="17"/>
              </w:rPr>
              <w:t>2016</w:t>
            </w:r>
          </w:p>
        </w:tc>
        <w:tc>
          <w:tcPr>
            <w:tcW w:w="974" w:type="dxa"/>
            <w:tcBorders>
              <w:bottom w:val="single" w:sz="8" w:space="0" w:color="000000"/>
            </w:tcBorders>
          </w:tcPr>
          <w:p>
            <w:pPr>
              <w:pStyle w:val="TableParagraph"/>
              <w:ind w:left="190" w:right="112"/>
              <w:jc w:val="center"/>
              <w:rPr>
                <w:sz w:val="17"/>
              </w:rPr>
            </w:pPr>
            <w:r>
              <w:rPr>
                <w:sz w:val="17"/>
              </w:rPr>
              <w:t>2017</w:t>
            </w:r>
          </w:p>
        </w:tc>
        <w:tc>
          <w:tcPr>
            <w:tcW w:w="830" w:type="dxa"/>
            <w:tcBorders>
              <w:bottom w:val="single" w:sz="8" w:space="0" w:color="000000"/>
            </w:tcBorders>
          </w:tcPr>
          <w:p>
            <w:pPr>
              <w:pStyle w:val="TableParagraph"/>
              <w:ind w:left="113" w:right="111"/>
              <w:jc w:val="center"/>
              <w:rPr>
                <w:sz w:val="17"/>
              </w:rPr>
            </w:pPr>
            <w:r>
              <w:rPr>
                <w:sz w:val="17"/>
              </w:rPr>
              <w:t>2018</w:t>
            </w:r>
          </w:p>
        </w:tc>
        <w:tc>
          <w:tcPr>
            <w:tcW w:w="881" w:type="dxa"/>
            <w:tcBorders>
              <w:bottom w:val="single" w:sz="8" w:space="0" w:color="000000"/>
            </w:tcBorders>
          </w:tcPr>
          <w:p>
            <w:pPr>
              <w:pStyle w:val="TableParagraph"/>
              <w:ind w:left="116" w:right="95"/>
              <w:jc w:val="center"/>
              <w:rPr>
                <w:sz w:val="17"/>
              </w:rPr>
            </w:pPr>
            <w:r>
              <w:rPr>
                <w:sz w:val="17"/>
              </w:rPr>
              <w:t>2019</w:t>
            </w:r>
          </w:p>
        </w:tc>
        <w:tc>
          <w:tcPr>
            <w:tcW w:w="865" w:type="dxa"/>
            <w:tcBorders>
              <w:bottom w:val="single" w:sz="8" w:space="0" w:color="000000"/>
            </w:tcBorders>
          </w:tcPr>
          <w:p>
            <w:pPr>
              <w:pStyle w:val="TableParagraph"/>
              <w:ind w:left="96" w:right="95"/>
              <w:jc w:val="center"/>
              <w:rPr>
                <w:sz w:val="17"/>
              </w:rPr>
            </w:pPr>
            <w:r>
              <w:rPr>
                <w:sz w:val="17"/>
              </w:rPr>
              <w:t>2020</w:t>
            </w:r>
          </w:p>
        </w:tc>
      </w:tr>
      <w:tr>
        <w:trPr>
          <w:trHeight w:val="170" w:hRule="atLeast"/>
        </w:trPr>
        <w:tc>
          <w:tcPr>
            <w:tcW w:w="4606" w:type="dxa"/>
            <w:gridSpan w:val="2"/>
            <w:tcBorders>
              <w:top w:val="single" w:sz="8" w:space="0" w:color="000000"/>
            </w:tcBorders>
          </w:tcPr>
          <w:p>
            <w:pPr>
              <w:pStyle w:val="TableParagraph"/>
              <w:tabs>
                <w:tab w:pos="3672" w:val="left" w:leader="none"/>
              </w:tabs>
              <w:spacing w:line="143" w:lineRule="exact"/>
              <w:ind w:left="50"/>
              <w:jc w:val="left"/>
              <w:rPr>
                <w:sz w:val="17"/>
              </w:rPr>
            </w:pPr>
            <w:r>
              <w:rPr>
                <w:sz w:val="17"/>
              </w:rPr>
              <w:t>Output gap</w:t>
            </w:r>
            <w:r>
              <w:rPr>
                <w:spacing w:val="-3"/>
                <w:sz w:val="17"/>
              </w:rPr>
              <w:t> </w:t>
            </w:r>
            <w:r>
              <w:rPr>
                <w:sz w:val="17"/>
              </w:rPr>
              <w:t>DEF</w:t>
            </w:r>
            <w:r>
              <w:rPr>
                <w:spacing w:val="-2"/>
                <w:sz w:val="17"/>
              </w:rPr>
              <w:t> </w:t>
            </w:r>
            <w:r>
              <w:rPr>
                <w:sz w:val="17"/>
              </w:rPr>
              <w:t>2019</w:t>
              <w:tab/>
              <w:t>-3.30</w:t>
            </w:r>
          </w:p>
        </w:tc>
        <w:tc>
          <w:tcPr>
            <w:tcW w:w="974" w:type="dxa"/>
            <w:tcBorders>
              <w:top w:val="single" w:sz="8" w:space="0" w:color="000000"/>
            </w:tcBorders>
          </w:tcPr>
          <w:p>
            <w:pPr>
              <w:pStyle w:val="TableParagraph"/>
              <w:spacing w:line="143" w:lineRule="exact"/>
              <w:ind w:left="190" w:right="112"/>
              <w:jc w:val="center"/>
              <w:rPr>
                <w:sz w:val="17"/>
              </w:rPr>
            </w:pPr>
            <w:r>
              <w:rPr>
                <w:sz w:val="17"/>
              </w:rPr>
              <w:t>-1.80</w:t>
            </w:r>
          </w:p>
        </w:tc>
        <w:tc>
          <w:tcPr>
            <w:tcW w:w="830" w:type="dxa"/>
            <w:tcBorders>
              <w:top w:val="single" w:sz="8" w:space="0" w:color="000000"/>
            </w:tcBorders>
          </w:tcPr>
          <w:p>
            <w:pPr>
              <w:pStyle w:val="TableParagraph"/>
              <w:spacing w:line="143" w:lineRule="exact"/>
              <w:ind w:left="113" w:right="111"/>
              <w:jc w:val="center"/>
              <w:rPr>
                <w:sz w:val="17"/>
              </w:rPr>
            </w:pPr>
            <w:r>
              <w:rPr>
                <w:sz w:val="17"/>
              </w:rPr>
              <w:t>-1.39</w:t>
            </w:r>
          </w:p>
        </w:tc>
        <w:tc>
          <w:tcPr>
            <w:tcW w:w="881" w:type="dxa"/>
            <w:tcBorders>
              <w:top w:val="single" w:sz="8" w:space="0" w:color="000000"/>
            </w:tcBorders>
          </w:tcPr>
          <w:p>
            <w:pPr>
              <w:pStyle w:val="TableParagraph"/>
              <w:spacing w:line="143" w:lineRule="exact"/>
              <w:ind w:left="116" w:right="95"/>
              <w:jc w:val="center"/>
              <w:rPr>
                <w:sz w:val="17"/>
              </w:rPr>
            </w:pPr>
            <w:r>
              <w:rPr>
                <w:sz w:val="17"/>
              </w:rPr>
              <w:t>-1.82</w:t>
            </w:r>
          </w:p>
        </w:tc>
        <w:tc>
          <w:tcPr>
            <w:tcW w:w="865" w:type="dxa"/>
            <w:tcBorders>
              <w:top w:val="single" w:sz="8" w:space="0" w:color="000000"/>
            </w:tcBorders>
          </w:tcPr>
          <w:p>
            <w:pPr>
              <w:pStyle w:val="TableParagraph"/>
              <w:spacing w:line="143" w:lineRule="exact"/>
              <w:ind w:left="98" w:right="95"/>
              <w:jc w:val="center"/>
              <w:rPr>
                <w:sz w:val="17"/>
              </w:rPr>
            </w:pPr>
            <w:r>
              <w:rPr>
                <w:sz w:val="17"/>
              </w:rPr>
              <w:t>-1.74</w:t>
            </w:r>
          </w:p>
        </w:tc>
      </w:tr>
      <w:tr>
        <w:trPr>
          <w:trHeight w:val="183" w:hRule="atLeast"/>
        </w:trPr>
        <w:tc>
          <w:tcPr>
            <w:tcW w:w="4606" w:type="dxa"/>
            <w:gridSpan w:val="2"/>
          </w:tcPr>
          <w:p>
            <w:pPr>
              <w:pStyle w:val="TableParagraph"/>
              <w:spacing w:line="164" w:lineRule="exact"/>
              <w:ind w:left="93"/>
              <w:jc w:val="left"/>
              <w:rPr>
                <w:sz w:val="17"/>
              </w:rPr>
            </w:pPr>
            <w:r>
              <w:rPr>
                <w:sz w:val="17"/>
              </w:rPr>
              <w:t>(% del PIL potenziale)</w:t>
            </w:r>
          </w:p>
        </w:tc>
        <w:tc>
          <w:tcPr>
            <w:tcW w:w="974" w:type="dxa"/>
          </w:tcPr>
          <w:p>
            <w:pPr>
              <w:pStyle w:val="TableParagraph"/>
              <w:jc w:val="left"/>
              <w:rPr>
                <w:rFonts w:ascii="Times New Roman"/>
                <w:sz w:val="12"/>
              </w:rPr>
            </w:pPr>
          </w:p>
        </w:tc>
        <w:tc>
          <w:tcPr>
            <w:tcW w:w="830" w:type="dxa"/>
          </w:tcPr>
          <w:p>
            <w:pPr>
              <w:pStyle w:val="TableParagraph"/>
              <w:jc w:val="left"/>
              <w:rPr>
                <w:rFonts w:ascii="Times New Roman"/>
                <w:sz w:val="12"/>
              </w:rPr>
            </w:pPr>
          </w:p>
        </w:tc>
        <w:tc>
          <w:tcPr>
            <w:tcW w:w="881" w:type="dxa"/>
          </w:tcPr>
          <w:p>
            <w:pPr>
              <w:pStyle w:val="TableParagraph"/>
              <w:jc w:val="left"/>
              <w:rPr>
                <w:rFonts w:ascii="Times New Roman"/>
                <w:sz w:val="12"/>
              </w:rPr>
            </w:pPr>
          </w:p>
        </w:tc>
        <w:tc>
          <w:tcPr>
            <w:tcW w:w="865" w:type="dxa"/>
          </w:tcPr>
          <w:p>
            <w:pPr>
              <w:pStyle w:val="TableParagraph"/>
              <w:jc w:val="left"/>
              <w:rPr>
                <w:rFonts w:ascii="Times New Roman"/>
                <w:sz w:val="12"/>
              </w:rPr>
            </w:pPr>
          </w:p>
        </w:tc>
      </w:tr>
      <w:tr>
        <w:trPr>
          <w:trHeight w:val="199" w:hRule="atLeast"/>
        </w:trPr>
        <w:tc>
          <w:tcPr>
            <w:tcW w:w="4606" w:type="dxa"/>
            <w:gridSpan w:val="2"/>
          </w:tcPr>
          <w:p>
            <w:pPr>
              <w:pStyle w:val="TableParagraph"/>
              <w:tabs>
                <w:tab w:pos="3336" w:val="left" w:leader="none"/>
              </w:tabs>
              <w:spacing w:line="176" w:lineRule="exact" w:before="3"/>
              <w:ind w:left="50"/>
              <w:jc w:val="left"/>
              <w:rPr>
                <w:sz w:val="17"/>
              </w:rPr>
            </w:pPr>
            <w:r>
              <w:rPr>
                <w:sz w:val="17"/>
              </w:rPr>
              <w:t>Condizioni</w:t>
            </w:r>
            <w:r>
              <w:rPr>
                <w:spacing w:val="-4"/>
                <w:sz w:val="17"/>
              </w:rPr>
              <w:t> </w:t>
            </w:r>
            <w:r>
              <w:rPr>
                <w:sz w:val="17"/>
              </w:rPr>
              <w:t>cicliche</w:t>
              <w:tab/>
              <w:t>Molto</w:t>
            </w:r>
            <w:r>
              <w:rPr>
                <w:spacing w:val="1"/>
                <w:sz w:val="17"/>
              </w:rPr>
              <w:t> </w:t>
            </w:r>
            <w:r>
              <w:rPr>
                <w:sz w:val="17"/>
              </w:rPr>
              <w:t>negative</w:t>
            </w:r>
          </w:p>
        </w:tc>
        <w:tc>
          <w:tcPr>
            <w:tcW w:w="974" w:type="dxa"/>
          </w:tcPr>
          <w:p>
            <w:pPr>
              <w:pStyle w:val="TableParagraph"/>
              <w:spacing w:line="176" w:lineRule="exact" w:before="3"/>
              <w:ind w:left="192" w:right="112"/>
              <w:jc w:val="center"/>
              <w:rPr>
                <w:sz w:val="17"/>
              </w:rPr>
            </w:pPr>
            <w:r>
              <w:rPr>
                <w:sz w:val="17"/>
              </w:rPr>
              <w:t>Negative</w:t>
            </w:r>
          </w:p>
        </w:tc>
        <w:tc>
          <w:tcPr>
            <w:tcW w:w="830" w:type="dxa"/>
          </w:tcPr>
          <w:p>
            <w:pPr>
              <w:pStyle w:val="TableParagraph"/>
              <w:spacing w:line="176" w:lineRule="exact" w:before="3"/>
              <w:ind w:left="115" w:right="111"/>
              <w:jc w:val="center"/>
              <w:rPr>
                <w:sz w:val="17"/>
              </w:rPr>
            </w:pPr>
            <w:r>
              <w:rPr>
                <w:sz w:val="17"/>
              </w:rPr>
              <w:t>Normali</w:t>
            </w:r>
          </w:p>
        </w:tc>
        <w:tc>
          <w:tcPr>
            <w:tcW w:w="881" w:type="dxa"/>
          </w:tcPr>
          <w:p>
            <w:pPr>
              <w:pStyle w:val="TableParagraph"/>
              <w:spacing w:line="176" w:lineRule="exact" w:before="3"/>
              <w:ind w:left="116" w:right="95"/>
              <w:jc w:val="center"/>
              <w:rPr>
                <w:sz w:val="17"/>
              </w:rPr>
            </w:pPr>
            <w:r>
              <w:rPr>
                <w:sz w:val="17"/>
              </w:rPr>
              <w:t>Negative</w:t>
            </w:r>
          </w:p>
        </w:tc>
        <w:tc>
          <w:tcPr>
            <w:tcW w:w="865" w:type="dxa"/>
          </w:tcPr>
          <w:p>
            <w:pPr>
              <w:pStyle w:val="TableParagraph"/>
              <w:spacing w:line="176" w:lineRule="exact" w:before="3"/>
              <w:ind w:left="99" w:right="95"/>
              <w:jc w:val="center"/>
              <w:rPr>
                <w:sz w:val="17"/>
              </w:rPr>
            </w:pPr>
            <w:r>
              <w:rPr>
                <w:sz w:val="17"/>
              </w:rPr>
              <w:t>Negative</w:t>
            </w:r>
          </w:p>
        </w:tc>
      </w:tr>
      <w:tr>
        <w:trPr>
          <w:trHeight w:val="184" w:hRule="atLeast"/>
        </w:trPr>
        <w:tc>
          <w:tcPr>
            <w:tcW w:w="4606" w:type="dxa"/>
            <w:gridSpan w:val="2"/>
          </w:tcPr>
          <w:p>
            <w:pPr>
              <w:pStyle w:val="TableParagraph"/>
              <w:spacing w:line="161" w:lineRule="exact" w:before="3"/>
              <w:ind w:left="50"/>
              <w:jc w:val="left"/>
              <w:rPr>
                <w:sz w:val="17"/>
              </w:rPr>
            </w:pPr>
            <w:r>
              <w:rPr>
                <w:sz w:val="17"/>
              </w:rPr>
              <w:t>Aggiustamento richiesto sulla base delle</w:t>
            </w:r>
          </w:p>
        </w:tc>
        <w:tc>
          <w:tcPr>
            <w:tcW w:w="974" w:type="dxa"/>
          </w:tcPr>
          <w:p>
            <w:pPr>
              <w:pStyle w:val="TableParagraph"/>
              <w:jc w:val="left"/>
              <w:rPr>
                <w:rFonts w:ascii="Times New Roman"/>
                <w:sz w:val="12"/>
              </w:rPr>
            </w:pPr>
          </w:p>
        </w:tc>
        <w:tc>
          <w:tcPr>
            <w:tcW w:w="830" w:type="dxa"/>
          </w:tcPr>
          <w:p>
            <w:pPr>
              <w:pStyle w:val="TableParagraph"/>
              <w:jc w:val="left"/>
              <w:rPr>
                <w:rFonts w:ascii="Times New Roman"/>
                <w:sz w:val="12"/>
              </w:rPr>
            </w:pPr>
          </w:p>
        </w:tc>
        <w:tc>
          <w:tcPr>
            <w:tcW w:w="881" w:type="dxa"/>
          </w:tcPr>
          <w:p>
            <w:pPr>
              <w:pStyle w:val="TableParagraph"/>
              <w:jc w:val="left"/>
              <w:rPr>
                <w:rFonts w:ascii="Times New Roman"/>
                <w:sz w:val="12"/>
              </w:rPr>
            </w:pPr>
          </w:p>
        </w:tc>
        <w:tc>
          <w:tcPr>
            <w:tcW w:w="865" w:type="dxa"/>
          </w:tcPr>
          <w:p>
            <w:pPr>
              <w:pStyle w:val="TableParagraph"/>
              <w:jc w:val="left"/>
              <w:rPr>
                <w:rFonts w:ascii="Times New Roman"/>
                <w:sz w:val="12"/>
              </w:rPr>
            </w:pPr>
          </w:p>
        </w:tc>
      </w:tr>
      <w:tr>
        <w:trPr>
          <w:trHeight w:val="170" w:hRule="atLeast"/>
        </w:trPr>
        <w:tc>
          <w:tcPr>
            <w:tcW w:w="4606" w:type="dxa"/>
            <w:gridSpan w:val="2"/>
          </w:tcPr>
          <w:p>
            <w:pPr>
              <w:pStyle w:val="TableParagraph"/>
              <w:tabs>
                <w:tab w:pos="4035" w:val="right" w:leader="none"/>
              </w:tabs>
              <w:spacing w:line="150" w:lineRule="exact"/>
              <w:ind w:left="50"/>
              <w:jc w:val="left"/>
              <w:rPr>
                <w:sz w:val="17"/>
              </w:rPr>
            </w:pPr>
            <w:r>
              <w:rPr>
                <w:sz w:val="17"/>
              </w:rPr>
              <w:t>condizioni cicliche e del livello</w:t>
            </w:r>
            <w:r>
              <w:rPr>
                <w:spacing w:val="-5"/>
                <w:sz w:val="17"/>
              </w:rPr>
              <w:t> </w:t>
            </w:r>
            <w:r>
              <w:rPr>
                <w:sz w:val="17"/>
              </w:rPr>
              <w:t>del</w:t>
            </w:r>
            <w:r>
              <w:rPr>
                <w:spacing w:val="1"/>
                <w:sz w:val="17"/>
              </w:rPr>
              <w:t> </w:t>
            </w:r>
            <w:r>
              <w:rPr>
                <w:sz w:val="17"/>
              </w:rPr>
              <w:t>debito</w:t>
              <w:tab/>
              <w:t>0.25</w:t>
            </w:r>
          </w:p>
        </w:tc>
        <w:tc>
          <w:tcPr>
            <w:tcW w:w="974" w:type="dxa"/>
          </w:tcPr>
          <w:p>
            <w:pPr>
              <w:pStyle w:val="TableParagraph"/>
              <w:spacing w:line="150" w:lineRule="exact"/>
              <w:ind w:left="190" w:right="112"/>
              <w:jc w:val="center"/>
              <w:rPr>
                <w:sz w:val="17"/>
              </w:rPr>
            </w:pPr>
            <w:r>
              <w:rPr>
                <w:sz w:val="17"/>
              </w:rPr>
              <w:t>0.50</w:t>
            </w:r>
          </w:p>
        </w:tc>
        <w:tc>
          <w:tcPr>
            <w:tcW w:w="830" w:type="dxa"/>
          </w:tcPr>
          <w:p>
            <w:pPr>
              <w:pStyle w:val="TableParagraph"/>
              <w:spacing w:line="150" w:lineRule="exact"/>
              <w:ind w:left="113" w:right="111"/>
              <w:jc w:val="center"/>
              <w:rPr>
                <w:sz w:val="17"/>
              </w:rPr>
            </w:pPr>
            <w:r>
              <w:rPr>
                <w:sz w:val="17"/>
              </w:rPr>
              <w:t>0.60</w:t>
            </w:r>
          </w:p>
        </w:tc>
        <w:tc>
          <w:tcPr>
            <w:tcW w:w="881" w:type="dxa"/>
          </w:tcPr>
          <w:p>
            <w:pPr>
              <w:pStyle w:val="TableParagraph"/>
              <w:spacing w:line="150" w:lineRule="exact"/>
              <w:ind w:left="116" w:right="95"/>
              <w:jc w:val="center"/>
              <w:rPr>
                <w:sz w:val="17"/>
              </w:rPr>
            </w:pPr>
            <w:r>
              <w:rPr>
                <w:sz w:val="17"/>
              </w:rPr>
              <w:t>0.25</w:t>
            </w:r>
          </w:p>
        </w:tc>
        <w:tc>
          <w:tcPr>
            <w:tcW w:w="865" w:type="dxa"/>
          </w:tcPr>
          <w:p>
            <w:pPr>
              <w:pStyle w:val="TableParagraph"/>
              <w:spacing w:line="150" w:lineRule="exact"/>
              <w:ind w:left="98" w:right="95"/>
              <w:jc w:val="center"/>
              <w:rPr>
                <w:sz w:val="17"/>
              </w:rPr>
            </w:pPr>
            <w:r>
              <w:rPr>
                <w:sz w:val="17"/>
              </w:rPr>
              <w:t>0.50</w:t>
            </w:r>
          </w:p>
        </w:tc>
      </w:tr>
      <w:tr>
        <w:trPr>
          <w:trHeight w:val="183" w:hRule="atLeast"/>
        </w:trPr>
        <w:tc>
          <w:tcPr>
            <w:tcW w:w="4606" w:type="dxa"/>
            <w:gridSpan w:val="2"/>
          </w:tcPr>
          <w:p>
            <w:pPr>
              <w:pStyle w:val="TableParagraph"/>
              <w:spacing w:line="164" w:lineRule="exact"/>
              <w:ind w:left="50"/>
              <w:jc w:val="left"/>
              <w:rPr>
                <w:sz w:val="17"/>
              </w:rPr>
            </w:pPr>
            <w:r>
              <w:rPr>
                <w:sz w:val="17"/>
              </w:rPr>
              <w:t>(p.p di PIL)</w:t>
            </w:r>
          </w:p>
        </w:tc>
        <w:tc>
          <w:tcPr>
            <w:tcW w:w="974" w:type="dxa"/>
          </w:tcPr>
          <w:p>
            <w:pPr>
              <w:pStyle w:val="TableParagraph"/>
              <w:jc w:val="left"/>
              <w:rPr>
                <w:rFonts w:ascii="Times New Roman"/>
                <w:sz w:val="12"/>
              </w:rPr>
            </w:pPr>
          </w:p>
        </w:tc>
        <w:tc>
          <w:tcPr>
            <w:tcW w:w="830" w:type="dxa"/>
          </w:tcPr>
          <w:p>
            <w:pPr>
              <w:pStyle w:val="TableParagraph"/>
              <w:jc w:val="left"/>
              <w:rPr>
                <w:rFonts w:ascii="Times New Roman"/>
                <w:sz w:val="12"/>
              </w:rPr>
            </w:pPr>
          </w:p>
        </w:tc>
        <w:tc>
          <w:tcPr>
            <w:tcW w:w="881" w:type="dxa"/>
          </w:tcPr>
          <w:p>
            <w:pPr>
              <w:pStyle w:val="TableParagraph"/>
              <w:jc w:val="left"/>
              <w:rPr>
                <w:rFonts w:ascii="Times New Roman"/>
                <w:sz w:val="12"/>
              </w:rPr>
            </w:pPr>
          </w:p>
        </w:tc>
        <w:tc>
          <w:tcPr>
            <w:tcW w:w="865" w:type="dxa"/>
          </w:tcPr>
          <w:p>
            <w:pPr>
              <w:pStyle w:val="TableParagraph"/>
              <w:jc w:val="left"/>
              <w:rPr>
                <w:rFonts w:ascii="Times New Roman"/>
                <w:sz w:val="12"/>
              </w:rPr>
            </w:pPr>
          </w:p>
        </w:tc>
      </w:tr>
      <w:tr>
        <w:trPr>
          <w:trHeight w:val="226" w:hRule="atLeast"/>
        </w:trPr>
        <w:tc>
          <w:tcPr>
            <w:tcW w:w="4606" w:type="dxa"/>
            <w:gridSpan w:val="2"/>
          </w:tcPr>
          <w:p>
            <w:pPr>
              <w:pStyle w:val="TableParagraph"/>
              <w:tabs>
                <w:tab w:pos="4035" w:val="right" w:leader="none"/>
              </w:tabs>
              <w:spacing w:before="2"/>
              <w:ind w:left="50"/>
              <w:jc w:val="left"/>
              <w:rPr>
                <w:sz w:val="17"/>
              </w:rPr>
            </w:pPr>
            <w:r>
              <w:rPr>
                <w:sz w:val="17"/>
              </w:rPr>
              <w:t>Flessibilità accordata (p.p di</w:t>
            </w:r>
            <w:r>
              <w:rPr>
                <w:spacing w:val="-1"/>
                <w:sz w:val="17"/>
              </w:rPr>
              <w:t> </w:t>
            </w:r>
            <w:r>
              <w:rPr>
                <w:sz w:val="17"/>
              </w:rPr>
              <w:t>PIL)</w:t>
              <w:tab/>
              <w:t>0.83</w:t>
            </w:r>
          </w:p>
        </w:tc>
        <w:tc>
          <w:tcPr>
            <w:tcW w:w="974" w:type="dxa"/>
          </w:tcPr>
          <w:p>
            <w:pPr>
              <w:pStyle w:val="TableParagraph"/>
              <w:spacing w:before="2"/>
              <w:ind w:left="190" w:right="112"/>
              <w:jc w:val="center"/>
              <w:rPr>
                <w:sz w:val="17"/>
              </w:rPr>
            </w:pPr>
            <w:r>
              <w:rPr>
                <w:sz w:val="17"/>
              </w:rPr>
              <w:t>0.39</w:t>
            </w:r>
          </w:p>
        </w:tc>
        <w:tc>
          <w:tcPr>
            <w:tcW w:w="830" w:type="dxa"/>
          </w:tcPr>
          <w:p>
            <w:pPr>
              <w:pStyle w:val="TableParagraph"/>
              <w:spacing w:before="2"/>
              <w:ind w:left="113" w:right="111"/>
              <w:jc w:val="center"/>
              <w:rPr>
                <w:sz w:val="17"/>
              </w:rPr>
            </w:pPr>
            <w:r>
              <w:rPr>
                <w:sz w:val="17"/>
              </w:rPr>
              <w:t>0.00</w:t>
            </w:r>
          </w:p>
        </w:tc>
        <w:tc>
          <w:tcPr>
            <w:tcW w:w="881" w:type="dxa"/>
          </w:tcPr>
          <w:p>
            <w:pPr>
              <w:pStyle w:val="TableParagraph"/>
              <w:spacing w:before="2"/>
              <w:ind w:left="116" w:right="95"/>
              <w:jc w:val="center"/>
              <w:rPr>
                <w:sz w:val="17"/>
              </w:rPr>
            </w:pPr>
            <w:r>
              <w:rPr>
                <w:sz w:val="17"/>
              </w:rPr>
              <w:t>0.18</w:t>
            </w:r>
          </w:p>
        </w:tc>
        <w:tc>
          <w:tcPr>
            <w:tcW w:w="865" w:type="dxa"/>
          </w:tcPr>
          <w:p>
            <w:pPr>
              <w:pStyle w:val="TableParagraph"/>
              <w:spacing w:before="2"/>
              <w:ind w:left="98" w:right="95"/>
              <w:jc w:val="center"/>
              <w:rPr>
                <w:sz w:val="17"/>
              </w:rPr>
            </w:pPr>
            <w:r>
              <w:rPr>
                <w:sz w:val="17"/>
              </w:rPr>
              <w:t>0.20</w:t>
            </w:r>
          </w:p>
        </w:tc>
      </w:tr>
      <w:tr>
        <w:trPr>
          <w:trHeight w:val="213" w:hRule="atLeast"/>
        </w:trPr>
        <w:tc>
          <w:tcPr>
            <w:tcW w:w="3244" w:type="dxa"/>
          </w:tcPr>
          <w:p>
            <w:pPr>
              <w:pStyle w:val="TableParagraph"/>
              <w:spacing w:line="161" w:lineRule="exact" w:before="32"/>
              <w:ind w:left="50"/>
              <w:jc w:val="left"/>
              <w:rPr>
                <w:i/>
                <w:sz w:val="17"/>
              </w:rPr>
            </w:pPr>
            <w:r>
              <w:rPr>
                <w:i/>
                <w:sz w:val="17"/>
              </w:rPr>
              <w:t>di cui</w:t>
            </w:r>
          </w:p>
        </w:tc>
        <w:tc>
          <w:tcPr>
            <w:tcW w:w="1362" w:type="dxa"/>
          </w:tcPr>
          <w:p>
            <w:pPr>
              <w:pStyle w:val="TableParagraph"/>
              <w:jc w:val="left"/>
              <w:rPr>
                <w:rFonts w:ascii="Times New Roman"/>
                <w:sz w:val="14"/>
              </w:rPr>
            </w:pPr>
          </w:p>
        </w:tc>
        <w:tc>
          <w:tcPr>
            <w:tcW w:w="974" w:type="dxa"/>
          </w:tcPr>
          <w:p>
            <w:pPr>
              <w:pStyle w:val="TableParagraph"/>
              <w:jc w:val="left"/>
              <w:rPr>
                <w:rFonts w:ascii="Times New Roman"/>
                <w:sz w:val="14"/>
              </w:rPr>
            </w:pPr>
          </w:p>
        </w:tc>
        <w:tc>
          <w:tcPr>
            <w:tcW w:w="830" w:type="dxa"/>
          </w:tcPr>
          <w:p>
            <w:pPr>
              <w:pStyle w:val="TableParagraph"/>
              <w:jc w:val="left"/>
              <w:rPr>
                <w:rFonts w:ascii="Times New Roman"/>
                <w:sz w:val="14"/>
              </w:rPr>
            </w:pPr>
          </w:p>
        </w:tc>
        <w:tc>
          <w:tcPr>
            <w:tcW w:w="881" w:type="dxa"/>
          </w:tcPr>
          <w:p>
            <w:pPr>
              <w:pStyle w:val="TableParagraph"/>
              <w:jc w:val="left"/>
              <w:rPr>
                <w:rFonts w:ascii="Times New Roman"/>
                <w:sz w:val="14"/>
              </w:rPr>
            </w:pPr>
          </w:p>
        </w:tc>
        <w:tc>
          <w:tcPr>
            <w:tcW w:w="865" w:type="dxa"/>
          </w:tcPr>
          <w:p>
            <w:pPr>
              <w:pStyle w:val="TableParagraph"/>
              <w:jc w:val="left"/>
              <w:rPr>
                <w:rFonts w:ascii="Times New Roman"/>
                <w:sz w:val="14"/>
              </w:rPr>
            </w:pPr>
          </w:p>
        </w:tc>
      </w:tr>
      <w:tr>
        <w:trPr>
          <w:trHeight w:val="169" w:hRule="atLeast"/>
        </w:trPr>
        <w:tc>
          <w:tcPr>
            <w:tcW w:w="3244" w:type="dxa"/>
          </w:tcPr>
          <w:p>
            <w:pPr>
              <w:pStyle w:val="TableParagraph"/>
              <w:spacing w:line="149" w:lineRule="exact"/>
              <w:ind w:left="50"/>
              <w:jc w:val="left"/>
              <w:rPr>
                <w:i/>
                <w:sz w:val="17"/>
              </w:rPr>
            </w:pPr>
            <w:r>
              <w:rPr>
                <w:i/>
                <w:sz w:val="17"/>
              </w:rPr>
              <w:t>per attivazione delle clausole di</w:t>
            </w:r>
          </w:p>
        </w:tc>
        <w:tc>
          <w:tcPr>
            <w:tcW w:w="1362" w:type="dxa"/>
          </w:tcPr>
          <w:p>
            <w:pPr>
              <w:pStyle w:val="TableParagraph"/>
              <w:jc w:val="left"/>
              <w:rPr>
                <w:rFonts w:ascii="Times New Roman"/>
                <w:sz w:val="10"/>
              </w:rPr>
            </w:pPr>
          </w:p>
        </w:tc>
        <w:tc>
          <w:tcPr>
            <w:tcW w:w="974" w:type="dxa"/>
          </w:tcPr>
          <w:p>
            <w:pPr>
              <w:pStyle w:val="TableParagraph"/>
              <w:jc w:val="left"/>
              <w:rPr>
                <w:rFonts w:ascii="Times New Roman"/>
                <w:sz w:val="10"/>
              </w:rPr>
            </w:pPr>
          </w:p>
        </w:tc>
        <w:tc>
          <w:tcPr>
            <w:tcW w:w="830" w:type="dxa"/>
          </w:tcPr>
          <w:p>
            <w:pPr>
              <w:pStyle w:val="TableParagraph"/>
              <w:jc w:val="left"/>
              <w:rPr>
                <w:rFonts w:ascii="Times New Roman"/>
                <w:sz w:val="10"/>
              </w:rPr>
            </w:pPr>
          </w:p>
        </w:tc>
        <w:tc>
          <w:tcPr>
            <w:tcW w:w="881" w:type="dxa"/>
          </w:tcPr>
          <w:p>
            <w:pPr>
              <w:pStyle w:val="TableParagraph"/>
              <w:jc w:val="left"/>
              <w:rPr>
                <w:rFonts w:ascii="Times New Roman"/>
                <w:sz w:val="10"/>
              </w:rPr>
            </w:pPr>
          </w:p>
        </w:tc>
        <w:tc>
          <w:tcPr>
            <w:tcW w:w="865" w:type="dxa"/>
          </w:tcPr>
          <w:p>
            <w:pPr>
              <w:pStyle w:val="TableParagraph"/>
              <w:jc w:val="left"/>
              <w:rPr>
                <w:rFonts w:ascii="Times New Roman"/>
                <w:sz w:val="10"/>
              </w:rPr>
            </w:pPr>
          </w:p>
        </w:tc>
      </w:tr>
      <w:tr>
        <w:trPr>
          <w:trHeight w:val="197" w:hRule="atLeast"/>
        </w:trPr>
        <w:tc>
          <w:tcPr>
            <w:tcW w:w="3244" w:type="dxa"/>
          </w:tcPr>
          <w:p>
            <w:pPr>
              <w:pStyle w:val="TableParagraph"/>
              <w:spacing w:line="178" w:lineRule="exact"/>
              <w:ind w:left="50"/>
              <w:jc w:val="left"/>
              <w:rPr>
                <w:i/>
                <w:sz w:val="17"/>
              </w:rPr>
            </w:pPr>
            <w:r>
              <w:rPr>
                <w:i/>
                <w:sz w:val="17"/>
              </w:rPr>
              <w:t>flessibilità:</w:t>
            </w:r>
          </w:p>
        </w:tc>
        <w:tc>
          <w:tcPr>
            <w:tcW w:w="1362" w:type="dxa"/>
          </w:tcPr>
          <w:p>
            <w:pPr>
              <w:pStyle w:val="TableParagraph"/>
              <w:jc w:val="left"/>
              <w:rPr>
                <w:rFonts w:ascii="Times New Roman"/>
                <w:sz w:val="12"/>
              </w:rPr>
            </w:pPr>
          </w:p>
        </w:tc>
        <w:tc>
          <w:tcPr>
            <w:tcW w:w="974" w:type="dxa"/>
          </w:tcPr>
          <w:p>
            <w:pPr>
              <w:pStyle w:val="TableParagraph"/>
              <w:jc w:val="left"/>
              <w:rPr>
                <w:rFonts w:ascii="Times New Roman"/>
                <w:sz w:val="12"/>
              </w:rPr>
            </w:pPr>
          </w:p>
        </w:tc>
        <w:tc>
          <w:tcPr>
            <w:tcW w:w="830" w:type="dxa"/>
          </w:tcPr>
          <w:p>
            <w:pPr>
              <w:pStyle w:val="TableParagraph"/>
              <w:jc w:val="left"/>
              <w:rPr>
                <w:rFonts w:ascii="Times New Roman"/>
                <w:sz w:val="12"/>
              </w:rPr>
            </w:pPr>
          </w:p>
        </w:tc>
        <w:tc>
          <w:tcPr>
            <w:tcW w:w="881" w:type="dxa"/>
          </w:tcPr>
          <w:p>
            <w:pPr>
              <w:pStyle w:val="TableParagraph"/>
              <w:jc w:val="left"/>
              <w:rPr>
                <w:rFonts w:ascii="Times New Roman"/>
                <w:sz w:val="12"/>
              </w:rPr>
            </w:pPr>
          </w:p>
        </w:tc>
        <w:tc>
          <w:tcPr>
            <w:tcW w:w="865" w:type="dxa"/>
          </w:tcPr>
          <w:p>
            <w:pPr>
              <w:pStyle w:val="TableParagraph"/>
              <w:jc w:val="left"/>
              <w:rPr>
                <w:rFonts w:ascii="Times New Roman"/>
                <w:sz w:val="12"/>
              </w:rPr>
            </w:pPr>
          </w:p>
        </w:tc>
      </w:tr>
      <w:tr>
        <w:trPr>
          <w:trHeight w:val="228" w:hRule="atLeast"/>
        </w:trPr>
        <w:tc>
          <w:tcPr>
            <w:tcW w:w="3244" w:type="dxa"/>
          </w:tcPr>
          <w:p>
            <w:pPr>
              <w:pStyle w:val="TableParagraph"/>
              <w:spacing w:line="190" w:lineRule="exact" w:before="17"/>
              <w:ind w:left="333"/>
              <w:jc w:val="left"/>
              <w:rPr>
                <w:sz w:val="17"/>
              </w:rPr>
            </w:pPr>
            <w:r>
              <w:rPr>
                <w:sz w:val="17"/>
              </w:rPr>
              <w:t>riforme strutturali</w:t>
            </w:r>
          </w:p>
        </w:tc>
        <w:tc>
          <w:tcPr>
            <w:tcW w:w="1362" w:type="dxa"/>
          </w:tcPr>
          <w:p>
            <w:pPr>
              <w:pStyle w:val="TableParagraph"/>
              <w:spacing w:line="190" w:lineRule="exact" w:before="17"/>
              <w:ind w:left="449"/>
              <w:jc w:val="left"/>
              <w:rPr>
                <w:sz w:val="17"/>
              </w:rPr>
            </w:pPr>
            <w:r>
              <w:rPr>
                <w:sz w:val="17"/>
              </w:rPr>
              <w:t>0.50</w:t>
            </w:r>
          </w:p>
        </w:tc>
        <w:tc>
          <w:tcPr>
            <w:tcW w:w="974" w:type="dxa"/>
          </w:tcPr>
          <w:p>
            <w:pPr>
              <w:pStyle w:val="TableParagraph"/>
              <w:spacing w:line="190" w:lineRule="exact" w:before="17"/>
              <w:ind w:left="190" w:right="112"/>
              <w:jc w:val="center"/>
              <w:rPr>
                <w:sz w:val="17"/>
              </w:rPr>
            </w:pPr>
            <w:r>
              <w:rPr>
                <w:sz w:val="17"/>
              </w:rPr>
              <w:t>0.00</w:t>
            </w:r>
          </w:p>
        </w:tc>
        <w:tc>
          <w:tcPr>
            <w:tcW w:w="830" w:type="dxa"/>
          </w:tcPr>
          <w:p>
            <w:pPr>
              <w:pStyle w:val="TableParagraph"/>
              <w:spacing w:line="190" w:lineRule="exact" w:before="17"/>
              <w:ind w:left="113" w:right="111"/>
              <w:jc w:val="center"/>
              <w:rPr>
                <w:sz w:val="17"/>
              </w:rPr>
            </w:pPr>
            <w:r>
              <w:rPr>
                <w:sz w:val="17"/>
              </w:rPr>
              <w:t>0.00</w:t>
            </w:r>
          </w:p>
        </w:tc>
        <w:tc>
          <w:tcPr>
            <w:tcW w:w="881" w:type="dxa"/>
          </w:tcPr>
          <w:p>
            <w:pPr>
              <w:pStyle w:val="TableParagraph"/>
              <w:spacing w:line="190" w:lineRule="exact" w:before="17"/>
              <w:ind w:left="116" w:right="95"/>
              <w:jc w:val="center"/>
              <w:rPr>
                <w:sz w:val="17"/>
              </w:rPr>
            </w:pPr>
            <w:r>
              <w:rPr>
                <w:sz w:val="17"/>
              </w:rPr>
              <w:t>0.00</w:t>
            </w:r>
          </w:p>
        </w:tc>
        <w:tc>
          <w:tcPr>
            <w:tcW w:w="865" w:type="dxa"/>
          </w:tcPr>
          <w:p>
            <w:pPr>
              <w:pStyle w:val="TableParagraph"/>
              <w:spacing w:line="190" w:lineRule="exact" w:before="17"/>
              <w:ind w:left="98" w:right="95"/>
              <w:jc w:val="center"/>
              <w:rPr>
                <w:sz w:val="17"/>
              </w:rPr>
            </w:pPr>
            <w:r>
              <w:rPr>
                <w:sz w:val="17"/>
              </w:rPr>
              <w:t>0.00</w:t>
            </w:r>
          </w:p>
        </w:tc>
      </w:tr>
      <w:tr>
        <w:trPr>
          <w:trHeight w:val="210" w:hRule="atLeast"/>
        </w:trPr>
        <w:tc>
          <w:tcPr>
            <w:tcW w:w="3244" w:type="dxa"/>
          </w:tcPr>
          <w:p>
            <w:pPr>
              <w:pStyle w:val="TableParagraph"/>
              <w:spacing w:line="173" w:lineRule="exact" w:before="17"/>
              <w:ind w:left="333"/>
              <w:jc w:val="left"/>
              <w:rPr>
                <w:sz w:val="17"/>
              </w:rPr>
            </w:pPr>
            <w:r>
              <w:rPr>
                <w:sz w:val="17"/>
              </w:rPr>
              <w:t>investimenti</w:t>
            </w:r>
          </w:p>
        </w:tc>
        <w:tc>
          <w:tcPr>
            <w:tcW w:w="1362" w:type="dxa"/>
          </w:tcPr>
          <w:p>
            <w:pPr>
              <w:pStyle w:val="TableParagraph"/>
              <w:spacing w:line="173" w:lineRule="exact" w:before="17"/>
              <w:ind w:left="449"/>
              <w:jc w:val="left"/>
              <w:rPr>
                <w:sz w:val="17"/>
              </w:rPr>
            </w:pPr>
            <w:r>
              <w:rPr>
                <w:sz w:val="17"/>
              </w:rPr>
              <w:t>0.21</w:t>
            </w:r>
          </w:p>
        </w:tc>
        <w:tc>
          <w:tcPr>
            <w:tcW w:w="974" w:type="dxa"/>
          </w:tcPr>
          <w:p>
            <w:pPr>
              <w:pStyle w:val="TableParagraph"/>
              <w:spacing w:line="173" w:lineRule="exact" w:before="17"/>
              <w:ind w:left="190" w:right="112"/>
              <w:jc w:val="center"/>
              <w:rPr>
                <w:sz w:val="17"/>
              </w:rPr>
            </w:pPr>
            <w:r>
              <w:rPr>
                <w:sz w:val="17"/>
              </w:rPr>
              <w:t>0.00</w:t>
            </w:r>
          </w:p>
        </w:tc>
        <w:tc>
          <w:tcPr>
            <w:tcW w:w="830" w:type="dxa"/>
          </w:tcPr>
          <w:p>
            <w:pPr>
              <w:pStyle w:val="TableParagraph"/>
              <w:spacing w:line="173" w:lineRule="exact" w:before="17"/>
              <w:ind w:left="113" w:right="111"/>
              <w:jc w:val="center"/>
              <w:rPr>
                <w:sz w:val="17"/>
              </w:rPr>
            </w:pPr>
            <w:r>
              <w:rPr>
                <w:sz w:val="17"/>
              </w:rPr>
              <w:t>0.00</w:t>
            </w:r>
          </w:p>
        </w:tc>
        <w:tc>
          <w:tcPr>
            <w:tcW w:w="881" w:type="dxa"/>
          </w:tcPr>
          <w:p>
            <w:pPr>
              <w:pStyle w:val="TableParagraph"/>
              <w:spacing w:line="173" w:lineRule="exact" w:before="17"/>
              <w:ind w:left="116" w:right="95"/>
              <w:jc w:val="center"/>
              <w:rPr>
                <w:sz w:val="17"/>
              </w:rPr>
            </w:pPr>
            <w:r>
              <w:rPr>
                <w:sz w:val="17"/>
              </w:rPr>
              <w:t>0.00</w:t>
            </w:r>
          </w:p>
        </w:tc>
        <w:tc>
          <w:tcPr>
            <w:tcW w:w="865" w:type="dxa"/>
          </w:tcPr>
          <w:p>
            <w:pPr>
              <w:pStyle w:val="TableParagraph"/>
              <w:spacing w:line="173" w:lineRule="exact" w:before="17"/>
              <w:ind w:left="98" w:right="95"/>
              <w:jc w:val="center"/>
              <w:rPr>
                <w:sz w:val="17"/>
              </w:rPr>
            </w:pPr>
            <w:r>
              <w:rPr>
                <w:sz w:val="17"/>
              </w:rPr>
              <w:t>0.00</w:t>
            </w:r>
          </w:p>
        </w:tc>
      </w:tr>
      <w:tr>
        <w:trPr>
          <w:trHeight w:val="156" w:hRule="atLeast"/>
        </w:trPr>
        <w:tc>
          <w:tcPr>
            <w:tcW w:w="3244" w:type="dxa"/>
          </w:tcPr>
          <w:p>
            <w:pPr>
              <w:pStyle w:val="TableParagraph"/>
              <w:spacing w:line="137" w:lineRule="exact"/>
              <w:ind w:left="50"/>
              <w:jc w:val="left"/>
              <w:rPr>
                <w:i/>
                <w:sz w:val="17"/>
              </w:rPr>
            </w:pPr>
            <w:r>
              <w:rPr>
                <w:i/>
                <w:sz w:val="17"/>
              </w:rPr>
              <w:t>per attivazione delle clausole di eventi</w:t>
            </w:r>
          </w:p>
        </w:tc>
        <w:tc>
          <w:tcPr>
            <w:tcW w:w="1362" w:type="dxa"/>
          </w:tcPr>
          <w:p>
            <w:pPr>
              <w:pStyle w:val="TableParagraph"/>
              <w:jc w:val="left"/>
              <w:rPr>
                <w:rFonts w:ascii="Times New Roman"/>
                <w:sz w:val="10"/>
              </w:rPr>
            </w:pPr>
          </w:p>
        </w:tc>
        <w:tc>
          <w:tcPr>
            <w:tcW w:w="974" w:type="dxa"/>
          </w:tcPr>
          <w:p>
            <w:pPr>
              <w:pStyle w:val="TableParagraph"/>
              <w:jc w:val="left"/>
              <w:rPr>
                <w:rFonts w:ascii="Times New Roman"/>
                <w:sz w:val="10"/>
              </w:rPr>
            </w:pPr>
          </w:p>
        </w:tc>
        <w:tc>
          <w:tcPr>
            <w:tcW w:w="830" w:type="dxa"/>
          </w:tcPr>
          <w:p>
            <w:pPr>
              <w:pStyle w:val="TableParagraph"/>
              <w:jc w:val="left"/>
              <w:rPr>
                <w:rFonts w:ascii="Times New Roman"/>
                <w:sz w:val="10"/>
              </w:rPr>
            </w:pPr>
          </w:p>
        </w:tc>
        <w:tc>
          <w:tcPr>
            <w:tcW w:w="881" w:type="dxa"/>
          </w:tcPr>
          <w:p>
            <w:pPr>
              <w:pStyle w:val="TableParagraph"/>
              <w:jc w:val="left"/>
              <w:rPr>
                <w:rFonts w:ascii="Times New Roman"/>
                <w:sz w:val="10"/>
              </w:rPr>
            </w:pPr>
          </w:p>
        </w:tc>
        <w:tc>
          <w:tcPr>
            <w:tcW w:w="865" w:type="dxa"/>
          </w:tcPr>
          <w:p>
            <w:pPr>
              <w:pStyle w:val="TableParagraph"/>
              <w:jc w:val="left"/>
              <w:rPr>
                <w:rFonts w:ascii="Times New Roman"/>
                <w:sz w:val="10"/>
              </w:rPr>
            </w:pPr>
          </w:p>
        </w:tc>
      </w:tr>
      <w:tr>
        <w:trPr>
          <w:trHeight w:val="199" w:hRule="atLeast"/>
        </w:trPr>
        <w:tc>
          <w:tcPr>
            <w:tcW w:w="3244" w:type="dxa"/>
          </w:tcPr>
          <w:p>
            <w:pPr>
              <w:pStyle w:val="TableParagraph"/>
              <w:spacing w:line="190" w:lineRule="exact"/>
              <w:ind w:left="50"/>
              <w:jc w:val="left"/>
              <w:rPr>
                <w:i/>
                <w:sz w:val="17"/>
              </w:rPr>
            </w:pPr>
            <w:r>
              <w:rPr>
                <w:i/>
                <w:sz w:val="17"/>
              </w:rPr>
              <w:t>non usuali:</w:t>
            </w:r>
          </w:p>
        </w:tc>
        <w:tc>
          <w:tcPr>
            <w:tcW w:w="1362" w:type="dxa"/>
          </w:tcPr>
          <w:p>
            <w:pPr>
              <w:pStyle w:val="TableParagraph"/>
              <w:jc w:val="left"/>
              <w:rPr>
                <w:rFonts w:ascii="Times New Roman"/>
                <w:sz w:val="14"/>
              </w:rPr>
            </w:pPr>
          </w:p>
        </w:tc>
        <w:tc>
          <w:tcPr>
            <w:tcW w:w="974" w:type="dxa"/>
          </w:tcPr>
          <w:p>
            <w:pPr>
              <w:pStyle w:val="TableParagraph"/>
              <w:jc w:val="left"/>
              <w:rPr>
                <w:rFonts w:ascii="Times New Roman"/>
                <w:sz w:val="14"/>
              </w:rPr>
            </w:pPr>
          </w:p>
        </w:tc>
        <w:tc>
          <w:tcPr>
            <w:tcW w:w="830" w:type="dxa"/>
          </w:tcPr>
          <w:p>
            <w:pPr>
              <w:pStyle w:val="TableParagraph"/>
              <w:jc w:val="left"/>
              <w:rPr>
                <w:rFonts w:ascii="Times New Roman"/>
                <w:sz w:val="14"/>
              </w:rPr>
            </w:pPr>
          </w:p>
        </w:tc>
        <w:tc>
          <w:tcPr>
            <w:tcW w:w="881" w:type="dxa"/>
          </w:tcPr>
          <w:p>
            <w:pPr>
              <w:pStyle w:val="TableParagraph"/>
              <w:jc w:val="left"/>
              <w:rPr>
                <w:rFonts w:ascii="Times New Roman"/>
                <w:sz w:val="14"/>
              </w:rPr>
            </w:pPr>
          </w:p>
        </w:tc>
        <w:tc>
          <w:tcPr>
            <w:tcW w:w="865" w:type="dxa"/>
          </w:tcPr>
          <w:p>
            <w:pPr>
              <w:pStyle w:val="TableParagraph"/>
              <w:jc w:val="left"/>
              <w:rPr>
                <w:rFonts w:ascii="Times New Roman"/>
                <w:sz w:val="14"/>
              </w:rPr>
            </w:pPr>
          </w:p>
        </w:tc>
      </w:tr>
      <w:tr>
        <w:trPr>
          <w:trHeight w:val="227" w:hRule="atLeast"/>
        </w:trPr>
        <w:tc>
          <w:tcPr>
            <w:tcW w:w="3244" w:type="dxa"/>
          </w:tcPr>
          <w:p>
            <w:pPr>
              <w:pStyle w:val="TableParagraph"/>
              <w:spacing w:line="189" w:lineRule="exact" w:before="17"/>
              <w:ind w:left="333"/>
              <w:jc w:val="left"/>
              <w:rPr>
                <w:sz w:val="17"/>
              </w:rPr>
            </w:pPr>
            <w:r>
              <w:rPr>
                <w:sz w:val="17"/>
              </w:rPr>
              <w:t>rifugiati</w:t>
            </w:r>
          </w:p>
        </w:tc>
        <w:tc>
          <w:tcPr>
            <w:tcW w:w="1362" w:type="dxa"/>
          </w:tcPr>
          <w:p>
            <w:pPr>
              <w:pStyle w:val="TableParagraph"/>
              <w:spacing w:line="189" w:lineRule="exact" w:before="17"/>
              <w:ind w:left="449"/>
              <w:jc w:val="left"/>
              <w:rPr>
                <w:sz w:val="17"/>
              </w:rPr>
            </w:pPr>
            <w:r>
              <w:rPr>
                <w:sz w:val="17"/>
              </w:rPr>
              <w:t>0.06</w:t>
            </w:r>
          </w:p>
        </w:tc>
        <w:tc>
          <w:tcPr>
            <w:tcW w:w="974" w:type="dxa"/>
          </w:tcPr>
          <w:p>
            <w:pPr>
              <w:pStyle w:val="TableParagraph"/>
              <w:spacing w:line="189" w:lineRule="exact" w:before="17"/>
              <w:ind w:left="190" w:right="112"/>
              <w:jc w:val="center"/>
              <w:rPr>
                <w:sz w:val="17"/>
              </w:rPr>
            </w:pPr>
            <w:r>
              <w:rPr>
                <w:sz w:val="17"/>
              </w:rPr>
              <w:t>0.16</w:t>
            </w:r>
          </w:p>
        </w:tc>
        <w:tc>
          <w:tcPr>
            <w:tcW w:w="830" w:type="dxa"/>
          </w:tcPr>
          <w:p>
            <w:pPr>
              <w:pStyle w:val="TableParagraph"/>
              <w:spacing w:line="189" w:lineRule="exact" w:before="17"/>
              <w:ind w:left="113" w:right="111"/>
              <w:jc w:val="center"/>
              <w:rPr>
                <w:sz w:val="17"/>
              </w:rPr>
            </w:pPr>
            <w:r>
              <w:rPr>
                <w:sz w:val="17"/>
              </w:rPr>
              <w:t>0.00</w:t>
            </w:r>
          </w:p>
        </w:tc>
        <w:tc>
          <w:tcPr>
            <w:tcW w:w="881" w:type="dxa"/>
          </w:tcPr>
          <w:p>
            <w:pPr>
              <w:pStyle w:val="TableParagraph"/>
              <w:spacing w:line="189" w:lineRule="exact" w:before="17"/>
              <w:ind w:left="116" w:right="95"/>
              <w:jc w:val="center"/>
              <w:rPr>
                <w:sz w:val="17"/>
              </w:rPr>
            </w:pPr>
            <w:r>
              <w:rPr>
                <w:sz w:val="17"/>
              </w:rPr>
              <w:t>0.00</w:t>
            </w:r>
          </w:p>
        </w:tc>
        <w:tc>
          <w:tcPr>
            <w:tcW w:w="865" w:type="dxa"/>
          </w:tcPr>
          <w:p>
            <w:pPr>
              <w:pStyle w:val="TableParagraph"/>
              <w:spacing w:line="189" w:lineRule="exact" w:before="17"/>
              <w:ind w:left="98" w:right="95"/>
              <w:jc w:val="center"/>
              <w:rPr>
                <w:sz w:val="17"/>
              </w:rPr>
            </w:pPr>
            <w:r>
              <w:rPr>
                <w:sz w:val="17"/>
              </w:rPr>
              <w:t>0.00</w:t>
            </w:r>
          </w:p>
        </w:tc>
      </w:tr>
      <w:tr>
        <w:trPr>
          <w:trHeight w:val="227" w:hRule="atLeast"/>
        </w:trPr>
        <w:tc>
          <w:tcPr>
            <w:tcW w:w="3244" w:type="dxa"/>
          </w:tcPr>
          <w:p>
            <w:pPr>
              <w:pStyle w:val="TableParagraph"/>
              <w:spacing w:line="190" w:lineRule="exact" w:before="17"/>
              <w:ind w:left="333"/>
              <w:jc w:val="left"/>
              <w:rPr>
                <w:sz w:val="17"/>
              </w:rPr>
            </w:pPr>
            <w:r>
              <w:rPr>
                <w:sz w:val="17"/>
              </w:rPr>
              <w:t>sicurezza</w:t>
            </w:r>
          </w:p>
        </w:tc>
        <w:tc>
          <w:tcPr>
            <w:tcW w:w="1362" w:type="dxa"/>
          </w:tcPr>
          <w:p>
            <w:pPr>
              <w:pStyle w:val="TableParagraph"/>
              <w:spacing w:line="190" w:lineRule="exact" w:before="17"/>
              <w:ind w:left="449"/>
              <w:jc w:val="left"/>
              <w:rPr>
                <w:sz w:val="17"/>
              </w:rPr>
            </w:pPr>
            <w:r>
              <w:rPr>
                <w:sz w:val="17"/>
              </w:rPr>
              <w:t>0.06</w:t>
            </w:r>
          </w:p>
        </w:tc>
        <w:tc>
          <w:tcPr>
            <w:tcW w:w="974" w:type="dxa"/>
          </w:tcPr>
          <w:p>
            <w:pPr>
              <w:pStyle w:val="TableParagraph"/>
              <w:spacing w:line="190" w:lineRule="exact" w:before="17"/>
              <w:ind w:left="190" w:right="112"/>
              <w:jc w:val="center"/>
              <w:rPr>
                <w:sz w:val="17"/>
              </w:rPr>
            </w:pPr>
            <w:r>
              <w:rPr>
                <w:sz w:val="17"/>
              </w:rPr>
              <w:t>0.00</w:t>
            </w:r>
          </w:p>
        </w:tc>
        <w:tc>
          <w:tcPr>
            <w:tcW w:w="830" w:type="dxa"/>
          </w:tcPr>
          <w:p>
            <w:pPr>
              <w:pStyle w:val="TableParagraph"/>
              <w:spacing w:line="190" w:lineRule="exact" w:before="17"/>
              <w:ind w:left="113" w:right="111"/>
              <w:jc w:val="center"/>
              <w:rPr>
                <w:sz w:val="17"/>
              </w:rPr>
            </w:pPr>
            <w:r>
              <w:rPr>
                <w:sz w:val="17"/>
              </w:rPr>
              <w:t>0.00</w:t>
            </w:r>
          </w:p>
        </w:tc>
        <w:tc>
          <w:tcPr>
            <w:tcW w:w="881" w:type="dxa"/>
          </w:tcPr>
          <w:p>
            <w:pPr>
              <w:pStyle w:val="TableParagraph"/>
              <w:spacing w:line="190" w:lineRule="exact" w:before="17"/>
              <w:ind w:left="116" w:right="95"/>
              <w:jc w:val="center"/>
              <w:rPr>
                <w:sz w:val="17"/>
              </w:rPr>
            </w:pPr>
            <w:r>
              <w:rPr>
                <w:sz w:val="17"/>
              </w:rPr>
              <w:t>0.00</w:t>
            </w:r>
          </w:p>
        </w:tc>
        <w:tc>
          <w:tcPr>
            <w:tcW w:w="865" w:type="dxa"/>
          </w:tcPr>
          <w:p>
            <w:pPr>
              <w:pStyle w:val="TableParagraph"/>
              <w:spacing w:line="190" w:lineRule="exact" w:before="17"/>
              <w:ind w:left="98" w:right="95"/>
              <w:jc w:val="center"/>
              <w:rPr>
                <w:sz w:val="17"/>
              </w:rPr>
            </w:pPr>
            <w:r>
              <w:rPr>
                <w:sz w:val="17"/>
              </w:rPr>
              <w:t>0.00</w:t>
            </w:r>
          </w:p>
        </w:tc>
      </w:tr>
      <w:tr>
        <w:trPr>
          <w:trHeight w:val="228" w:hRule="atLeast"/>
        </w:trPr>
        <w:tc>
          <w:tcPr>
            <w:tcW w:w="3244" w:type="dxa"/>
          </w:tcPr>
          <w:p>
            <w:pPr>
              <w:pStyle w:val="TableParagraph"/>
              <w:spacing w:line="190" w:lineRule="exact" w:before="17"/>
              <w:ind w:left="333"/>
              <w:jc w:val="left"/>
              <w:rPr>
                <w:sz w:val="17"/>
              </w:rPr>
            </w:pPr>
            <w:r>
              <w:rPr>
                <w:sz w:val="17"/>
              </w:rPr>
              <w:t>messa in sicurezza del territorio</w:t>
            </w:r>
          </w:p>
        </w:tc>
        <w:tc>
          <w:tcPr>
            <w:tcW w:w="1362" w:type="dxa"/>
          </w:tcPr>
          <w:p>
            <w:pPr>
              <w:pStyle w:val="TableParagraph"/>
              <w:spacing w:line="190" w:lineRule="exact" w:before="17"/>
              <w:ind w:left="449"/>
              <w:jc w:val="left"/>
              <w:rPr>
                <w:sz w:val="17"/>
              </w:rPr>
            </w:pPr>
            <w:r>
              <w:rPr>
                <w:sz w:val="17"/>
              </w:rPr>
              <w:t>0.00</w:t>
            </w:r>
          </w:p>
        </w:tc>
        <w:tc>
          <w:tcPr>
            <w:tcW w:w="974" w:type="dxa"/>
          </w:tcPr>
          <w:p>
            <w:pPr>
              <w:pStyle w:val="TableParagraph"/>
              <w:spacing w:line="190" w:lineRule="exact" w:before="17"/>
              <w:ind w:left="190" w:right="112"/>
              <w:jc w:val="center"/>
              <w:rPr>
                <w:sz w:val="17"/>
              </w:rPr>
            </w:pPr>
            <w:r>
              <w:rPr>
                <w:sz w:val="17"/>
              </w:rPr>
              <w:t>0.19</w:t>
            </w:r>
          </w:p>
        </w:tc>
        <w:tc>
          <w:tcPr>
            <w:tcW w:w="830" w:type="dxa"/>
          </w:tcPr>
          <w:p>
            <w:pPr>
              <w:pStyle w:val="TableParagraph"/>
              <w:spacing w:line="190" w:lineRule="exact" w:before="17"/>
              <w:ind w:left="113" w:right="111"/>
              <w:jc w:val="center"/>
              <w:rPr>
                <w:sz w:val="17"/>
              </w:rPr>
            </w:pPr>
            <w:r>
              <w:rPr>
                <w:sz w:val="17"/>
              </w:rPr>
              <w:t>0.00</w:t>
            </w:r>
          </w:p>
        </w:tc>
        <w:tc>
          <w:tcPr>
            <w:tcW w:w="881" w:type="dxa"/>
          </w:tcPr>
          <w:p>
            <w:pPr>
              <w:pStyle w:val="TableParagraph"/>
              <w:spacing w:line="190" w:lineRule="exact" w:before="17"/>
              <w:ind w:left="116" w:right="95"/>
              <w:jc w:val="center"/>
              <w:rPr>
                <w:sz w:val="17"/>
              </w:rPr>
            </w:pPr>
            <w:r>
              <w:rPr>
                <w:sz w:val="17"/>
              </w:rPr>
              <w:t>0.00</w:t>
            </w:r>
          </w:p>
        </w:tc>
        <w:tc>
          <w:tcPr>
            <w:tcW w:w="865" w:type="dxa"/>
          </w:tcPr>
          <w:p>
            <w:pPr>
              <w:pStyle w:val="TableParagraph"/>
              <w:spacing w:line="190" w:lineRule="exact" w:before="17"/>
              <w:ind w:left="98" w:right="95"/>
              <w:jc w:val="center"/>
              <w:rPr>
                <w:sz w:val="17"/>
              </w:rPr>
            </w:pPr>
            <w:r>
              <w:rPr>
                <w:sz w:val="17"/>
              </w:rPr>
              <w:t>0.00</w:t>
            </w:r>
          </w:p>
        </w:tc>
      </w:tr>
      <w:tr>
        <w:trPr>
          <w:trHeight w:val="210" w:hRule="atLeast"/>
        </w:trPr>
        <w:tc>
          <w:tcPr>
            <w:tcW w:w="3244" w:type="dxa"/>
          </w:tcPr>
          <w:p>
            <w:pPr>
              <w:pStyle w:val="TableParagraph"/>
              <w:spacing w:line="173" w:lineRule="exact" w:before="17"/>
              <w:ind w:left="333"/>
              <w:jc w:val="left"/>
              <w:rPr>
                <w:sz w:val="17"/>
              </w:rPr>
            </w:pPr>
            <w:r>
              <w:rPr>
                <w:sz w:val="17"/>
              </w:rPr>
              <w:t>dissesto idrogeologico e rete viaria</w:t>
            </w:r>
          </w:p>
        </w:tc>
        <w:tc>
          <w:tcPr>
            <w:tcW w:w="1362" w:type="dxa"/>
          </w:tcPr>
          <w:p>
            <w:pPr>
              <w:pStyle w:val="TableParagraph"/>
              <w:spacing w:line="173" w:lineRule="exact" w:before="17"/>
              <w:ind w:left="449"/>
              <w:jc w:val="left"/>
              <w:rPr>
                <w:sz w:val="17"/>
              </w:rPr>
            </w:pPr>
            <w:r>
              <w:rPr>
                <w:sz w:val="17"/>
              </w:rPr>
              <w:t>0.00</w:t>
            </w:r>
          </w:p>
        </w:tc>
        <w:tc>
          <w:tcPr>
            <w:tcW w:w="974" w:type="dxa"/>
          </w:tcPr>
          <w:p>
            <w:pPr>
              <w:pStyle w:val="TableParagraph"/>
              <w:spacing w:line="173" w:lineRule="exact" w:before="17"/>
              <w:ind w:left="190" w:right="112"/>
              <w:jc w:val="center"/>
              <w:rPr>
                <w:sz w:val="17"/>
              </w:rPr>
            </w:pPr>
            <w:r>
              <w:rPr>
                <w:sz w:val="17"/>
              </w:rPr>
              <w:t>0.00</w:t>
            </w:r>
          </w:p>
        </w:tc>
        <w:tc>
          <w:tcPr>
            <w:tcW w:w="830" w:type="dxa"/>
          </w:tcPr>
          <w:p>
            <w:pPr>
              <w:pStyle w:val="TableParagraph"/>
              <w:spacing w:line="173" w:lineRule="exact" w:before="17"/>
              <w:ind w:left="113" w:right="111"/>
              <w:jc w:val="center"/>
              <w:rPr>
                <w:sz w:val="17"/>
              </w:rPr>
            </w:pPr>
            <w:r>
              <w:rPr>
                <w:sz w:val="17"/>
              </w:rPr>
              <w:t>0.00</w:t>
            </w:r>
          </w:p>
        </w:tc>
        <w:tc>
          <w:tcPr>
            <w:tcW w:w="881" w:type="dxa"/>
          </w:tcPr>
          <w:p>
            <w:pPr>
              <w:pStyle w:val="TableParagraph"/>
              <w:spacing w:line="173" w:lineRule="exact" w:before="17"/>
              <w:ind w:left="116" w:right="95"/>
              <w:jc w:val="center"/>
              <w:rPr>
                <w:sz w:val="17"/>
              </w:rPr>
            </w:pPr>
            <w:r>
              <w:rPr>
                <w:sz w:val="17"/>
              </w:rPr>
              <w:t>0.18</w:t>
            </w:r>
          </w:p>
        </w:tc>
        <w:tc>
          <w:tcPr>
            <w:tcW w:w="865" w:type="dxa"/>
          </w:tcPr>
          <w:p>
            <w:pPr>
              <w:pStyle w:val="TableParagraph"/>
              <w:spacing w:line="173" w:lineRule="exact" w:before="17"/>
              <w:ind w:left="98" w:right="95"/>
              <w:jc w:val="center"/>
              <w:rPr>
                <w:sz w:val="17"/>
              </w:rPr>
            </w:pPr>
            <w:r>
              <w:rPr>
                <w:sz w:val="17"/>
              </w:rPr>
              <w:t>0.20</w:t>
            </w:r>
          </w:p>
        </w:tc>
      </w:tr>
      <w:tr>
        <w:trPr>
          <w:trHeight w:val="327" w:hRule="atLeast"/>
        </w:trPr>
        <w:tc>
          <w:tcPr>
            <w:tcW w:w="3244" w:type="dxa"/>
          </w:tcPr>
          <w:p>
            <w:pPr>
              <w:pStyle w:val="TableParagraph"/>
              <w:spacing w:line="157" w:lineRule="exact"/>
              <w:ind w:left="50"/>
              <w:jc w:val="left"/>
              <w:rPr>
                <w:sz w:val="17"/>
              </w:rPr>
            </w:pPr>
            <w:r>
              <w:rPr>
                <w:sz w:val="17"/>
              </w:rPr>
              <w:t>Aggiustamento richiesto modificato</w:t>
            </w:r>
            <w:r>
              <w:rPr>
                <w:spacing w:val="-11"/>
                <w:sz w:val="17"/>
              </w:rPr>
              <w:t> </w:t>
            </w:r>
            <w:r>
              <w:rPr>
                <w:sz w:val="17"/>
              </w:rPr>
              <w:t>per</w:t>
            </w:r>
          </w:p>
          <w:p>
            <w:pPr>
              <w:pStyle w:val="TableParagraph"/>
              <w:spacing w:line="150" w:lineRule="exact"/>
              <w:ind w:left="50"/>
              <w:jc w:val="left"/>
              <w:rPr>
                <w:sz w:val="17"/>
              </w:rPr>
            </w:pPr>
            <w:r>
              <w:rPr>
                <w:sz w:val="17"/>
              </w:rPr>
              <w:t>le clausole di flessibilità e di eventi</w:t>
            </w:r>
            <w:r>
              <w:rPr>
                <w:spacing w:val="-13"/>
                <w:sz w:val="17"/>
              </w:rPr>
              <w:t> </w:t>
            </w:r>
            <w:r>
              <w:rPr>
                <w:sz w:val="17"/>
              </w:rPr>
              <w:t>non</w:t>
            </w:r>
          </w:p>
        </w:tc>
        <w:tc>
          <w:tcPr>
            <w:tcW w:w="1362" w:type="dxa"/>
          </w:tcPr>
          <w:p>
            <w:pPr>
              <w:pStyle w:val="TableParagraph"/>
              <w:jc w:val="left"/>
              <w:rPr>
                <w:rFonts w:ascii="Times New Roman"/>
                <w:sz w:val="16"/>
              </w:rPr>
            </w:pPr>
          </w:p>
        </w:tc>
        <w:tc>
          <w:tcPr>
            <w:tcW w:w="974" w:type="dxa"/>
          </w:tcPr>
          <w:p>
            <w:pPr>
              <w:pStyle w:val="TableParagraph"/>
              <w:jc w:val="left"/>
              <w:rPr>
                <w:rFonts w:ascii="Times New Roman"/>
                <w:sz w:val="16"/>
              </w:rPr>
            </w:pPr>
          </w:p>
        </w:tc>
        <w:tc>
          <w:tcPr>
            <w:tcW w:w="830" w:type="dxa"/>
          </w:tcPr>
          <w:p>
            <w:pPr>
              <w:pStyle w:val="TableParagraph"/>
              <w:jc w:val="left"/>
              <w:rPr>
                <w:rFonts w:ascii="Times New Roman"/>
                <w:sz w:val="16"/>
              </w:rPr>
            </w:pPr>
          </w:p>
        </w:tc>
        <w:tc>
          <w:tcPr>
            <w:tcW w:w="881" w:type="dxa"/>
          </w:tcPr>
          <w:p>
            <w:pPr>
              <w:pStyle w:val="TableParagraph"/>
              <w:jc w:val="left"/>
              <w:rPr>
                <w:rFonts w:ascii="Times New Roman"/>
                <w:sz w:val="16"/>
              </w:rPr>
            </w:pPr>
          </w:p>
        </w:tc>
        <w:tc>
          <w:tcPr>
            <w:tcW w:w="865" w:type="dxa"/>
          </w:tcPr>
          <w:p>
            <w:pPr>
              <w:pStyle w:val="TableParagraph"/>
              <w:jc w:val="left"/>
              <w:rPr>
                <w:rFonts w:ascii="Times New Roman"/>
                <w:sz w:val="16"/>
              </w:rPr>
            </w:pPr>
          </w:p>
        </w:tc>
      </w:tr>
      <w:tr>
        <w:trPr>
          <w:trHeight w:val="199" w:hRule="atLeast"/>
        </w:trPr>
        <w:tc>
          <w:tcPr>
            <w:tcW w:w="3244" w:type="dxa"/>
          </w:tcPr>
          <w:p>
            <w:pPr>
              <w:pStyle w:val="TableParagraph"/>
              <w:spacing w:line="190" w:lineRule="exact"/>
              <w:ind w:left="50"/>
              <w:jc w:val="left"/>
              <w:rPr>
                <w:sz w:val="17"/>
              </w:rPr>
            </w:pPr>
            <w:r>
              <w:rPr>
                <w:sz w:val="17"/>
              </w:rPr>
              <w:t>usuali (p.p. di PIL)</w:t>
            </w:r>
          </w:p>
        </w:tc>
        <w:tc>
          <w:tcPr>
            <w:tcW w:w="1362" w:type="dxa"/>
          </w:tcPr>
          <w:p>
            <w:pPr>
              <w:pStyle w:val="TableParagraph"/>
              <w:spacing w:line="190" w:lineRule="exact"/>
              <w:ind w:left="428"/>
              <w:jc w:val="left"/>
              <w:rPr>
                <w:sz w:val="17"/>
              </w:rPr>
            </w:pPr>
            <w:r>
              <w:rPr>
                <w:sz w:val="17"/>
              </w:rPr>
              <w:t>-0.58</w:t>
            </w:r>
          </w:p>
        </w:tc>
        <w:tc>
          <w:tcPr>
            <w:tcW w:w="974" w:type="dxa"/>
          </w:tcPr>
          <w:p>
            <w:pPr>
              <w:pStyle w:val="TableParagraph"/>
              <w:spacing w:line="190" w:lineRule="exact"/>
              <w:ind w:left="190" w:right="112"/>
              <w:jc w:val="center"/>
              <w:rPr>
                <w:sz w:val="17"/>
              </w:rPr>
            </w:pPr>
            <w:r>
              <w:rPr>
                <w:sz w:val="17"/>
              </w:rPr>
              <w:t>0.11</w:t>
            </w:r>
          </w:p>
        </w:tc>
        <w:tc>
          <w:tcPr>
            <w:tcW w:w="830" w:type="dxa"/>
          </w:tcPr>
          <w:p>
            <w:pPr>
              <w:pStyle w:val="TableParagraph"/>
              <w:spacing w:line="190" w:lineRule="exact"/>
              <w:ind w:left="113" w:right="111"/>
              <w:jc w:val="center"/>
              <w:rPr>
                <w:sz w:val="17"/>
              </w:rPr>
            </w:pPr>
            <w:r>
              <w:rPr>
                <w:sz w:val="17"/>
              </w:rPr>
              <w:t>0.60</w:t>
            </w:r>
          </w:p>
        </w:tc>
        <w:tc>
          <w:tcPr>
            <w:tcW w:w="881" w:type="dxa"/>
          </w:tcPr>
          <w:p>
            <w:pPr>
              <w:pStyle w:val="TableParagraph"/>
              <w:spacing w:line="190" w:lineRule="exact"/>
              <w:ind w:left="116" w:right="95"/>
              <w:jc w:val="center"/>
              <w:rPr>
                <w:sz w:val="17"/>
              </w:rPr>
            </w:pPr>
            <w:r>
              <w:rPr>
                <w:sz w:val="17"/>
              </w:rPr>
              <w:t>0.08</w:t>
            </w:r>
          </w:p>
        </w:tc>
        <w:tc>
          <w:tcPr>
            <w:tcW w:w="865" w:type="dxa"/>
          </w:tcPr>
          <w:p>
            <w:pPr>
              <w:pStyle w:val="TableParagraph"/>
              <w:spacing w:line="190" w:lineRule="exact"/>
              <w:ind w:left="98" w:right="95"/>
              <w:jc w:val="center"/>
              <w:rPr>
                <w:sz w:val="17"/>
              </w:rPr>
            </w:pPr>
            <w:r>
              <w:rPr>
                <w:sz w:val="17"/>
              </w:rPr>
              <w:t>0.30</w:t>
            </w:r>
          </w:p>
        </w:tc>
      </w:tr>
      <w:tr>
        <w:trPr>
          <w:trHeight w:val="206" w:hRule="atLeast"/>
        </w:trPr>
        <w:tc>
          <w:tcPr>
            <w:tcW w:w="3244" w:type="dxa"/>
            <w:tcBorders>
              <w:bottom w:val="single" w:sz="12" w:space="0" w:color="086D44"/>
            </w:tcBorders>
          </w:tcPr>
          <w:p>
            <w:pPr>
              <w:pStyle w:val="TableParagraph"/>
              <w:spacing w:line="169" w:lineRule="exact" w:before="17"/>
              <w:ind w:left="50"/>
              <w:jc w:val="left"/>
              <w:rPr>
                <w:sz w:val="17"/>
              </w:rPr>
            </w:pPr>
            <w:r>
              <w:rPr>
                <w:sz w:val="17"/>
              </w:rPr>
              <w:t>Margine di discrezionalità</w:t>
            </w:r>
          </w:p>
        </w:tc>
        <w:tc>
          <w:tcPr>
            <w:tcW w:w="1362" w:type="dxa"/>
            <w:tcBorders>
              <w:bottom w:val="single" w:sz="12" w:space="0" w:color="086D44"/>
            </w:tcBorders>
          </w:tcPr>
          <w:p>
            <w:pPr>
              <w:pStyle w:val="TableParagraph"/>
              <w:jc w:val="left"/>
              <w:rPr>
                <w:rFonts w:ascii="Times New Roman"/>
                <w:sz w:val="14"/>
              </w:rPr>
            </w:pPr>
          </w:p>
        </w:tc>
        <w:tc>
          <w:tcPr>
            <w:tcW w:w="974" w:type="dxa"/>
            <w:tcBorders>
              <w:bottom w:val="single" w:sz="12" w:space="0" w:color="086D44"/>
            </w:tcBorders>
          </w:tcPr>
          <w:p>
            <w:pPr>
              <w:pStyle w:val="TableParagraph"/>
              <w:jc w:val="left"/>
              <w:rPr>
                <w:rFonts w:ascii="Times New Roman"/>
                <w:sz w:val="14"/>
              </w:rPr>
            </w:pPr>
          </w:p>
        </w:tc>
        <w:tc>
          <w:tcPr>
            <w:tcW w:w="830" w:type="dxa"/>
            <w:tcBorders>
              <w:bottom w:val="single" w:sz="12" w:space="0" w:color="086D44"/>
            </w:tcBorders>
          </w:tcPr>
          <w:p>
            <w:pPr>
              <w:pStyle w:val="TableParagraph"/>
              <w:spacing w:line="169" w:lineRule="exact" w:before="17"/>
              <w:ind w:left="113" w:right="111"/>
              <w:jc w:val="center"/>
              <w:rPr>
                <w:sz w:val="17"/>
              </w:rPr>
            </w:pPr>
            <w:r>
              <w:rPr>
                <w:sz w:val="17"/>
              </w:rPr>
              <w:t>0.30</w:t>
            </w:r>
          </w:p>
        </w:tc>
        <w:tc>
          <w:tcPr>
            <w:tcW w:w="881" w:type="dxa"/>
            <w:tcBorders>
              <w:bottom w:val="single" w:sz="12" w:space="0" w:color="086D44"/>
            </w:tcBorders>
          </w:tcPr>
          <w:p>
            <w:pPr>
              <w:pStyle w:val="TableParagraph"/>
              <w:jc w:val="left"/>
              <w:rPr>
                <w:rFonts w:ascii="Times New Roman"/>
                <w:sz w:val="14"/>
              </w:rPr>
            </w:pPr>
          </w:p>
        </w:tc>
        <w:tc>
          <w:tcPr>
            <w:tcW w:w="865" w:type="dxa"/>
            <w:tcBorders>
              <w:bottom w:val="single" w:sz="12" w:space="0" w:color="086D44"/>
            </w:tcBorders>
          </w:tcPr>
          <w:p>
            <w:pPr>
              <w:pStyle w:val="TableParagraph"/>
              <w:jc w:val="left"/>
              <w:rPr>
                <w:rFonts w:ascii="Times New Roman"/>
                <w:sz w:val="14"/>
              </w:rPr>
            </w:pPr>
          </w:p>
        </w:tc>
      </w:tr>
    </w:tbl>
    <w:p>
      <w:pPr>
        <w:pStyle w:val="BodyText"/>
        <w:spacing w:before="6"/>
        <w:rPr>
          <w:rFonts w:ascii="Franklin Gothic Heavy"/>
          <w:b/>
          <w:sz w:val="24"/>
        </w:rPr>
      </w:pPr>
    </w:p>
    <w:p>
      <w:pPr>
        <w:tabs>
          <w:tab w:pos="9349" w:val="left" w:leader="none"/>
        </w:tabs>
        <w:spacing w:before="1"/>
        <w:ind w:left="1128" w:right="0" w:firstLine="0"/>
        <w:jc w:val="left"/>
        <w:rPr>
          <w:rFonts w:ascii="Franklin Gothic Heavy"/>
          <w:b/>
          <w:sz w:val="17"/>
        </w:rPr>
      </w:pPr>
      <w:r>
        <w:rPr>
          <w:rFonts w:ascii="Franklin Gothic Heavy"/>
          <w:b/>
          <w:color w:val="EFEFEF"/>
          <w:w w:val="100"/>
          <w:sz w:val="17"/>
          <w:shd w:fill="086D44" w:color="auto" w:val="clear"/>
        </w:rPr>
        <w:t> </w:t>
      </w:r>
      <w:r>
        <w:rPr>
          <w:rFonts w:ascii="Franklin Gothic Heavy"/>
          <w:b/>
          <w:color w:val="EFEFEF"/>
          <w:spacing w:val="13"/>
          <w:sz w:val="17"/>
          <w:shd w:fill="086D44" w:color="auto" w:val="clear"/>
        </w:rPr>
        <w:t> </w:t>
      </w:r>
      <w:r>
        <w:rPr>
          <w:rFonts w:ascii="Franklin Gothic Heavy"/>
          <w:b/>
          <w:color w:val="EFEFEF"/>
          <w:sz w:val="17"/>
          <w:shd w:fill="086D44" w:color="auto" w:val="clear"/>
        </w:rPr>
        <w:t>TAVOLA III.6: DEVIAZIONI</w:t>
      </w:r>
      <w:r>
        <w:rPr>
          <w:rFonts w:ascii="Franklin Gothic Heavy"/>
          <w:b/>
          <w:color w:val="EFEFEF"/>
          <w:spacing w:val="-12"/>
          <w:sz w:val="17"/>
          <w:shd w:fill="086D44" w:color="auto" w:val="clear"/>
        </w:rPr>
        <w:t> </w:t>
      </w:r>
      <w:r>
        <w:rPr>
          <w:rFonts w:ascii="Franklin Gothic Heavy"/>
          <w:b/>
          <w:color w:val="EFEFEF"/>
          <w:sz w:val="17"/>
          <w:shd w:fill="086D44" w:color="auto" w:val="clear"/>
        </w:rPr>
        <w:t>SIGNIFICATIVE</w:t>
        <w:tab/>
      </w:r>
    </w:p>
    <w:p>
      <w:pPr>
        <w:spacing w:after="0"/>
        <w:jc w:val="left"/>
        <w:rPr>
          <w:rFonts w:ascii="Franklin Gothic Heavy"/>
          <w:sz w:val="17"/>
        </w:rPr>
        <w:sectPr>
          <w:pgSz w:w="11910" w:h="16840"/>
          <w:pgMar w:header="838" w:footer="866" w:top="1100" w:bottom="1060" w:left="1140" w:right="0"/>
        </w:sectPr>
      </w:pPr>
    </w:p>
    <w:p>
      <w:pPr>
        <w:spacing w:before="102"/>
        <w:ind w:left="1198" w:right="0" w:firstLine="0"/>
        <w:jc w:val="left"/>
        <w:rPr>
          <w:rFonts w:ascii="Franklin Gothic Book"/>
          <w:sz w:val="17"/>
        </w:rPr>
      </w:pPr>
      <w:r>
        <w:rPr/>
        <w:pict>
          <v:shape style="position:absolute;margin-left:113.419998pt;margin-top:14.690275pt;width:411.2pt;height:153.2pt;mso-position-horizontal-relative:page;mso-position-vertical-relative:paragraph;z-index:2518312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74"/>
                    <w:gridCol w:w="761"/>
                    <w:gridCol w:w="801"/>
                    <w:gridCol w:w="733"/>
                    <w:gridCol w:w="1487"/>
                    <w:gridCol w:w="1370"/>
                  </w:tblGrid>
                  <w:tr>
                    <w:trPr>
                      <w:trHeight w:val="256" w:hRule="atLeast"/>
                    </w:trPr>
                    <w:tc>
                      <w:tcPr>
                        <w:tcW w:w="3074" w:type="dxa"/>
                        <w:tcBorders>
                          <w:bottom w:val="single" w:sz="2" w:space="0" w:color="000000"/>
                        </w:tcBorders>
                      </w:tcPr>
                      <w:p>
                        <w:pPr>
                          <w:pStyle w:val="TableParagraph"/>
                          <w:spacing w:line="178" w:lineRule="exact"/>
                          <w:ind w:left="69"/>
                          <w:jc w:val="left"/>
                          <w:rPr>
                            <w:sz w:val="17"/>
                          </w:rPr>
                        </w:pPr>
                        <w:r>
                          <w:rPr>
                            <w:sz w:val="17"/>
                          </w:rPr>
                          <w:t>l'OMT</w:t>
                        </w:r>
                      </w:p>
                    </w:tc>
                    <w:tc>
                      <w:tcPr>
                        <w:tcW w:w="761" w:type="dxa"/>
                        <w:tcBorders>
                          <w:bottom w:val="single" w:sz="2" w:space="0" w:color="000000"/>
                        </w:tcBorders>
                      </w:tcPr>
                      <w:p>
                        <w:pPr>
                          <w:pStyle w:val="TableParagraph"/>
                          <w:jc w:val="left"/>
                          <w:rPr>
                            <w:rFonts w:ascii="Times New Roman"/>
                            <w:sz w:val="16"/>
                          </w:rPr>
                        </w:pPr>
                      </w:p>
                    </w:tc>
                    <w:tc>
                      <w:tcPr>
                        <w:tcW w:w="801" w:type="dxa"/>
                        <w:tcBorders>
                          <w:bottom w:val="single" w:sz="2" w:space="0" w:color="000000"/>
                        </w:tcBorders>
                      </w:tcPr>
                      <w:p>
                        <w:pPr>
                          <w:pStyle w:val="TableParagraph"/>
                          <w:jc w:val="left"/>
                          <w:rPr>
                            <w:rFonts w:ascii="Times New Roman"/>
                            <w:sz w:val="16"/>
                          </w:rPr>
                        </w:pPr>
                      </w:p>
                    </w:tc>
                    <w:tc>
                      <w:tcPr>
                        <w:tcW w:w="733" w:type="dxa"/>
                        <w:tcBorders>
                          <w:bottom w:val="single" w:sz="2" w:space="0" w:color="000000"/>
                        </w:tcBorders>
                      </w:tcPr>
                      <w:p>
                        <w:pPr>
                          <w:pStyle w:val="TableParagraph"/>
                          <w:jc w:val="left"/>
                          <w:rPr>
                            <w:rFonts w:ascii="Times New Roman"/>
                            <w:sz w:val="16"/>
                          </w:rPr>
                        </w:pPr>
                      </w:p>
                    </w:tc>
                    <w:tc>
                      <w:tcPr>
                        <w:tcW w:w="1487" w:type="dxa"/>
                        <w:tcBorders>
                          <w:top w:val="single" w:sz="2" w:space="0" w:color="000000"/>
                          <w:bottom w:val="single" w:sz="2" w:space="0" w:color="000000"/>
                        </w:tcBorders>
                      </w:tcPr>
                      <w:p>
                        <w:pPr>
                          <w:pStyle w:val="TableParagraph"/>
                          <w:spacing w:before="17"/>
                          <w:ind w:left="112" w:right="175"/>
                          <w:jc w:val="center"/>
                          <w:rPr>
                            <w:sz w:val="18"/>
                          </w:rPr>
                        </w:pPr>
                        <w:r>
                          <w:rPr>
                            <w:sz w:val="18"/>
                          </w:rPr>
                          <w:t>Programmatico</w:t>
                        </w:r>
                      </w:p>
                    </w:tc>
                    <w:tc>
                      <w:tcPr>
                        <w:tcW w:w="1370" w:type="dxa"/>
                        <w:tcBorders>
                          <w:top w:val="single" w:sz="2" w:space="0" w:color="000000"/>
                          <w:bottom w:val="single" w:sz="2" w:space="0" w:color="000000"/>
                        </w:tcBorders>
                      </w:tcPr>
                      <w:p>
                        <w:pPr>
                          <w:pStyle w:val="TableParagraph"/>
                          <w:spacing w:before="17"/>
                          <w:ind w:left="174" w:right="241"/>
                          <w:jc w:val="center"/>
                          <w:rPr>
                            <w:sz w:val="18"/>
                          </w:rPr>
                        </w:pPr>
                        <w:r>
                          <w:rPr>
                            <w:sz w:val="18"/>
                          </w:rPr>
                          <w:t>Tendenziale</w:t>
                        </w:r>
                      </w:p>
                    </w:tc>
                  </w:tr>
                  <w:tr>
                    <w:trPr>
                      <w:trHeight w:val="269" w:hRule="atLeast"/>
                    </w:trPr>
                    <w:tc>
                      <w:tcPr>
                        <w:tcW w:w="3074" w:type="dxa"/>
                        <w:tcBorders>
                          <w:top w:val="single" w:sz="2" w:space="0" w:color="000000"/>
                        </w:tcBorders>
                      </w:tcPr>
                      <w:p>
                        <w:pPr>
                          <w:pStyle w:val="TableParagraph"/>
                          <w:spacing w:before="45"/>
                          <w:ind w:left="69"/>
                          <w:jc w:val="left"/>
                          <w:rPr>
                            <w:sz w:val="17"/>
                          </w:rPr>
                        </w:pPr>
                        <w:r>
                          <w:rPr>
                            <w:sz w:val="17"/>
                          </w:rPr>
                          <w:t>Indebitamento netto</w:t>
                        </w:r>
                      </w:p>
                    </w:tc>
                    <w:tc>
                      <w:tcPr>
                        <w:tcW w:w="761" w:type="dxa"/>
                        <w:tcBorders>
                          <w:top w:val="single" w:sz="2" w:space="0" w:color="000000"/>
                        </w:tcBorders>
                      </w:tcPr>
                      <w:p>
                        <w:pPr>
                          <w:pStyle w:val="TableParagraph"/>
                          <w:spacing w:before="45"/>
                          <w:ind w:left="149"/>
                          <w:jc w:val="left"/>
                          <w:rPr>
                            <w:sz w:val="17"/>
                          </w:rPr>
                        </w:pPr>
                        <w:r>
                          <w:rPr>
                            <w:sz w:val="17"/>
                          </w:rPr>
                          <w:t>-2,42</w:t>
                        </w:r>
                      </w:p>
                    </w:tc>
                    <w:tc>
                      <w:tcPr>
                        <w:tcW w:w="801" w:type="dxa"/>
                        <w:tcBorders>
                          <w:top w:val="single" w:sz="2" w:space="0" w:color="000000"/>
                        </w:tcBorders>
                      </w:tcPr>
                      <w:p>
                        <w:pPr>
                          <w:pStyle w:val="TableParagraph"/>
                          <w:spacing w:before="45"/>
                          <w:ind w:right="189"/>
                          <w:rPr>
                            <w:sz w:val="17"/>
                          </w:rPr>
                        </w:pPr>
                        <w:r>
                          <w:rPr>
                            <w:sz w:val="17"/>
                          </w:rPr>
                          <w:t>-2,18</w:t>
                        </w:r>
                      </w:p>
                    </w:tc>
                    <w:tc>
                      <w:tcPr>
                        <w:tcW w:w="733" w:type="dxa"/>
                        <w:tcBorders>
                          <w:top w:val="single" w:sz="2" w:space="0" w:color="000000"/>
                        </w:tcBorders>
                      </w:tcPr>
                      <w:p>
                        <w:pPr>
                          <w:pStyle w:val="TableParagraph"/>
                          <w:spacing w:before="45"/>
                          <w:ind w:right="156"/>
                          <w:rPr>
                            <w:sz w:val="17"/>
                          </w:rPr>
                        </w:pPr>
                        <w:r>
                          <w:rPr>
                            <w:sz w:val="17"/>
                          </w:rPr>
                          <w:t>-2,17</w:t>
                        </w:r>
                      </w:p>
                    </w:tc>
                    <w:tc>
                      <w:tcPr>
                        <w:tcW w:w="1487" w:type="dxa"/>
                        <w:tcBorders>
                          <w:top w:val="single" w:sz="2" w:space="0" w:color="000000"/>
                        </w:tcBorders>
                      </w:tcPr>
                      <w:p>
                        <w:pPr>
                          <w:pStyle w:val="TableParagraph"/>
                          <w:spacing w:before="45"/>
                          <w:ind w:left="112" w:right="173"/>
                          <w:jc w:val="center"/>
                          <w:rPr>
                            <w:sz w:val="17"/>
                          </w:rPr>
                        </w:pPr>
                        <w:r>
                          <w:rPr>
                            <w:sz w:val="17"/>
                          </w:rPr>
                          <w:t>-2,17</w:t>
                        </w:r>
                      </w:p>
                    </w:tc>
                    <w:tc>
                      <w:tcPr>
                        <w:tcW w:w="1370" w:type="dxa"/>
                        <w:tcBorders>
                          <w:top w:val="single" w:sz="2" w:space="0" w:color="000000"/>
                        </w:tcBorders>
                      </w:tcPr>
                      <w:p>
                        <w:pPr>
                          <w:pStyle w:val="TableParagraph"/>
                          <w:spacing w:before="45"/>
                          <w:ind w:left="174" w:right="239"/>
                          <w:jc w:val="center"/>
                          <w:rPr>
                            <w:sz w:val="17"/>
                          </w:rPr>
                        </w:pPr>
                        <w:r>
                          <w:rPr>
                            <w:sz w:val="17"/>
                          </w:rPr>
                          <w:t>-1,35</w:t>
                        </w:r>
                      </w:p>
                    </w:tc>
                  </w:tr>
                  <w:tr>
                    <w:trPr>
                      <w:trHeight w:val="254" w:hRule="atLeast"/>
                    </w:trPr>
                    <w:tc>
                      <w:tcPr>
                        <w:tcW w:w="3074" w:type="dxa"/>
                      </w:tcPr>
                      <w:p>
                        <w:pPr>
                          <w:pStyle w:val="TableParagraph"/>
                          <w:spacing w:before="31"/>
                          <w:ind w:left="69"/>
                          <w:jc w:val="left"/>
                          <w:rPr>
                            <w:sz w:val="17"/>
                          </w:rPr>
                        </w:pPr>
                        <w:r>
                          <w:rPr>
                            <w:sz w:val="17"/>
                          </w:rPr>
                          <w:t>Obiettivo di Medio Termine (MTO)</w:t>
                        </w:r>
                      </w:p>
                    </w:tc>
                    <w:tc>
                      <w:tcPr>
                        <w:tcW w:w="761" w:type="dxa"/>
                      </w:tcPr>
                      <w:p>
                        <w:pPr>
                          <w:pStyle w:val="TableParagraph"/>
                          <w:spacing w:before="31"/>
                          <w:ind w:left="171"/>
                          <w:jc w:val="left"/>
                          <w:rPr>
                            <w:sz w:val="17"/>
                          </w:rPr>
                        </w:pPr>
                        <w:r>
                          <w:rPr>
                            <w:sz w:val="17"/>
                          </w:rPr>
                          <w:t>0,00</w:t>
                        </w:r>
                      </w:p>
                    </w:tc>
                    <w:tc>
                      <w:tcPr>
                        <w:tcW w:w="801" w:type="dxa"/>
                      </w:tcPr>
                      <w:p>
                        <w:pPr>
                          <w:pStyle w:val="TableParagraph"/>
                          <w:spacing w:before="31"/>
                          <w:ind w:right="210"/>
                          <w:rPr>
                            <w:sz w:val="17"/>
                          </w:rPr>
                        </w:pPr>
                        <w:r>
                          <w:rPr>
                            <w:sz w:val="17"/>
                          </w:rPr>
                          <w:t>0,00</w:t>
                        </w:r>
                      </w:p>
                    </w:tc>
                    <w:tc>
                      <w:tcPr>
                        <w:tcW w:w="733" w:type="dxa"/>
                      </w:tcPr>
                      <w:p>
                        <w:pPr>
                          <w:pStyle w:val="TableParagraph"/>
                          <w:spacing w:before="31"/>
                          <w:ind w:right="178"/>
                          <w:rPr>
                            <w:sz w:val="17"/>
                          </w:rPr>
                        </w:pPr>
                        <w:r>
                          <w:rPr>
                            <w:sz w:val="17"/>
                          </w:rPr>
                          <w:t>0,00</w:t>
                        </w:r>
                      </w:p>
                    </w:tc>
                    <w:tc>
                      <w:tcPr>
                        <w:tcW w:w="1487" w:type="dxa"/>
                      </w:tcPr>
                      <w:p>
                        <w:pPr>
                          <w:pStyle w:val="TableParagraph"/>
                          <w:spacing w:before="31"/>
                          <w:ind w:left="112" w:right="173"/>
                          <w:jc w:val="center"/>
                          <w:rPr>
                            <w:sz w:val="17"/>
                          </w:rPr>
                        </w:pPr>
                        <w:r>
                          <w:rPr>
                            <w:sz w:val="17"/>
                          </w:rPr>
                          <w:t>0,50</w:t>
                        </w:r>
                      </w:p>
                    </w:tc>
                    <w:tc>
                      <w:tcPr>
                        <w:tcW w:w="1370" w:type="dxa"/>
                      </w:tcPr>
                      <w:p>
                        <w:pPr>
                          <w:pStyle w:val="TableParagraph"/>
                          <w:spacing w:before="31"/>
                          <w:ind w:left="174" w:right="239"/>
                          <w:jc w:val="center"/>
                          <w:rPr>
                            <w:sz w:val="17"/>
                          </w:rPr>
                        </w:pPr>
                        <w:r>
                          <w:rPr>
                            <w:sz w:val="17"/>
                          </w:rPr>
                          <w:t>0,50</w:t>
                        </w:r>
                      </w:p>
                    </w:tc>
                  </w:tr>
                  <w:tr>
                    <w:trPr>
                      <w:trHeight w:val="254" w:hRule="atLeast"/>
                    </w:trPr>
                    <w:tc>
                      <w:tcPr>
                        <w:tcW w:w="3074" w:type="dxa"/>
                      </w:tcPr>
                      <w:p>
                        <w:pPr>
                          <w:pStyle w:val="TableParagraph"/>
                          <w:spacing w:before="31"/>
                          <w:ind w:left="69"/>
                          <w:jc w:val="left"/>
                          <w:rPr>
                            <w:sz w:val="17"/>
                          </w:rPr>
                        </w:pPr>
                        <w:r>
                          <w:rPr>
                            <w:sz w:val="17"/>
                          </w:rPr>
                          <w:t>Saldo Strutturale</w:t>
                        </w:r>
                      </w:p>
                    </w:tc>
                    <w:tc>
                      <w:tcPr>
                        <w:tcW w:w="761" w:type="dxa"/>
                      </w:tcPr>
                      <w:p>
                        <w:pPr>
                          <w:pStyle w:val="TableParagraph"/>
                          <w:spacing w:before="31"/>
                          <w:ind w:left="149"/>
                          <w:jc w:val="left"/>
                          <w:rPr>
                            <w:sz w:val="17"/>
                          </w:rPr>
                        </w:pPr>
                        <w:r>
                          <w:rPr>
                            <w:sz w:val="17"/>
                          </w:rPr>
                          <w:t>-1,40</w:t>
                        </w:r>
                      </w:p>
                    </w:tc>
                    <w:tc>
                      <w:tcPr>
                        <w:tcW w:w="801" w:type="dxa"/>
                      </w:tcPr>
                      <w:p>
                        <w:pPr>
                          <w:pStyle w:val="TableParagraph"/>
                          <w:spacing w:before="31"/>
                          <w:ind w:right="189"/>
                          <w:rPr>
                            <w:sz w:val="17"/>
                          </w:rPr>
                        </w:pPr>
                        <w:r>
                          <w:rPr>
                            <w:sz w:val="17"/>
                          </w:rPr>
                          <w:t>-1,53</w:t>
                        </w:r>
                      </w:p>
                    </w:tc>
                    <w:tc>
                      <w:tcPr>
                        <w:tcW w:w="733" w:type="dxa"/>
                      </w:tcPr>
                      <w:p>
                        <w:pPr>
                          <w:pStyle w:val="TableParagraph"/>
                          <w:spacing w:before="31"/>
                          <w:ind w:right="156"/>
                          <w:rPr>
                            <w:sz w:val="17"/>
                          </w:rPr>
                        </w:pPr>
                        <w:r>
                          <w:rPr>
                            <w:sz w:val="17"/>
                          </w:rPr>
                          <w:t>-1,24</w:t>
                        </w:r>
                      </w:p>
                    </w:tc>
                    <w:tc>
                      <w:tcPr>
                        <w:tcW w:w="1487" w:type="dxa"/>
                      </w:tcPr>
                      <w:p>
                        <w:pPr>
                          <w:pStyle w:val="TableParagraph"/>
                          <w:spacing w:before="31"/>
                          <w:ind w:left="112" w:right="173"/>
                          <w:jc w:val="center"/>
                          <w:rPr>
                            <w:sz w:val="17"/>
                          </w:rPr>
                        </w:pPr>
                        <w:r>
                          <w:rPr>
                            <w:sz w:val="17"/>
                          </w:rPr>
                          <w:t>-1,37</w:t>
                        </w:r>
                      </w:p>
                    </w:tc>
                    <w:tc>
                      <w:tcPr>
                        <w:tcW w:w="1370" w:type="dxa"/>
                      </w:tcPr>
                      <w:p>
                        <w:pPr>
                          <w:pStyle w:val="TableParagraph"/>
                          <w:spacing w:before="31"/>
                          <w:ind w:left="174" w:right="239"/>
                          <w:jc w:val="center"/>
                          <w:rPr>
                            <w:sz w:val="17"/>
                          </w:rPr>
                        </w:pPr>
                        <w:r>
                          <w:rPr>
                            <w:sz w:val="17"/>
                          </w:rPr>
                          <w:t>-0,47</w:t>
                        </w:r>
                      </w:p>
                    </w:tc>
                  </w:tr>
                  <w:tr>
                    <w:trPr>
                      <w:trHeight w:val="224" w:hRule="atLeast"/>
                    </w:trPr>
                    <w:tc>
                      <w:tcPr>
                        <w:tcW w:w="3074" w:type="dxa"/>
                      </w:tcPr>
                      <w:p>
                        <w:pPr>
                          <w:pStyle w:val="TableParagraph"/>
                          <w:spacing w:line="173" w:lineRule="exact" w:before="31"/>
                          <w:ind w:left="69"/>
                          <w:jc w:val="left"/>
                          <w:rPr>
                            <w:sz w:val="17"/>
                          </w:rPr>
                        </w:pPr>
                        <w:r>
                          <w:rPr>
                            <w:sz w:val="17"/>
                          </w:rPr>
                          <w:t>Variazione annuale del saldo strutturale</w:t>
                        </w:r>
                      </w:p>
                    </w:tc>
                    <w:tc>
                      <w:tcPr>
                        <w:tcW w:w="761" w:type="dxa"/>
                      </w:tcPr>
                      <w:p>
                        <w:pPr>
                          <w:pStyle w:val="TableParagraph"/>
                          <w:spacing w:line="173" w:lineRule="exact" w:before="31"/>
                          <w:ind w:left="149"/>
                          <w:jc w:val="left"/>
                          <w:rPr>
                            <w:sz w:val="17"/>
                          </w:rPr>
                        </w:pPr>
                        <w:r>
                          <w:rPr>
                            <w:sz w:val="17"/>
                          </w:rPr>
                          <w:t>-0,26</w:t>
                        </w:r>
                      </w:p>
                    </w:tc>
                    <w:tc>
                      <w:tcPr>
                        <w:tcW w:w="801" w:type="dxa"/>
                      </w:tcPr>
                      <w:p>
                        <w:pPr>
                          <w:pStyle w:val="TableParagraph"/>
                          <w:spacing w:line="173" w:lineRule="exact" w:before="31"/>
                          <w:ind w:right="189"/>
                          <w:rPr>
                            <w:sz w:val="17"/>
                          </w:rPr>
                        </w:pPr>
                        <w:r>
                          <w:rPr>
                            <w:sz w:val="17"/>
                          </w:rPr>
                          <w:t>-0,12</w:t>
                        </w:r>
                      </w:p>
                    </w:tc>
                    <w:tc>
                      <w:tcPr>
                        <w:tcW w:w="733" w:type="dxa"/>
                      </w:tcPr>
                      <w:p>
                        <w:pPr>
                          <w:pStyle w:val="TableParagraph"/>
                          <w:spacing w:line="173" w:lineRule="exact" w:before="31"/>
                          <w:ind w:right="178"/>
                          <w:rPr>
                            <w:sz w:val="17"/>
                          </w:rPr>
                        </w:pPr>
                        <w:r>
                          <w:rPr>
                            <w:sz w:val="17"/>
                          </w:rPr>
                          <w:t>0,29</w:t>
                        </w:r>
                      </w:p>
                    </w:tc>
                    <w:tc>
                      <w:tcPr>
                        <w:tcW w:w="1487" w:type="dxa"/>
                      </w:tcPr>
                      <w:p>
                        <w:pPr>
                          <w:pStyle w:val="TableParagraph"/>
                          <w:spacing w:line="173" w:lineRule="exact" w:before="31"/>
                          <w:ind w:left="112" w:right="173"/>
                          <w:jc w:val="center"/>
                          <w:rPr>
                            <w:sz w:val="17"/>
                          </w:rPr>
                        </w:pPr>
                        <w:r>
                          <w:rPr>
                            <w:sz w:val="17"/>
                          </w:rPr>
                          <w:t>-0,13</w:t>
                        </w:r>
                      </w:p>
                    </w:tc>
                    <w:tc>
                      <w:tcPr>
                        <w:tcW w:w="1370" w:type="dxa"/>
                      </w:tcPr>
                      <w:p>
                        <w:pPr>
                          <w:pStyle w:val="TableParagraph"/>
                          <w:spacing w:line="173" w:lineRule="exact" w:before="31"/>
                          <w:ind w:left="174" w:right="239"/>
                          <w:jc w:val="center"/>
                          <w:rPr>
                            <w:sz w:val="17"/>
                          </w:rPr>
                        </w:pPr>
                        <w:r>
                          <w:rPr>
                            <w:sz w:val="17"/>
                          </w:rPr>
                          <w:t>0,76</w:t>
                        </w:r>
                      </w:p>
                    </w:tc>
                  </w:tr>
                  <w:tr>
                    <w:trPr>
                      <w:trHeight w:val="385" w:hRule="atLeast"/>
                    </w:trPr>
                    <w:tc>
                      <w:tcPr>
                        <w:tcW w:w="3074" w:type="dxa"/>
                      </w:tcPr>
                      <w:p>
                        <w:pPr>
                          <w:pStyle w:val="TableParagraph"/>
                          <w:spacing w:line="192" w:lineRule="exact" w:before="3"/>
                          <w:ind w:left="69" w:right="890"/>
                          <w:jc w:val="left"/>
                          <w:rPr>
                            <w:sz w:val="17"/>
                          </w:rPr>
                        </w:pPr>
                        <w:r>
                          <w:rPr>
                            <w:sz w:val="17"/>
                          </w:rPr>
                          <w:t>Variazione richiesta del saldo strutturale</w:t>
                        </w:r>
                      </w:p>
                    </w:tc>
                    <w:tc>
                      <w:tcPr>
                        <w:tcW w:w="761" w:type="dxa"/>
                      </w:tcPr>
                      <w:p>
                        <w:pPr>
                          <w:pStyle w:val="TableParagraph"/>
                          <w:jc w:val="left"/>
                          <w:rPr>
                            <w:sz w:val="17"/>
                          </w:rPr>
                        </w:pPr>
                      </w:p>
                      <w:p>
                        <w:pPr>
                          <w:pStyle w:val="TableParagraph"/>
                          <w:spacing w:line="172" w:lineRule="exact"/>
                          <w:ind w:left="171"/>
                          <w:jc w:val="left"/>
                          <w:rPr>
                            <w:sz w:val="17"/>
                          </w:rPr>
                        </w:pPr>
                        <w:r>
                          <w:rPr>
                            <w:sz w:val="17"/>
                          </w:rPr>
                          <w:t>0,11</w:t>
                        </w:r>
                      </w:p>
                    </w:tc>
                    <w:tc>
                      <w:tcPr>
                        <w:tcW w:w="801" w:type="dxa"/>
                      </w:tcPr>
                      <w:p>
                        <w:pPr>
                          <w:pStyle w:val="TableParagraph"/>
                          <w:jc w:val="left"/>
                          <w:rPr>
                            <w:sz w:val="17"/>
                          </w:rPr>
                        </w:pPr>
                      </w:p>
                      <w:p>
                        <w:pPr>
                          <w:pStyle w:val="TableParagraph"/>
                          <w:spacing w:line="172" w:lineRule="exact"/>
                          <w:ind w:right="210"/>
                          <w:rPr>
                            <w:sz w:val="17"/>
                          </w:rPr>
                        </w:pPr>
                        <w:r>
                          <w:rPr>
                            <w:sz w:val="17"/>
                          </w:rPr>
                          <w:t>0,30</w:t>
                        </w:r>
                      </w:p>
                    </w:tc>
                    <w:tc>
                      <w:tcPr>
                        <w:tcW w:w="733" w:type="dxa"/>
                      </w:tcPr>
                      <w:p>
                        <w:pPr>
                          <w:pStyle w:val="TableParagraph"/>
                          <w:jc w:val="left"/>
                          <w:rPr>
                            <w:sz w:val="17"/>
                          </w:rPr>
                        </w:pPr>
                      </w:p>
                      <w:p>
                        <w:pPr>
                          <w:pStyle w:val="TableParagraph"/>
                          <w:spacing w:line="172" w:lineRule="exact"/>
                          <w:ind w:right="178"/>
                          <w:rPr>
                            <w:sz w:val="17"/>
                          </w:rPr>
                        </w:pPr>
                        <w:r>
                          <w:rPr>
                            <w:sz w:val="17"/>
                          </w:rPr>
                          <w:t>0,08</w:t>
                        </w:r>
                      </w:p>
                    </w:tc>
                    <w:tc>
                      <w:tcPr>
                        <w:tcW w:w="1487" w:type="dxa"/>
                      </w:tcPr>
                      <w:p>
                        <w:pPr>
                          <w:pStyle w:val="TableParagraph"/>
                          <w:jc w:val="left"/>
                          <w:rPr>
                            <w:sz w:val="17"/>
                          </w:rPr>
                        </w:pPr>
                      </w:p>
                      <w:p>
                        <w:pPr>
                          <w:pStyle w:val="TableParagraph"/>
                          <w:spacing w:line="172" w:lineRule="exact"/>
                          <w:ind w:left="112" w:right="173"/>
                          <w:jc w:val="center"/>
                          <w:rPr>
                            <w:sz w:val="17"/>
                          </w:rPr>
                        </w:pPr>
                        <w:r>
                          <w:rPr>
                            <w:sz w:val="17"/>
                          </w:rPr>
                          <w:t>0,30</w:t>
                        </w:r>
                      </w:p>
                    </w:tc>
                    <w:tc>
                      <w:tcPr>
                        <w:tcW w:w="1370" w:type="dxa"/>
                      </w:tcPr>
                      <w:p>
                        <w:pPr>
                          <w:pStyle w:val="TableParagraph"/>
                          <w:jc w:val="left"/>
                          <w:rPr>
                            <w:sz w:val="17"/>
                          </w:rPr>
                        </w:pPr>
                      </w:p>
                      <w:p>
                        <w:pPr>
                          <w:pStyle w:val="TableParagraph"/>
                          <w:spacing w:line="172" w:lineRule="exact"/>
                          <w:ind w:left="174" w:right="239"/>
                          <w:jc w:val="center"/>
                          <w:rPr>
                            <w:sz w:val="17"/>
                          </w:rPr>
                        </w:pPr>
                        <w:r>
                          <w:rPr>
                            <w:sz w:val="17"/>
                          </w:rPr>
                          <w:t>0,25</w:t>
                        </w:r>
                      </w:p>
                    </w:tc>
                  </w:tr>
                  <w:tr>
                    <w:trPr>
                      <w:trHeight w:val="384" w:hRule="atLeast"/>
                    </w:trPr>
                    <w:tc>
                      <w:tcPr>
                        <w:tcW w:w="3074" w:type="dxa"/>
                      </w:tcPr>
                      <w:p>
                        <w:pPr>
                          <w:pStyle w:val="TableParagraph"/>
                          <w:spacing w:line="191" w:lineRule="exact"/>
                          <w:ind w:left="69"/>
                          <w:jc w:val="left"/>
                          <w:rPr>
                            <w:sz w:val="17"/>
                          </w:rPr>
                        </w:pPr>
                        <w:r>
                          <w:rPr>
                            <w:sz w:val="17"/>
                          </w:rPr>
                          <w:t>Deviazione del saldo strutturale dalla</w:t>
                        </w:r>
                      </w:p>
                      <w:p>
                        <w:pPr>
                          <w:pStyle w:val="TableParagraph"/>
                          <w:spacing w:line="172" w:lineRule="exact" w:before="1"/>
                          <w:ind w:left="69"/>
                          <w:jc w:val="left"/>
                          <w:rPr>
                            <w:sz w:val="17"/>
                          </w:rPr>
                        </w:pPr>
                        <w:r>
                          <w:rPr>
                            <w:sz w:val="17"/>
                          </w:rPr>
                          <w:t>variazione annuale richiesta (&lt;0,5 pp)</w:t>
                        </w:r>
                      </w:p>
                    </w:tc>
                    <w:tc>
                      <w:tcPr>
                        <w:tcW w:w="761" w:type="dxa"/>
                      </w:tcPr>
                      <w:p>
                        <w:pPr>
                          <w:pStyle w:val="TableParagraph"/>
                          <w:jc w:val="left"/>
                          <w:rPr>
                            <w:sz w:val="17"/>
                          </w:rPr>
                        </w:pPr>
                      </w:p>
                      <w:p>
                        <w:pPr>
                          <w:pStyle w:val="TableParagraph"/>
                          <w:spacing w:line="172" w:lineRule="exact"/>
                          <w:ind w:left="149"/>
                          <w:jc w:val="left"/>
                          <w:rPr>
                            <w:sz w:val="17"/>
                          </w:rPr>
                        </w:pPr>
                        <w:r>
                          <w:rPr>
                            <w:sz w:val="17"/>
                          </w:rPr>
                          <w:t>-0,47</w:t>
                        </w:r>
                      </w:p>
                    </w:tc>
                    <w:tc>
                      <w:tcPr>
                        <w:tcW w:w="801" w:type="dxa"/>
                      </w:tcPr>
                      <w:p>
                        <w:pPr>
                          <w:pStyle w:val="TableParagraph"/>
                          <w:jc w:val="left"/>
                          <w:rPr>
                            <w:sz w:val="17"/>
                          </w:rPr>
                        </w:pPr>
                      </w:p>
                      <w:p>
                        <w:pPr>
                          <w:pStyle w:val="TableParagraph"/>
                          <w:spacing w:line="172" w:lineRule="exact"/>
                          <w:ind w:right="189"/>
                          <w:rPr>
                            <w:sz w:val="17"/>
                          </w:rPr>
                        </w:pPr>
                        <w:r>
                          <w:rPr>
                            <w:sz w:val="17"/>
                          </w:rPr>
                          <w:t>-0,42</w:t>
                        </w:r>
                      </w:p>
                    </w:tc>
                    <w:tc>
                      <w:tcPr>
                        <w:tcW w:w="733" w:type="dxa"/>
                      </w:tcPr>
                      <w:p>
                        <w:pPr>
                          <w:pStyle w:val="TableParagraph"/>
                          <w:jc w:val="left"/>
                          <w:rPr>
                            <w:sz w:val="17"/>
                          </w:rPr>
                        </w:pPr>
                      </w:p>
                      <w:p>
                        <w:pPr>
                          <w:pStyle w:val="TableParagraph"/>
                          <w:spacing w:line="172" w:lineRule="exact"/>
                          <w:ind w:right="178"/>
                          <w:rPr>
                            <w:sz w:val="17"/>
                          </w:rPr>
                        </w:pPr>
                        <w:r>
                          <w:rPr>
                            <w:sz w:val="17"/>
                          </w:rPr>
                          <w:t>0,22</w:t>
                        </w:r>
                      </w:p>
                    </w:tc>
                    <w:tc>
                      <w:tcPr>
                        <w:tcW w:w="1487" w:type="dxa"/>
                      </w:tcPr>
                      <w:p>
                        <w:pPr>
                          <w:pStyle w:val="TableParagraph"/>
                          <w:jc w:val="left"/>
                          <w:rPr>
                            <w:sz w:val="17"/>
                          </w:rPr>
                        </w:pPr>
                      </w:p>
                      <w:p>
                        <w:pPr>
                          <w:pStyle w:val="TableParagraph"/>
                          <w:spacing w:line="172" w:lineRule="exact"/>
                          <w:ind w:left="112" w:right="173"/>
                          <w:jc w:val="center"/>
                          <w:rPr>
                            <w:sz w:val="17"/>
                          </w:rPr>
                        </w:pPr>
                        <w:r>
                          <w:rPr>
                            <w:sz w:val="17"/>
                          </w:rPr>
                          <w:t>-0,43</w:t>
                        </w:r>
                      </w:p>
                    </w:tc>
                    <w:tc>
                      <w:tcPr>
                        <w:tcW w:w="1370" w:type="dxa"/>
                      </w:tcPr>
                      <w:p>
                        <w:pPr>
                          <w:pStyle w:val="TableParagraph"/>
                          <w:jc w:val="left"/>
                          <w:rPr>
                            <w:sz w:val="17"/>
                          </w:rPr>
                        </w:pPr>
                      </w:p>
                      <w:p>
                        <w:pPr>
                          <w:pStyle w:val="TableParagraph"/>
                          <w:spacing w:line="172" w:lineRule="exact"/>
                          <w:ind w:left="174" w:right="239"/>
                          <w:jc w:val="center"/>
                          <w:rPr>
                            <w:sz w:val="17"/>
                          </w:rPr>
                        </w:pPr>
                        <w:r>
                          <w:rPr>
                            <w:sz w:val="17"/>
                          </w:rPr>
                          <w:t>0,51</w:t>
                        </w:r>
                      </w:p>
                    </w:tc>
                  </w:tr>
                  <w:tr>
                    <w:trPr>
                      <w:trHeight w:val="416" w:hRule="atLeast"/>
                    </w:trPr>
                    <w:tc>
                      <w:tcPr>
                        <w:tcW w:w="3074" w:type="dxa"/>
                      </w:tcPr>
                      <w:p>
                        <w:pPr>
                          <w:pStyle w:val="TableParagraph"/>
                          <w:ind w:left="69" w:right="265"/>
                          <w:jc w:val="left"/>
                          <w:rPr>
                            <w:sz w:val="17"/>
                          </w:rPr>
                        </w:pPr>
                        <w:r>
                          <w:rPr>
                            <w:sz w:val="17"/>
                          </w:rPr>
                          <w:t>Variazione media del saldo strutturale (su due anni)</w:t>
                        </w:r>
                      </w:p>
                    </w:tc>
                    <w:tc>
                      <w:tcPr>
                        <w:tcW w:w="761" w:type="dxa"/>
                      </w:tcPr>
                      <w:p>
                        <w:pPr>
                          <w:pStyle w:val="TableParagraph"/>
                          <w:spacing w:before="10"/>
                          <w:jc w:val="left"/>
                          <w:rPr>
                            <w:sz w:val="16"/>
                          </w:rPr>
                        </w:pPr>
                      </w:p>
                      <w:p>
                        <w:pPr>
                          <w:pStyle w:val="TableParagraph"/>
                          <w:ind w:left="149"/>
                          <w:jc w:val="left"/>
                          <w:rPr>
                            <w:sz w:val="17"/>
                          </w:rPr>
                        </w:pPr>
                        <w:r>
                          <w:rPr>
                            <w:sz w:val="17"/>
                          </w:rPr>
                          <w:t>-0,51</w:t>
                        </w:r>
                      </w:p>
                    </w:tc>
                    <w:tc>
                      <w:tcPr>
                        <w:tcW w:w="801" w:type="dxa"/>
                      </w:tcPr>
                      <w:p>
                        <w:pPr>
                          <w:pStyle w:val="TableParagraph"/>
                          <w:jc w:val="left"/>
                          <w:rPr>
                            <w:rFonts w:ascii="Times New Roman"/>
                            <w:sz w:val="16"/>
                          </w:rPr>
                        </w:pPr>
                      </w:p>
                    </w:tc>
                    <w:tc>
                      <w:tcPr>
                        <w:tcW w:w="733" w:type="dxa"/>
                      </w:tcPr>
                      <w:p>
                        <w:pPr>
                          <w:pStyle w:val="TableParagraph"/>
                          <w:spacing w:before="10"/>
                          <w:jc w:val="left"/>
                          <w:rPr>
                            <w:sz w:val="16"/>
                          </w:rPr>
                        </w:pPr>
                      </w:p>
                      <w:p>
                        <w:pPr>
                          <w:pStyle w:val="TableParagraph"/>
                          <w:ind w:right="178"/>
                          <w:rPr>
                            <w:sz w:val="17"/>
                          </w:rPr>
                        </w:pPr>
                        <w:r>
                          <w:rPr>
                            <w:sz w:val="17"/>
                          </w:rPr>
                          <w:t>0,08</w:t>
                        </w:r>
                      </w:p>
                    </w:tc>
                    <w:tc>
                      <w:tcPr>
                        <w:tcW w:w="1487" w:type="dxa"/>
                      </w:tcPr>
                      <w:p>
                        <w:pPr>
                          <w:pStyle w:val="TableParagraph"/>
                          <w:spacing w:before="10"/>
                          <w:jc w:val="left"/>
                          <w:rPr>
                            <w:sz w:val="16"/>
                          </w:rPr>
                        </w:pPr>
                      </w:p>
                      <w:p>
                        <w:pPr>
                          <w:pStyle w:val="TableParagraph"/>
                          <w:ind w:left="112" w:right="173"/>
                          <w:jc w:val="center"/>
                          <w:rPr>
                            <w:sz w:val="17"/>
                          </w:rPr>
                        </w:pPr>
                        <w:r>
                          <w:rPr>
                            <w:sz w:val="17"/>
                          </w:rPr>
                          <w:t>0,08</w:t>
                        </w:r>
                      </w:p>
                    </w:tc>
                    <w:tc>
                      <w:tcPr>
                        <w:tcW w:w="1370" w:type="dxa"/>
                      </w:tcPr>
                      <w:p>
                        <w:pPr>
                          <w:pStyle w:val="TableParagraph"/>
                          <w:spacing w:before="10"/>
                          <w:jc w:val="left"/>
                          <w:rPr>
                            <w:sz w:val="16"/>
                          </w:rPr>
                        </w:pPr>
                      </w:p>
                      <w:p>
                        <w:pPr>
                          <w:pStyle w:val="TableParagraph"/>
                          <w:ind w:left="174" w:right="239"/>
                          <w:jc w:val="center"/>
                          <w:rPr>
                            <w:sz w:val="17"/>
                          </w:rPr>
                        </w:pPr>
                        <w:r>
                          <w:rPr>
                            <w:sz w:val="17"/>
                          </w:rPr>
                          <w:t>0,53</w:t>
                        </w:r>
                      </w:p>
                    </w:tc>
                  </w:tr>
                  <w:tr>
                    <w:trPr>
                      <w:trHeight w:val="608" w:hRule="atLeast"/>
                    </w:trPr>
                    <w:tc>
                      <w:tcPr>
                        <w:tcW w:w="3074" w:type="dxa"/>
                      </w:tcPr>
                      <w:p>
                        <w:pPr>
                          <w:pStyle w:val="TableParagraph"/>
                          <w:spacing w:line="192" w:lineRule="exact" w:before="34"/>
                          <w:ind w:left="69" w:right="398"/>
                          <w:jc w:val="left"/>
                          <w:rPr>
                            <w:sz w:val="17"/>
                          </w:rPr>
                        </w:pPr>
                        <w:r>
                          <w:rPr>
                            <w:sz w:val="17"/>
                          </w:rPr>
                          <w:t>Variazione media richiesta </w:t>
                        </w:r>
                        <w:r>
                          <w:rPr>
                            <w:spacing w:val="-5"/>
                            <w:sz w:val="17"/>
                          </w:rPr>
                          <w:t>Deviazione </w:t>
                        </w:r>
                        <w:r>
                          <w:rPr>
                            <w:spacing w:val="-3"/>
                            <w:sz w:val="17"/>
                          </w:rPr>
                          <w:t>del </w:t>
                        </w:r>
                        <w:r>
                          <w:rPr>
                            <w:spacing w:val="-4"/>
                            <w:sz w:val="17"/>
                          </w:rPr>
                          <w:t>saldo strutturale dalla </w:t>
                        </w:r>
                        <w:r>
                          <w:rPr>
                            <w:spacing w:val="-5"/>
                            <w:sz w:val="17"/>
                          </w:rPr>
                          <w:t>variazione </w:t>
                        </w:r>
                        <w:r>
                          <w:rPr>
                            <w:spacing w:val="-4"/>
                            <w:sz w:val="17"/>
                          </w:rPr>
                          <w:t>media </w:t>
                        </w:r>
                        <w:r>
                          <w:rPr>
                            <w:spacing w:val="-5"/>
                            <w:sz w:val="17"/>
                          </w:rPr>
                          <w:t>richiesta </w:t>
                        </w:r>
                        <w:r>
                          <w:rPr>
                            <w:spacing w:val="-4"/>
                            <w:sz w:val="17"/>
                          </w:rPr>
                          <w:t>(&lt;0,25 pp)</w:t>
                        </w:r>
                      </w:p>
                    </w:tc>
                    <w:tc>
                      <w:tcPr>
                        <w:tcW w:w="761" w:type="dxa"/>
                      </w:tcPr>
                      <w:p>
                        <w:pPr>
                          <w:pStyle w:val="TableParagraph"/>
                          <w:spacing w:before="32"/>
                          <w:ind w:left="149"/>
                          <w:jc w:val="left"/>
                          <w:rPr>
                            <w:sz w:val="17"/>
                          </w:rPr>
                        </w:pPr>
                        <w:r>
                          <w:rPr>
                            <w:sz w:val="17"/>
                          </w:rPr>
                          <w:t>-0,24</w:t>
                        </w:r>
                      </w:p>
                      <w:p>
                        <w:pPr>
                          <w:pStyle w:val="TableParagraph"/>
                          <w:spacing w:before="10"/>
                          <w:jc w:val="left"/>
                          <w:rPr>
                            <w:sz w:val="16"/>
                          </w:rPr>
                        </w:pPr>
                      </w:p>
                      <w:p>
                        <w:pPr>
                          <w:pStyle w:val="TableParagraph"/>
                          <w:spacing w:line="173" w:lineRule="exact"/>
                          <w:ind w:left="149"/>
                          <w:jc w:val="left"/>
                          <w:rPr>
                            <w:sz w:val="17"/>
                          </w:rPr>
                        </w:pPr>
                        <w:r>
                          <w:rPr>
                            <w:sz w:val="17"/>
                          </w:rPr>
                          <w:t>-0,27</w:t>
                        </w:r>
                      </w:p>
                    </w:tc>
                    <w:tc>
                      <w:tcPr>
                        <w:tcW w:w="801" w:type="dxa"/>
                      </w:tcPr>
                      <w:p>
                        <w:pPr>
                          <w:pStyle w:val="TableParagraph"/>
                          <w:jc w:val="left"/>
                          <w:rPr>
                            <w:rFonts w:ascii="Times New Roman"/>
                            <w:sz w:val="16"/>
                          </w:rPr>
                        </w:pPr>
                      </w:p>
                    </w:tc>
                    <w:tc>
                      <w:tcPr>
                        <w:tcW w:w="733" w:type="dxa"/>
                      </w:tcPr>
                      <w:p>
                        <w:pPr>
                          <w:pStyle w:val="TableParagraph"/>
                          <w:spacing w:before="32"/>
                          <w:ind w:left="210"/>
                          <w:jc w:val="left"/>
                          <w:rPr>
                            <w:sz w:val="17"/>
                          </w:rPr>
                        </w:pPr>
                        <w:r>
                          <w:rPr>
                            <w:sz w:val="17"/>
                          </w:rPr>
                          <w:t>0,19</w:t>
                        </w:r>
                      </w:p>
                      <w:p>
                        <w:pPr>
                          <w:pStyle w:val="TableParagraph"/>
                          <w:spacing w:before="10"/>
                          <w:jc w:val="left"/>
                          <w:rPr>
                            <w:sz w:val="16"/>
                          </w:rPr>
                        </w:pPr>
                      </w:p>
                      <w:p>
                        <w:pPr>
                          <w:pStyle w:val="TableParagraph"/>
                          <w:spacing w:line="173" w:lineRule="exact"/>
                          <w:ind w:left="188"/>
                          <w:jc w:val="left"/>
                          <w:rPr>
                            <w:sz w:val="17"/>
                          </w:rPr>
                        </w:pPr>
                        <w:r>
                          <w:rPr>
                            <w:sz w:val="17"/>
                          </w:rPr>
                          <w:t>-0,10</w:t>
                        </w:r>
                      </w:p>
                    </w:tc>
                    <w:tc>
                      <w:tcPr>
                        <w:tcW w:w="1487" w:type="dxa"/>
                      </w:tcPr>
                      <w:p>
                        <w:pPr>
                          <w:pStyle w:val="TableParagraph"/>
                          <w:spacing w:before="32"/>
                          <w:ind w:left="112" w:right="173"/>
                          <w:jc w:val="center"/>
                          <w:rPr>
                            <w:sz w:val="17"/>
                          </w:rPr>
                        </w:pPr>
                        <w:r>
                          <w:rPr>
                            <w:sz w:val="17"/>
                          </w:rPr>
                          <w:t>0,19</w:t>
                        </w:r>
                      </w:p>
                      <w:p>
                        <w:pPr>
                          <w:pStyle w:val="TableParagraph"/>
                          <w:spacing w:before="10"/>
                          <w:jc w:val="left"/>
                          <w:rPr>
                            <w:sz w:val="16"/>
                          </w:rPr>
                        </w:pPr>
                      </w:p>
                      <w:p>
                        <w:pPr>
                          <w:pStyle w:val="TableParagraph"/>
                          <w:spacing w:line="173" w:lineRule="exact"/>
                          <w:ind w:left="112" w:right="173"/>
                          <w:jc w:val="center"/>
                          <w:rPr>
                            <w:sz w:val="17"/>
                          </w:rPr>
                        </w:pPr>
                        <w:r>
                          <w:rPr>
                            <w:sz w:val="17"/>
                          </w:rPr>
                          <w:t>-0,11</w:t>
                        </w:r>
                      </w:p>
                    </w:tc>
                    <w:tc>
                      <w:tcPr>
                        <w:tcW w:w="1370" w:type="dxa"/>
                      </w:tcPr>
                      <w:p>
                        <w:pPr>
                          <w:pStyle w:val="TableParagraph"/>
                          <w:spacing w:before="32"/>
                          <w:ind w:left="174" w:right="239"/>
                          <w:jc w:val="center"/>
                          <w:rPr>
                            <w:sz w:val="17"/>
                          </w:rPr>
                        </w:pPr>
                        <w:r>
                          <w:rPr>
                            <w:sz w:val="17"/>
                          </w:rPr>
                          <w:t>0,16</w:t>
                        </w:r>
                      </w:p>
                      <w:p>
                        <w:pPr>
                          <w:pStyle w:val="TableParagraph"/>
                          <w:spacing w:before="10"/>
                          <w:jc w:val="left"/>
                          <w:rPr>
                            <w:sz w:val="16"/>
                          </w:rPr>
                        </w:pPr>
                      </w:p>
                      <w:p>
                        <w:pPr>
                          <w:pStyle w:val="TableParagraph"/>
                          <w:spacing w:line="173" w:lineRule="exact"/>
                          <w:ind w:left="174" w:right="239"/>
                          <w:jc w:val="center"/>
                          <w:rPr>
                            <w:sz w:val="17"/>
                          </w:rPr>
                        </w:pPr>
                        <w:r>
                          <w:rPr>
                            <w:sz w:val="17"/>
                          </w:rPr>
                          <w:t>0,37</w:t>
                        </w:r>
                      </w:p>
                    </w:tc>
                  </w:tr>
                </w:tbl>
                <w:p>
                  <w:pPr>
                    <w:pStyle w:val="BodyText"/>
                  </w:pPr>
                </w:p>
              </w:txbxContent>
            </v:textbox>
            <w10:wrap type="none"/>
          </v:shape>
        </w:pict>
      </w:r>
      <w:r>
        <w:rPr>
          <w:rFonts w:ascii="Franklin Gothic Book"/>
          <w:sz w:val="17"/>
        </w:rPr>
        <w:t>Convergenza del saldo strutturale verso</w:t>
      </w:r>
    </w:p>
    <w:p>
      <w:pPr>
        <w:spacing w:line="161" w:lineRule="exact" w:before="64"/>
        <w:ind w:left="3626" w:right="2624" w:firstLine="0"/>
        <w:jc w:val="center"/>
        <w:rPr>
          <w:rFonts w:ascii="Franklin Gothic Book"/>
          <w:sz w:val="17"/>
        </w:rPr>
      </w:pPr>
      <w:r>
        <w:rPr/>
        <w:br w:type="column"/>
      </w:r>
      <w:r>
        <w:rPr>
          <w:rFonts w:ascii="Franklin Gothic Book"/>
          <w:sz w:val="17"/>
        </w:rPr>
        <w:t>2020</w:t>
      </w:r>
    </w:p>
    <w:p>
      <w:pPr>
        <w:tabs>
          <w:tab w:pos="784" w:val="left" w:leader="none"/>
          <w:tab w:pos="1601" w:val="left" w:leader="none"/>
        </w:tabs>
        <w:spacing w:line="161" w:lineRule="exact" w:before="0"/>
        <w:ind w:left="0" w:right="4153" w:firstLine="0"/>
        <w:jc w:val="center"/>
        <w:rPr>
          <w:rFonts w:ascii="Franklin Gothic Book"/>
          <w:sz w:val="17"/>
        </w:rPr>
      </w:pPr>
      <w:r>
        <w:rPr>
          <w:rFonts w:ascii="Franklin Gothic Book"/>
          <w:sz w:val="17"/>
        </w:rPr>
        <w:t>2017</w:t>
        <w:tab/>
        <w:t>2018*</w:t>
        <w:tab/>
        <w:t>2019</w:t>
      </w:r>
    </w:p>
    <w:p>
      <w:pPr>
        <w:spacing w:after="0" w:line="161" w:lineRule="exact"/>
        <w:jc w:val="center"/>
        <w:rPr>
          <w:rFonts w:ascii="Franklin Gothic Book"/>
          <w:sz w:val="17"/>
        </w:rPr>
        <w:sectPr>
          <w:type w:val="continuous"/>
          <w:pgSz w:w="11910" w:h="16840"/>
          <w:pgMar w:top="1580" w:bottom="280" w:left="1140" w:right="0"/>
          <w:cols w:num="2" w:equalWidth="0">
            <w:col w:w="4040" w:space="40"/>
            <w:col w:w="6690"/>
          </w:cols>
        </w:sect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spacing w:before="1"/>
        <w:rPr>
          <w:rFonts w:ascii="Franklin Gothic Book"/>
          <w:sz w:val="26"/>
        </w:rPr>
      </w:pPr>
    </w:p>
    <w:p>
      <w:pPr>
        <w:pStyle w:val="BodyText"/>
        <w:spacing w:line="20" w:lineRule="exact"/>
        <w:ind w:left="1125"/>
        <w:rPr>
          <w:rFonts w:ascii="Franklin Gothic Book"/>
          <w:sz w:val="2"/>
        </w:rPr>
      </w:pPr>
      <w:r>
        <w:rPr>
          <w:rFonts w:ascii="Franklin Gothic Book"/>
          <w:sz w:val="2"/>
        </w:rPr>
        <w:pict>
          <v:group style="width:411.2pt;height:.25pt;mso-position-horizontal-relative:char;mso-position-vertical-relative:line" coordorigin="0,0" coordsize="8224,5">
            <v:line style="position:absolute" from="0,2" to="2998,2" stroked="true" strokeweight=".24005pt" strokecolor="#000000">
              <v:stroke dashstyle="solid"/>
            </v:line>
            <v:rect style="position:absolute;left:2998;top:0;width:5;height:5" filled="true" fillcolor="#000000" stroked="false">
              <v:fill type="solid"/>
            </v:rect>
            <v:line style="position:absolute" from="3003,2" to="3836,2" stroked="true" strokeweight=".24005pt" strokecolor="#000000">
              <v:stroke dashstyle="solid"/>
            </v:line>
            <v:rect style="position:absolute;left:3835;top:0;width:5;height:5" filled="true" fillcolor="#000000" stroked="false">
              <v:fill type="solid"/>
            </v:rect>
            <v:line style="position:absolute" from="3841,2" to="4669,2" stroked="true" strokeweight=".24005pt" strokecolor="#000000">
              <v:stroke dashstyle="solid"/>
            </v:line>
            <v:rect style="position:absolute;left:4669;top:0;width:5;height:5" filled="true" fillcolor="#000000" stroked="false">
              <v:fill type="solid"/>
            </v:rect>
            <v:line style="position:absolute" from="4674,2" to="5367,2" stroked="true" strokeweight=".24005pt" strokecolor="#000000">
              <v:stroke dashstyle="solid"/>
            </v:line>
            <v:rect style="position:absolute;left:5367;top:0;width:5;height:5" filled="true" fillcolor="#000000" stroked="false">
              <v:fill type="solid"/>
            </v:rect>
            <v:line style="position:absolute" from="5372,2" to="6793,2" stroked="true" strokeweight=".24005pt" strokecolor="#000000">
              <v:stroke dashstyle="solid"/>
            </v:line>
            <v:rect style="position:absolute;left:6793;top:0;width:5;height:5" filled="true" fillcolor="#000000" stroked="false">
              <v:fill type="solid"/>
            </v:rect>
            <v:line style="position:absolute" from="6798,2" to="8224,2" stroked="true" strokeweight=".24005pt" strokecolor="#000000">
              <v:stroke dashstyle="solid"/>
            </v:line>
          </v:group>
        </w:pict>
      </w:r>
      <w:r>
        <w:rPr>
          <w:rFonts w:ascii="Franklin Gothic Book"/>
          <w:sz w:val="2"/>
        </w:rPr>
      </w:r>
    </w:p>
    <w:p>
      <w:pPr>
        <w:spacing w:after="0" w:line="20" w:lineRule="exact"/>
        <w:rPr>
          <w:rFonts w:ascii="Franklin Gothic Book"/>
          <w:sz w:val="2"/>
        </w:rPr>
        <w:sectPr>
          <w:type w:val="continuous"/>
          <w:pgSz w:w="11910" w:h="16840"/>
          <w:pgMar w:top="1580" w:bottom="280" w:left="1140" w:right="0"/>
        </w:sectPr>
      </w:pPr>
    </w:p>
    <w:p>
      <w:pPr>
        <w:tabs>
          <w:tab w:pos="4344" w:val="left" w:leader="none"/>
          <w:tab w:pos="5129" w:val="left" w:leader="none"/>
          <w:tab w:pos="5946" w:val="left" w:leader="none"/>
        </w:tabs>
        <w:spacing w:before="129"/>
        <w:ind w:left="1198" w:right="0" w:firstLine="0"/>
        <w:jc w:val="left"/>
        <w:rPr>
          <w:rFonts w:ascii="Franklin Gothic Book"/>
          <w:sz w:val="17"/>
        </w:rPr>
      </w:pPr>
      <w:r>
        <w:rPr/>
        <w:pict>
          <v:shape style="position:absolute;margin-left:113.419998pt;margin-top:12.08029pt;width:411.2pt;height:115.95pt;mso-position-horizontal-relative:page;mso-position-vertical-relative:paragraph;z-index:2518323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62"/>
                    <w:gridCol w:w="815"/>
                    <w:gridCol w:w="801"/>
                    <w:gridCol w:w="791"/>
                    <w:gridCol w:w="1485"/>
                    <w:gridCol w:w="1372"/>
                  </w:tblGrid>
                  <w:tr>
                    <w:trPr>
                      <w:trHeight w:val="239" w:hRule="atLeast"/>
                    </w:trPr>
                    <w:tc>
                      <w:tcPr>
                        <w:tcW w:w="5369" w:type="dxa"/>
                        <w:gridSpan w:val="4"/>
                        <w:tcBorders>
                          <w:bottom w:val="single" w:sz="2" w:space="0" w:color="000000"/>
                        </w:tcBorders>
                      </w:tcPr>
                      <w:p>
                        <w:pPr>
                          <w:pStyle w:val="TableParagraph"/>
                          <w:jc w:val="left"/>
                          <w:rPr>
                            <w:rFonts w:ascii="Times New Roman"/>
                            <w:sz w:val="16"/>
                          </w:rPr>
                        </w:pPr>
                      </w:p>
                    </w:tc>
                    <w:tc>
                      <w:tcPr>
                        <w:tcW w:w="1485" w:type="dxa"/>
                        <w:tcBorders>
                          <w:top w:val="single" w:sz="2" w:space="0" w:color="000000"/>
                          <w:bottom w:val="single" w:sz="2" w:space="0" w:color="000000"/>
                        </w:tcBorders>
                      </w:tcPr>
                      <w:p>
                        <w:pPr>
                          <w:pStyle w:val="TableParagraph"/>
                          <w:spacing w:before="26"/>
                          <w:ind w:left="146" w:right="204"/>
                          <w:jc w:val="center"/>
                          <w:rPr>
                            <w:sz w:val="17"/>
                          </w:rPr>
                        </w:pPr>
                        <w:r>
                          <w:rPr>
                            <w:sz w:val="17"/>
                          </w:rPr>
                          <w:t>Programmatico</w:t>
                        </w:r>
                      </w:p>
                    </w:tc>
                    <w:tc>
                      <w:tcPr>
                        <w:tcW w:w="1372" w:type="dxa"/>
                        <w:tcBorders>
                          <w:top w:val="single" w:sz="2" w:space="0" w:color="000000"/>
                          <w:bottom w:val="single" w:sz="2" w:space="0" w:color="000000"/>
                        </w:tcBorders>
                      </w:tcPr>
                      <w:p>
                        <w:pPr>
                          <w:pStyle w:val="TableParagraph"/>
                          <w:spacing w:before="26"/>
                          <w:ind w:left="202" w:right="265"/>
                          <w:jc w:val="center"/>
                          <w:rPr>
                            <w:sz w:val="17"/>
                          </w:rPr>
                        </w:pPr>
                        <w:r>
                          <w:rPr>
                            <w:sz w:val="17"/>
                          </w:rPr>
                          <w:t>Tendenziale</w:t>
                        </w:r>
                      </w:p>
                    </w:tc>
                  </w:tr>
                  <w:tr>
                    <w:trPr>
                      <w:trHeight w:val="384" w:hRule="atLeast"/>
                    </w:trPr>
                    <w:tc>
                      <w:tcPr>
                        <w:tcW w:w="2962" w:type="dxa"/>
                        <w:tcBorders>
                          <w:top w:val="single" w:sz="2" w:space="0" w:color="000000"/>
                        </w:tcBorders>
                      </w:tcPr>
                      <w:p>
                        <w:pPr>
                          <w:pStyle w:val="TableParagraph"/>
                          <w:spacing w:line="176" w:lineRule="exact"/>
                          <w:ind w:left="69"/>
                          <w:jc w:val="left"/>
                          <w:rPr>
                            <w:sz w:val="17"/>
                          </w:rPr>
                        </w:pPr>
                        <w:r>
                          <w:rPr>
                            <w:sz w:val="17"/>
                          </w:rPr>
                          <w:t>Tasso di crescita dell'aggregato di</w:t>
                        </w:r>
                      </w:p>
                      <w:p>
                        <w:pPr>
                          <w:pStyle w:val="TableParagraph"/>
                          <w:spacing w:line="172" w:lineRule="exact" w:before="1"/>
                          <w:ind w:left="69"/>
                          <w:jc w:val="left"/>
                          <w:rPr>
                            <w:sz w:val="17"/>
                          </w:rPr>
                        </w:pPr>
                        <w:r>
                          <w:rPr>
                            <w:sz w:val="17"/>
                          </w:rPr>
                          <w:t>spesa di riferimento (**) (%)</w:t>
                        </w:r>
                      </w:p>
                    </w:tc>
                    <w:tc>
                      <w:tcPr>
                        <w:tcW w:w="815" w:type="dxa"/>
                        <w:tcBorders>
                          <w:top w:val="single" w:sz="2" w:space="0" w:color="000000"/>
                        </w:tcBorders>
                      </w:tcPr>
                      <w:p>
                        <w:pPr>
                          <w:pStyle w:val="TableParagraph"/>
                          <w:spacing w:before="7"/>
                          <w:jc w:val="left"/>
                          <w:rPr>
                            <w:sz w:val="15"/>
                          </w:rPr>
                        </w:pPr>
                      </w:p>
                      <w:p>
                        <w:pPr>
                          <w:pStyle w:val="TableParagraph"/>
                          <w:spacing w:line="172" w:lineRule="exact"/>
                          <w:ind w:left="225"/>
                          <w:jc w:val="left"/>
                          <w:rPr>
                            <w:sz w:val="17"/>
                          </w:rPr>
                        </w:pPr>
                        <w:r>
                          <w:rPr>
                            <w:sz w:val="17"/>
                          </w:rPr>
                          <w:t>0,52</w:t>
                        </w:r>
                      </w:p>
                    </w:tc>
                    <w:tc>
                      <w:tcPr>
                        <w:tcW w:w="801" w:type="dxa"/>
                        <w:tcBorders>
                          <w:top w:val="single" w:sz="2" w:space="0" w:color="000000"/>
                        </w:tcBorders>
                      </w:tcPr>
                      <w:p>
                        <w:pPr>
                          <w:pStyle w:val="TableParagraph"/>
                          <w:spacing w:before="7"/>
                          <w:jc w:val="left"/>
                          <w:rPr>
                            <w:sz w:val="15"/>
                          </w:rPr>
                        </w:pPr>
                      </w:p>
                      <w:p>
                        <w:pPr>
                          <w:pStyle w:val="TableParagraph"/>
                          <w:spacing w:line="172" w:lineRule="exact"/>
                          <w:ind w:left="246"/>
                          <w:jc w:val="left"/>
                          <w:rPr>
                            <w:sz w:val="17"/>
                          </w:rPr>
                        </w:pPr>
                        <w:r>
                          <w:rPr>
                            <w:sz w:val="17"/>
                          </w:rPr>
                          <w:t>1,67</w:t>
                        </w:r>
                      </w:p>
                    </w:tc>
                    <w:tc>
                      <w:tcPr>
                        <w:tcW w:w="791" w:type="dxa"/>
                        <w:tcBorders>
                          <w:top w:val="single" w:sz="2" w:space="0" w:color="000000"/>
                        </w:tcBorders>
                      </w:tcPr>
                      <w:p>
                        <w:pPr>
                          <w:pStyle w:val="TableParagraph"/>
                          <w:spacing w:before="7"/>
                          <w:jc w:val="left"/>
                          <w:rPr>
                            <w:sz w:val="15"/>
                          </w:rPr>
                        </w:pPr>
                      </w:p>
                      <w:p>
                        <w:pPr>
                          <w:pStyle w:val="TableParagraph"/>
                          <w:spacing w:line="172" w:lineRule="exact"/>
                          <w:ind w:left="211"/>
                          <w:jc w:val="left"/>
                          <w:rPr>
                            <w:sz w:val="17"/>
                          </w:rPr>
                        </w:pPr>
                        <w:r>
                          <w:rPr>
                            <w:sz w:val="17"/>
                          </w:rPr>
                          <w:t>1,64</w:t>
                        </w:r>
                      </w:p>
                    </w:tc>
                    <w:tc>
                      <w:tcPr>
                        <w:tcW w:w="1485" w:type="dxa"/>
                        <w:tcBorders>
                          <w:top w:val="single" w:sz="2" w:space="0" w:color="000000"/>
                        </w:tcBorders>
                      </w:tcPr>
                      <w:p>
                        <w:pPr>
                          <w:pStyle w:val="TableParagraph"/>
                          <w:spacing w:before="7"/>
                          <w:jc w:val="left"/>
                          <w:rPr>
                            <w:sz w:val="15"/>
                          </w:rPr>
                        </w:pPr>
                      </w:p>
                      <w:p>
                        <w:pPr>
                          <w:pStyle w:val="TableParagraph"/>
                          <w:spacing w:line="172" w:lineRule="exact"/>
                          <w:ind w:left="29" w:right="204"/>
                          <w:jc w:val="center"/>
                          <w:rPr>
                            <w:sz w:val="17"/>
                          </w:rPr>
                        </w:pPr>
                        <w:r>
                          <w:rPr>
                            <w:sz w:val="17"/>
                          </w:rPr>
                          <w:t>1,99</w:t>
                        </w:r>
                      </w:p>
                    </w:tc>
                    <w:tc>
                      <w:tcPr>
                        <w:tcW w:w="1372" w:type="dxa"/>
                        <w:tcBorders>
                          <w:top w:val="single" w:sz="2" w:space="0" w:color="000000"/>
                        </w:tcBorders>
                      </w:tcPr>
                      <w:p>
                        <w:pPr>
                          <w:pStyle w:val="TableParagraph"/>
                          <w:spacing w:before="7"/>
                          <w:jc w:val="left"/>
                          <w:rPr>
                            <w:sz w:val="15"/>
                          </w:rPr>
                        </w:pPr>
                      </w:p>
                      <w:p>
                        <w:pPr>
                          <w:pStyle w:val="TableParagraph"/>
                          <w:spacing w:line="172" w:lineRule="exact"/>
                          <w:ind w:left="91" w:right="265"/>
                          <w:jc w:val="center"/>
                          <w:rPr>
                            <w:sz w:val="17"/>
                          </w:rPr>
                        </w:pPr>
                        <w:r>
                          <w:rPr>
                            <w:sz w:val="17"/>
                          </w:rPr>
                          <w:t>0,18</w:t>
                        </w:r>
                      </w:p>
                    </w:tc>
                  </w:tr>
                  <w:tr>
                    <w:trPr>
                      <w:trHeight w:val="385" w:hRule="atLeast"/>
                    </w:trPr>
                    <w:tc>
                      <w:tcPr>
                        <w:tcW w:w="2962" w:type="dxa"/>
                      </w:tcPr>
                      <w:p>
                        <w:pPr>
                          <w:pStyle w:val="TableParagraph"/>
                          <w:spacing w:line="192" w:lineRule="exact" w:before="2"/>
                          <w:ind w:left="69" w:right="183"/>
                          <w:jc w:val="left"/>
                          <w:rPr>
                            <w:sz w:val="17"/>
                          </w:rPr>
                        </w:pPr>
                        <w:r>
                          <w:rPr>
                            <w:sz w:val="17"/>
                          </w:rPr>
                          <w:t>Benchmark modulato sulle condizioni cicliche prevalenti (**) (%)</w:t>
                        </w:r>
                      </w:p>
                    </w:tc>
                    <w:tc>
                      <w:tcPr>
                        <w:tcW w:w="815" w:type="dxa"/>
                      </w:tcPr>
                      <w:p>
                        <w:pPr>
                          <w:pStyle w:val="TableParagraph"/>
                          <w:spacing w:before="10"/>
                          <w:jc w:val="left"/>
                          <w:rPr>
                            <w:sz w:val="16"/>
                          </w:rPr>
                        </w:pPr>
                      </w:p>
                      <w:p>
                        <w:pPr>
                          <w:pStyle w:val="TableParagraph"/>
                          <w:spacing w:line="173" w:lineRule="exact"/>
                          <w:ind w:left="204"/>
                          <w:jc w:val="left"/>
                          <w:rPr>
                            <w:sz w:val="17"/>
                          </w:rPr>
                        </w:pPr>
                        <w:r>
                          <w:rPr>
                            <w:sz w:val="17"/>
                          </w:rPr>
                          <w:t>-0,35</w:t>
                        </w:r>
                      </w:p>
                    </w:tc>
                    <w:tc>
                      <w:tcPr>
                        <w:tcW w:w="801" w:type="dxa"/>
                      </w:tcPr>
                      <w:p>
                        <w:pPr>
                          <w:pStyle w:val="TableParagraph"/>
                          <w:spacing w:before="10"/>
                          <w:jc w:val="left"/>
                          <w:rPr>
                            <w:sz w:val="16"/>
                          </w:rPr>
                        </w:pPr>
                      </w:p>
                      <w:p>
                        <w:pPr>
                          <w:pStyle w:val="TableParagraph"/>
                          <w:spacing w:line="173" w:lineRule="exact"/>
                          <w:ind w:left="246"/>
                          <w:jc w:val="left"/>
                          <w:rPr>
                            <w:sz w:val="17"/>
                          </w:rPr>
                        </w:pPr>
                        <w:r>
                          <w:rPr>
                            <w:sz w:val="17"/>
                          </w:rPr>
                          <w:t>0,50</w:t>
                        </w:r>
                      </w:p>
                    </w:tc>
                    <w:tc>
                      <w:tcPr>
                        <w:tcW w:w="791" w:type="dxa"/>
                      </w:tcPr>
                      <w:p>
                        <w:pPr>
                          <w:pStyle w:val="TableParagraph"/>
                          <w:spacing w:before="10"/>
                          <w:jc w:val="left"/>
                          <w:rPr>
                            <w:sz w:val="16"/>
                          </w:rPr>
                        </w:pPr>
                      </w:p>
                      <w:p>
                        <w:pPr>
                          <w:pStyle w:val="TableParagraph"/>
                          <w:spacing w:line="173" w:lineRule="exact"/>
                          <w:ind w:left="211"/>
                          <w:jc w:val="left"/>
                          <w:rPr>
                            <w:sz w:val="17"/>
                          </w:rPr>
                        </w:pPr>
                        <w:r>
                          <w:rPr>
                            <w:sz w:val="17"/>
                          </w:rPr>
                          <w:t>1,30</w:t>
                        </w:r>
                      </w:p>
                    </w:tc>
                    <w:tc>
                      <w:tcPr>
                        <w:tcW w:w="1485" w:type="dxa"/>
                      </w:tcPr>
                      <w:p>
                        <w:pPr>
                          <w:pStyle w:val="TableParagraph"/>
                          <w:spacing w:before="10"/>
                          <w:jc w:val="left"/>
                          <w:rPr>
                            <w:sz w:val="16"/>
                          </w:rPr>
                        </w:pPr>
                      </w:p>
                      <w:p>
                        <w:pPr>
                          <w:pStyle w:val="TableParagraph"/>
                          <w:spacing w:line="173" w:lineRule="exact"/>
                          <w:ind w:left="30" w:right="204"/>
                          <w:jc w:val="center"/>
                          <w:rPr>
                            <w:sz w:val="17"/>
                          </w:rPr>
                        </w:pPr>
                        <w:r>
                          <w:rPr>
                            <w:sz w:val="17"/>
                          </w:rPr>
                          <w:t>0,59</w:t>
                        </w:r>
                      </w:p>
                    </w:tc>
                    <w:tc>
                      <w:tcPr>
                        <w:tcW w:w="1372" w:type="dxa"/>
                      </w:tcPr>
                      <w:p>
                        <w:pPr>
                          <w:pStyle w:val="TableParagraph"/>
                          <w:spacing w:before="10"/>
                          <w:jc w:val="left"/>
                          <w:rPr>
                            <w:sz w:val="16"/>
                          </w:rPr>
                        </w:pPr>
                      </w:p>
                      <w:p>
                        <w:pPr>
                          <w:pStyle w:val="TableParagraph"/>
                          <w:spacing w:line="173" w:lineRule="exact"/>
                          <w:ind w:left="91" w:right="265"/>
                          <w:jc w:val="center"/>
                          <w:rPr>
                            <w:sz w:val="17"/>
                          </w:rPr>
                        </w:pPr>
                        <w:r>
                          <w:rPr>
                            <w:sz w:val="17"/>
                          </w:rPr>
                          <w:t>0,70</w:t>
                        </w:r>
                      </w:p>
                    </w:tc>
                  </w:tr>
                  <w:tr>
                    <w:trPr>
                      <w:trHeight w:val="607" w:hRule="atLeast"/>
                    </w:trPr>
                    <w:tc>
                      <w:tcPr>
                        <w:tcW w:w="2962" w:type="dxa"/>
                      </w:tcPr>
                      <w:p>
                        <w:pPr>
                          <w:pStyle w:val="TableParagraph"/>
                          <w:ind w:left="69" w:right="399"/>
                          <w:jc w:val="left"/>
                          <w:rPr>
                            <w:sz w:val="17"/>
                          </w:rPr>
                        </w:pPr>
                        <w:r>
                          <w:rPr>
                            <w:sz w:val="17"/>
                          </w:rPr>
                          <w:t>Deviazione dell'aggregato di spesa dalla variazione annuale richiesta (&lt;0,5 p.p.)</w:t>
                        </w:r>
                      </w:p>
                    </w:tc>
                    <w:tc>
                      <w:tcPr>
                        <w:tcW w:w="815" w:type="dxa"/>
                      </w:tcPr>
                      <w:p>
                        <w:pPr>
                          <w:pStyle w:val="TableParagraph"/>
                          <w:jc w:val="left"/>
                          <w:rPr>
                            <w:sz w:val="18"/>
                          </w:rPr>
                        </w:pPr>
                      </w:p>
                      <w:p>
                        <w:pPr>
                          <w:pStyle w:val="TableParagraph"/>
                          <w:spacing w:before="10"/>
                          <w:jc w:val="left"/>
                          <w:rPr>
                            <w:sz w:val="15"/>
                          </w:rPr>
                        </w:pPr>
                      </w:p>
                      <w:p>
                        <w:pPr>
                          <w:pStyle w:val="TableParagraph"/>
                          <w:ind w:left="204"/>
                          <w:jc w:val="left"/>
                          <w:rPr>
                            <w:sz w:val="17"/>
                          </w:rPr>
                        </w:pPr>
                        <w:r>
                          <w:rPr>
                            <w:sz w:val="17"/>
                          </w:rPr>
                          <w:t>-0,31</w:t>
                        </w:r>
                      </w:p>
                    </w:tc>
                    <w:tc>
                      <w:tcPr>
                        <w:tcW w:w="801" w:type="dxa"/>
                      </w:tcPr>
                      <w:p>
                        <w:pPr>
                          <w:pStyle w:val="TableParagraph"/>
                          <w:jc w:val="left"/>
                          <w:rPr>
                            <w:sz w:val="18"/>
                          </w:rPr>
                        </w:pPr>
                      </w:p>
                      <w:p>
                        <w:pPr>
                          <w:pStyle w:val="TableParagraph"/>
                          <w:spacing w:before="10"/>
                          <w:jc w:val="left"/>
                          <w:rPr>
                            <w:sz w:val="15"/>
                          </w:rPr>
                        </w:pPr>
                      </w:p>
                      <w:p>
                        <w:pPr>
                          <w:pStyle w:val="TableParagraph"/>
                          <w:ind w:left="224"/>
                          <w:jc w:val="left"/>
                          <w:rPr>
                            <w:sz w:val="17"/>
                          </w:rPr>
                        </w:pPr>
                        <w:r>
                          <w:rPr>
                            <w:sz w:val="17"/>
                          </w:rPr>
                          <w:t>-0,51</w:t>
                        </w:r>
                      </w:p>
                    </w:tc>
                    <w:tc>
                      <w:tcPr>
                        <w:tcW w:w="791" w:type="dxa"/>
                      </w:tcPr>
                      <w:p>
                        <w:pPr>
                          <w:pStyle w:val="TableParagraph"/>
                          <w:jc w:val="left"/>
                          <w:rPr>
                            <w:sz w:val="18"/>
                          </w:rPr>
                        </w:pPr>
                      </w:p>
                      <w:p>
                        <w:pPr>
                          <w:pStyle w:val="TableParagraph"/>
                          <w:spacing w:before="10"/>
                          <w:jc w:val="left"/>
                          <w:rPr>
                            <w:sz w:val="15"/>
                          </w:rPr>
                        </w:pPr>
                      </w:p>
                      <w:p>
                        <w:pPr>
                          <w:pStyle w:val="TableParagraph"/>
                          <w:ind w:left="189"/>
                          <w:jc w:val="left"/>
                          <w:rPr>
                            <w:sz w:val="17"/>
                          </w:rPr>
                        </w:pPr>
                        <w:r>
                          <w:rPr>
                            <w:sz w:val="17"/>
                          </w:rPr>
                          <w:t>-0,15</w:t>
                        </w:r>
                      </w:p>
                    </w:tc>
                    <w:tc>
                      <w:tcPr>
                        <w:tcW w:w="1485" w:type="dxa"/>
                      </w:tcPr>
                      <w:p>
                        <w:pPr>
                          <w:pStyle w:val="TableParagraph"/>
                          <w:jc w:val="left"/>
                          <w:rPr>
                            <w:sz w:val="18"/>
                          </w:rPr>
                        </w:pPr>
                      </w:p>
                      <w:p>
                        <w:pPr>
                          <w:pStyle w:val="TableParagraph"/>
                          <w:spacing w:before="10"/>
                          <w:jc w:val="left"/>
                          <w:rPr>
                            <w:sz w:val="15"/>
                          </w:rPr>
                        </w:pPr>
                      </w:p>
                      <w:p>
                        <w:pPr>
                          <w:pStyle w:val="TableParagraph"/>
                          <w:ind w:left="30" w:right="204"/>
                          <w:jc w:val="center"/>
                          <w:rPr>
                            <w:sz w:val="17"/>
                          </w:rPr>
                        </w:pPr>
                        <w:r>
                          <w:rPr>
                            <w:sz w:val="17"/>
                          </w:rPr>
                          <w:t>-0,62</w:t>
                        </w:r>
                      </w:p>
                    </w:tc>
                    <w:tc>
                      <w:tcPr>
                        <w:tcW w:w="1372" w:type="dxa"/>
                      </w:tcPr>
                      <w:p>
                        <w:pPr>
                          <w:pStyle w:val="TableParagraph"/>
                          <w:jc w:val="left"/>
                          <w:rPr>
                            <w:sz w:val="18"/>
                          </w:rPr>
                        </w:pPr>
                      </w:p>
                      <w:p>
                        <w:pPr>
                          <w:pStyle w:val="TableParagraph"/>
                          <w:spacing w:before="10"/>
                          <w:jc w:val="left"/>
                          <w:rPr>
                            <w:sz w:val="15"/>
                          </w:rPr>
                        </w:pPr>
                      </w:p>
                      <w:p>
                        <w:pPr>
                          <w:pStyle w:val="TableParagraph"/>
                          <w:ind w:left="91" w:right="265"/>
                          <w:jc w:val="center"/>
                          <w:rPr>
                            <w:sz w:val="17"/>
                          </w:rPr>
                        </w:pPr>
                        <w:r>
                          <w:rPr>
                            <w:sz w:val="17"/>
                          </w:rPr>
                          <w:t>0,23</w:t>
                        </w:r>
                      </w:p>
                    </w:tc>
                  </w:tr>
                  <w:tr>
                    <w:trPr>
                      <w:trHeight w:val="686" w:hRule="atLeast"/>
                    </w:trPr>
                    <w:tc>
                      <w:tcPr>
                        <w:tcW w:w="2962" w:type="dxa"/>
                        <w:tcBorders>
                          <w:bottom w:val="single" w:sz="2" w:space="0" w:color="000000"/>
                        </w:tcBorders>
                      </w:tcPr>
                      <w:p>
                        <w:pPr>
                          <w:pStyle w:val="TableParagraph"/>
                          <w:spacing w:before="31"/>
                          <w:ind w:left="69" w:right="247"/>
                          <w:jc w:val="left"/>
                          <w:rPr>
                            <w:sz w:val="17"/>
                          </w:rPr>
                        </w:pPr>
                        <w:r>
                          <w:rPr>
                            <w:sz w:val="17"/>
                          </w:rPr>
                          <w:t>Deviazione dell'aggregato di spesa dalla variazione media richiesta su 2 anni (&lt;0,25 p.p.)</w:t>
                        </w:r>
                      </w:p>
                    </w:tc>
                    <w:tc>
                      <w:tcPr>
                        <w:tcW w:w="815" w:type="dxa"/>
                        <w:tcBorders>
                          <w:bottom w:val="single" w:sz="2" w:space="0" w:color="000000"/>
                        </w:tcBorders>
                      </w:tcPr>
                      <w:p>
                        <w:pPr>
                          <w:pStyle w:val="TableParagraph"/>
                          <w:jc w:val="left"/>
                          <w:rPr>
                            <w:sz w:val="18"/>
                          </w:rPr>
                        </w:pPr>
                      </w:p>
                      <w:p>
                        <w:pPr>
                          <w:pStyle w:val="TableParagraph"/>
                          <w:spacing w:before="7"/>
                          <w:jc w:val="left"/>
                          <w:rPr>
                            <w:sz w:val="18"/>
                          </w:rPr>
                        </w:pPr>
                      </w:p>
                      <w:p>
                        <w:pPr>
                          <w:pStyle w:val="TableParagraph"/>
                          <w:ind w:left="204"/>
                          <w:jc w:val="left"/>
                          <w:rPr>
                            <w:sz w:val="17"/>
                          </w:rPr>
                        </w:pPr>
                        <w:r>
                          <w:rPr>
                            <w:sz w:val="17"/>
                          </w:rPr>
                          <w:t>-0,10</w:t>
                        </w:r>
                      </w:p>
                    </w:tc>
                    <w:tc>
                      <w:tcPr>
                        <w:tcW w:w="801" w:type="dxa"/>
                        <w:tcBorders>
                          <w:bottom w:val="single" w:sz="2" w:space="0" w:color="000000"/>
                        </w:tcBorders>
                      </w:tcPr>
                      <w:p>
                        <w:pPr>
                          <w:pStyle w:val="TableParagraph"/>
                          <w:jc w:val="left"/>
                          <w:rPr>
                            <w:sz w:val="18"/>
                          </w:rPr>
                        </w:pPr>
                      </w:p>
                      <w:p>
                        <w:pPr>
                          <w:pStyle w:val="TableParagraph"/>
                          <w:spacing w:before="7"/>
                          <w:jc w:val="left"/>
                          <w:rPr>
                            <w:sz w:val="18"/>
                          </w:rPr>
                        </w:pPr>
                      </w:p>
                      <w:p>
                        <w:pPr>
                          <w:pStyle w:val="TableParagraph"/>
                          <w:ind w:left="224"/>
                          <w:jc w:val="left"/>
                          <w:rPr>
                            <w:sz w:val="17"/>
                          </w:rPr>
                        </w:pPr>
                        <w:r>
                          <w:rPr>
                            <w:sz w:val="17"/>
                          </w:rPr>
                          <w:t>-0,41</w:t>
                        </w:r>
                      </w:p>
                    </w:tc>
                    <w:tc>
                      <w:tcPr>
                        <w:tcW w:w="791" w:type="dxa"/>
                        <w:tcBorders>
                          <w:bottom w:val="single" w:sz="2" w:space="0" w:color="000000"/>
                        </w:tcBorders>
                      </w:tcPr>
                      <w:p>
                        <w:pPr>
                          <w:pStyle w:val="TableParagraph"/>
                          <w:jc w:val="left"/>
                          <w:rPr>
                            <w:sz w:val="18"/>
                          </w:rPr>
                        </w:pPr>
                      </w:p>
                      <w:p>
                        <w:pPr>
                          <w:pStyle w:val="TableParagraph"/>
                          <w:spacing w:before="7"/>
                          <w:jc w:val="left"/>
                          <w:rPr>
                            <w:sz w:val="18"/>
                          </w:rPr>
                        </w:pPr>
                      </w:p>
                      <w:p>
                        <w:pPr>
                          <w:pStyle w:val="TableParagraph"/>
                          <w:ind w:left="189"/>
                          <w:jc w:val="left"/>
                          <w:rPr>
                            <w:sz w:val="17"/>
                          </w:rPr>
                        </w:pPr>
                        <w:r>
                          <w:rPr>
                            <w:sz w:val="17"/>
                          </w:rPr>
                          <w:t>-0,33</w:t>
                        </w:r>
                      </w:p>
                    </w:tc>
                    <w:tc>
                      <w:tcPr>
                        <w:tcW w:w="1485" w:type="dxa"/>
                        <w:tcBorders>
                          <w:bottom w:val="single" w:sz="2" w:space="0" w:color="000000"/>
                        </w:tcBorders>
                      </w:tcPr>
                      <w:p>
                        <w:pPr>
                          <w:pStyle w:val="TableParagraph"/>
                          <w:jc w:val="left"/>
                          <w:rPr>
                            <w:sz w:val="18"/>
                          </w:rPr>
                        </w:pPr>
                      </w:p>
                      <w:p>
                        <w:pPr>
                          <w:pStyle w:val="TableParagraph"/>
                          <w:spacing w:before="7"/>
                          <w:jc w:val="left"/>
                          <w:rPr>
                            <w:sz w:val="18"/>
                          </w:rPr>
                        </w:pPr>
                      </w:p>
                      <w:p>
                        <w:pPr>
                          <w:pStyle w:val="TableParagraph"/>
                          <w:ind w:left="30" w:right="204"/>
                          <w:jc w:val="center"/>
                          <w:rPr>
                            <w:sz w:val="17"/>
                          </w:rPr>
                        </w:pPr>
                        <w:r>
                          <w:rPr>
                            <w:sz w:val="17"/>
                          </w:rPr>
                          <w:t>-0,39</w:t>
                        </w:r>
                      </w:p>
                    </w:tc>
                    <w:tc>
                      <w:tcPr>
                        <w:tcW w:w="1372" w:type="dxa"/>
                        <w:tcBorders>
                          <w:bottom w:val="single" w:sz="2" w:space="0" w:color="000000"/>
                        </w:tcBorders>
                      </w:tcPr>
                      <w:p>
                        <w:pPr>
                          <w:pStyle w:val="TableParagraph"/>
                          <w:jc w:val="left"/>
                          <w:rPr>
                            <w:sz w:val="18"/>
                          </w:rPr>
                        </w:pPr>
                      </w:p>
                      <w:p>
                        <w:pPr>
                          <w:pStyle w:val="TableParagraph"/>
                          <w:spacing w:before="7"/>
                          <w:jc w:val="left"/>
                          <w:rPr>
                            <w:sz w:val="18"/>
                          </w:rPr>
                        </w:pPr>
                      </w:p>
                      <w:p>
                        <w:pPr>
                          <w:pStyle w:val="TableParagraph"/>
                          <w:ind w:left="91" w:right="265"/>
                          <w:jc w:val="center"/>
                          <w:rPr>
                            <w:sz w:val="17"/>
                          </w:rPr>
                        </w:pPr>
                        <w:r>
                          <w:rPr>
                            <w:sz w:val="17"/>
                          </w:rPr>
                          <w:t>0,04</w:t>
                        </w:r>
                      </w:p>
                    </w:tc>
                  </w:tr>
                </w:tbl>
                <w:p>
                  <w:pPr>
                    <w:pStyle w:val="BodyText"/>
                  </w:pPr>
                </w:p>
              </w:txbxContent>
            </v:textbox>
            <w10:wrap type="none"/>
          </v:shape>
        </w:pict>
      </w:r>
      <w:r>
        <w:rPr>
          <w:rFonts w:ascii="Franklin Gothic Book"/>
          <w:sz w:val="17"/>
        </w:rPr>
        <w:t>Regola di</w:t>
      </w:r>
      <w:r>
        <w:rPr>
          <w:rFonts w:ascii="Franklin Gothic Book"/>
          <w:spacing w:val="-1"/>
          <w:sz w:val="17"/>
        </w:rPr>
        <w:t> </w:t>
      </w:r>
      <w:r>
        <w:rPr>
          <w:rFonts w:ascii="Franklin Gothic Book"/>
          <w:sz w:val="17"/>
        </w:rPr>
        <w:t>spesa</w:t>
        <w:tab/>
        <w:t>2017</w:t>
        <w:tab/>
        <w:t>2018*</w:t>
        <w:tab/>
        <w:t>2019</w:t>
      </w:r>
    </w:p>
    <w:p>
      <w:pPr>
        <w:spacing w:before="0"/>
        <w:ind w:left="1197" w:right="0" w:firstLine="0"/>
        <w:jc w:val="left"/>
        <w:rPr>
          <w:rFonts w:ascii="Franklin Gothic Book"/>
          <w:sz w:val="17"/>
        </w:rPr>
      </w:pPr>
      <w:r>
        <w:rPr/>
        <w:br w:type="column"/>
      </w:r>
      <w:r>
        <w:rPr>
          <w:rFonts w:ascii="Franklin Gothic Book"/>
          <w:sz w:val="17"/>
        </w:rPr>
        <w:t>2020</w:t>
      </w:r>
    </w:p>
    <w:p>
      <w:pPr>
        <w:spacing w:after="0"/>
        <w:jc w:val="left"/>
        <w:rPr>
          <w:rFonts w:ascii="Franklin Gothic Book"/>
          <w:sz w:val="17"/>
        </w:rPr>
        <w:sectPr>
          <w:type w:val="continuous"/>
          <w:pgSz w:w="11910" w:h="16840"/>
          <w:pgMar w:top="1580" w:bottom="280" w:left="1140" w:right="0"/>
          <w:cols w:num="2" w:equalWidth="0">
            <w:col w:w="6386" w:space="140"/>
            <w:col w:w="4244"/>
          </w:cols>
        </w:sect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spacing w:before="11"/>
        <w:rPr>
          <w:rFonts w:ascii="Franklin Gothic Book"/>
          <w:sz w:val="26"/>
        </w:rPr>
      </w:pPr>
    </w:p>
    <w:p>
      <w:pPr>
        <w:spacing w:before="100"/>
        <w:ind w:left="1198" w:right="3960" w:firstLine="0"/>
        <w:jc w:val="left"/>
        <w:rPr>
          <w:rFonts w:ascii="Franklin Gothic Book" w:hAnsi="Franklin Gothic Book"/>
          <w:sz w:val="17"/>
        </w:rPr>
      </w:pPr>
      <w:r>
        <w:rPr>
          <w:rFonts w:ascii="Franklin Gothic Book" w:hAnsi="Franklin Gothic Book"/>
          <w:sz w:val="17"/>
        </w:rPr>
        <w:t>(*) Nel 2018 la variazione richiesta è pari a 0,3 per margine di discrezionalità. (**) In termini reali fino al 2017, nominali dal 2018.</w:t>
      </w:r>
    </w:p>
    <w:p>
      <w:pPr>
        <w:spacing w:before="0" w:after="16"/>
        <w:ind w:left="1198" w:right="1494" w:firstLine="0"/>
        <w:jc w:val="left"/>
        <w:rPr>
          <w:rFonts w:ascii="Franklin Gothic Book"/>
          <w:sz w:val="17"/>
        </w:rPr>
      </w:pPr>
      <w:r>
        <w:rPr>
          <w:rFonts w:ascii="Franklin Gothic Book"/>
          <w:sz w:val="17"/>
        </w:rPr>
        <w:t>(***) Per il 2016 e il 2017, i dati di variazione e deviazione sono congelati come da procedura normalmente impiegata dalla Commissione Europea.</w:t>
      </w:r>
    </w:p>
    <w:p>
      <w:pPr>
        <w:pStyle w:val="BodyText"/>
        <w:spacing w:line="30" w:lineRule="exact"/>
        <w:ind w:left="1099"/>
        <w:rPr>
          <w:rFonts w:ascii="Franklin Gothic Book"/>
          <w:sz w:val="3"/>
        </w:rPr>
      </w:pPr>
      <w:r>
        <w:rPr>
          <w:rFonts w:ascii="Franklin Gothic Book"/>
          <w:position w:val="0"/>
          <w:sz w:val="3"/>
        </w:rPr>
        <w:pict>
          <v:group style="width:411.95pt;height:1.45pt;mso-position-horizontal-relative:char;mso-position-vertical-relative:line" coordorigin="0,0" coordsize="8239,29">
            <v:line style="position:absolute" from="0,14" to="8238,14" stroked="true" strokeweight="1.44pt" strokecolor="#086d44">
              <v:stroke dashstyle="solid"/>
            </v:line>
          </v:group>
        </w:pict>
      </w:r>
      <w:r>
        <w:rPr>
          <w:rFonts w:ascii="Franklin Gothic Book"/>
          <w:position w:val="0"/>
          <w:sz w:val="3"/>
        </w:rPr>
      </w:r>
    </w:p>
    <w:p>
      <w:pPr>
        <w:spacing w:after="0" w:line="30" w:lineRule="exact"/>
        <w:rPr>
          <w:rFonts w:ascii="Franklin Gothic Book"/>
          <w:sz w:val="3"/>
        </w:rPr>
        <w:sectPr>
          <w:type w:val="continuous"/>
          <w:pgSz w:w="11910" w:h="16840"/>
          <w:pgMar w:top="1580" w:bottom="280" w:left="1140" w:right="0"/>
        </w:sectPr>
      </w:pPr>
    </w:p>
    <w:p>
      <w:pPr>
        <w:pStyle w:val="BodyText"/>
        <w:rPr>
          <w:rFonts w:ascii="Franklin Gothic Book"/>
          <w:sz w:val="20"/>
        </w:rPr>
      </w:pPr>
    </w:p>
    <w:p>
      <w:pPr>
        <w:pStyle w:val="BodyText"/>
        <w:rPr>
          <w:rFonts w:ascii="Franklin Gothic Book"/>
          <w:sz w:val="20"/>
        </w:rPr>
      </w:pPr>
    </w:p>
    <w:p>
      <w:pPr>
        <w:pStyle w:val="BodyText"/>
        <w:spacing w:before="10"/>
        <w:rPr>
          <w:rFonts w:ascii="Franklin Gothic Book"/>
          <w:sz w:val="25"/>
        </w:rPr>
      </w:pPr>
    </w:p>
    <w:p>
      <w:pPr>
        <w:pStyle w:val="Heading2"/>
        <w:numPr>
          <w:ilvl w:val="1"/>
          <w:numId w:val="2"/>
        </w:numPr>
        <w:tabs>
          <w:tab w:pos="819" w:val="left" w:leader="none"/>
        </w:tabs>
        <w:spacing w:line="240" w:lineRule="auto" w:before="100" w:after="0"/>
        <w:ind w:left="818" w:right="0" w:hanging="541"/>
        <w:jc w:val="left"/>
      </w:pPr>
      <w:r>
        <w:rPr>
          <w:color w:val="086D44"/>
        </w:rPr>
        <w:t>EVOLUZIONE DEL RAPPORTO</w:t>
      </w:r>
      <w:r>
        <w:rPr>
          <w:color w:val="086D44"/>
          <w:spacing w:val="-1"/>
        </w:rPr>
        <w:t> </w:t>
      </w:r>
      <w:r>
        <w:rPr>
          <w:color w:val="086D44"/>
        </w:rPr>
        <w:t>DEBITO/PIL</w:t>
      </w:r>
    </w:p>
    <w:p>
      <w:pPr>
        <w:pStyle w:val="BodyText"/>
        <w:spacing w:before="8"/>
        <w:rPr>
          <w:rFonts w:ascii="Franklin Gothic Heavy"/>
          <w:b/>
        </w:rPr>
      </w:pPr>
    </w:p>
    <w:p>
      <w:pPr>
        <w:pStyle w:val="BodyText"/>
        <w:spacing w:line="252" w:lineRule="auto"/>
        <w:ind w:left="278" w:right="2259" w:firstLine="453"/>
        <w:jc w:val="both"/>
      </w:pPr>
      <w:r>
        <w:rPr/>
        <w:t>Il 23 settembre l’ISTAT ha rivisto al rialzo il livello del PIL nominale degli anni precedenti al 2019</w:t>
      </w:r>
      <w:r>
        <w:rPr>
          <w:vertAlign w:val="superscript"/>
        </w:rPr>
        <w:t>40</w:t>
      </w:r>
      <w:r>
        <w:rPr>
          <w:vertAlign w:val="baseline"/>
        </w:rPr>
        <w:t>. Ciò avrebbe portato ad una revisione al ribasso del rapporto debito/PIL a fine 2018 al 131,5 per cento, dalla precedente stima del 132,2 per cento.</w:t>
      </w:r>
      <w:r>
        <w:rPr>
          <w:spacing w:val="-4"/>
          <w:vertAlign w:val="baseline"/>
        </w:rPr>
        <w:t> </w:t>
      </w:r>
      <w:r>
        <w:rPr>
          <w:vertAlign w:val="baseline"/>
        </w:rPr>
        <w:t>Tuttavia,</w:t>
      </w:r>
      <w:r>
        <w:rPr>
          <w:spacing w:val="-3"/>
          <w:vertAlign w:val="baseline"/>
        </w:rPr>
        <w:t> </w:t>
      </w:r>
      <w:r>
        <w:rPr>
          <w:vertAlign w:val="baseline"/>
        </w:rPr>
        <w:t>nella</w:t>
      </w:r>
      <w:r>
        <w:rPr>
          <w:spacing w:val="-5"/>
          <w:vertAlign w:val="baseline"/>
        </w:rPr>
        <w:t> </w:t>
      </w:r>
      <w:r>
        <w:rPr>
          <w:vertAlign w:val="baseline"/>
        </w:rPr>
        <w:t>stessa</w:t>
      </w:r>
      <w:r>
        <w:rPr>
          <w:spacing w:val="-5"/>
          <w:vertAlign w:val="baseline"/>
        </w:rPr>
        <w:t> </w:t>
      </w:r>
      <w:r>
        <w:rPr>
          <w:vertAlign w:val="baseline"/>
        </w:rPr>
        <w:t>data</w:t>
      </w:r>
      <w:r>
        <w:rPr>
          <w:spacing w:val="-5"/>
          <w:vertAlign w:val="baseline"/>
        </w:rPr>
        <w:t> </w:t>
      </w:r>
      <w:r>
        <w:rPr>
          <w:vertAlign w:val="baseline"/>
        </w:rPr>
        <w:t>la</w:t>
      </w:r>
      <w:r>
        <w:rPr>
          <w:spacing w:val="-5"/>
          <w:vertAlign w:val="baseline"/>
        </w:rPr>
        <w:t> </w:t>
      </w:r>
      <w:r>
        <w:rPr>
          <w:vertAlign w:val="baseline"/>
        </w:rPr>
        <w:t>Banca</w:t>
      </w:r>
      <w:r>
        <w:rPr>
          <w:spacing w:val="-7"/>
          <w:vertAlign w:val="baseline"/>
        </w:rPr>
        <w:t> </w:t>
      </w:r>
      <w:r>
        <w:rPr>
          <w:vertAlign w:val="baseline"/>
        </w:rPr>
        <w:t>d’Italia</w:t>
      </w:r>
      <w:r>
        <w:rPr>
          <w:spacing w:val="-5"/>
          <w:vertAlign w:val="baseline"/>
        </w:rPr>
        <w:t> </w:t>
      </w:r>
      <w:r>
        <w:rPr>
          <w:vertAlign w:val="baseline"/>
        </w:rPr>
        <w:t>ha</w:t>
      </w:r>
      <w:r>
        <w:rPr>
          <w:spacing w:val="-5"/>
          <w:vertAlign w:val="baseline"/>
        </w:rPr>
        <w:t> </w:t>
      </w:r>
      <w:r>
        <w:rPr>
          <w:vertAlign w:val="baseline"/>
        </w:rPr>
        <w:t>rilasciato</w:t>
      </w:r>
      <w:r>
        <w:rPr>
          <w:spacing w:val="-5"/>
          <w:vertAlign w:val="baseline"/>
        </w:rPr>
        <w:t> </w:t>
      </w:r>
      <w:r>
        <w:rPr>
          <w:vertAlign w:val="baseline"/>
        </w:rPr>
        <w:t>una</w:t>
      </w:r>
      <w:r>
        <w:rPr>
          <w:spacing w:val="-7"/>
          <w:vertAlign w:val="baseline"/>
        </w:rPr>
        <w:t> </w:t>
      </w:r>
      <w:r>
        <w:rPr>
          <w:vertAlign w:val="baseline"/>
        </w:rPr>
        <w:t>nuova</w:t>
      </w:r>
      <w:r>
        <w:rPr>
          <w:spacing w:val="-5"/>
          <w:vertAlign w:val="baseline"/>
        </w:rPr>
        <w:t> </w:t>
      </w:r>
      <w:r>
        <w:rPr>
          <w:vertAlign w:val="baseline"/>
        </w:rPr>
        <w:t>serie</w:t>
      </w:r>
      <w:r>
        <w:rPr>
          <w:spacing w:val="-4"/>
          <w:vertAlign w:val="baseline"/>
        </w:rPr>
        <w:t> </w:t>
      </w:r>
      <w:r>
        <w:rPr>
          <w:vertAlign w:val="baseline"/>
        </w:rPr>
        <w:t>del debito pubblico allineata col nuovo Manuale sul deficit e debito pubblico dell’Eurostat</w:t>
      </w:r>
      <w:r>
        <w:rPr>
          <w:vertAlign w:val="superscript"/>
        </w:rPr>
        <w:t>41</w:t>
      </w:r>
      <w:r>
        <w:rPr>
          <w:vertAlign w:val="baseline"/>
        </w:rPr>
        <w:t>. Per effetto delle modifiche ai criteri di valutazione del debito introdotte con questa ultima versione del Manuale, infatti, il debito pubblico viene incrementato degli interessi maturati e non ancora erogati sui Buoni postali fruttiferi</w:t>
      </w:r>
      <w:r>
        <w:rPr>
          <w:spacing w:val="-17"/>
          <w:vertAlign w:val="baseline"/>
        </w:rPr>
        <w:t> </w:t>
      </w:r>
      <w:r>
        <w:rPr>
          <w:vertAlign w:val="baseline"/>
        </w:rPr>
        <w:t>(BPF)</w:t>
      </w:r>
      <w:r>
        <w:rPr>
          <w:vertAlign w:val="superscript"/>
        </w:rPr>
        <w:t>42</w:t>
      </w:r>
      <w:r>
        <w:rPr>
          <w:vertAlign w:val="baseline"/>
        </w:rPr>
        <w:t>,</w:t>
      </w:r>
      <w:r>
        <w:rPr>
          <w:spacing w:val="-16"/>
          <w:vertAlign w:val="baseline"/>
        </w:rPr>
        <w:t> </w:t>
      </w:r>
      <w:r>
        <w:rPr>
          <w:vertAlign w:val="baseline"/>
        </w:rPr>
        <w:t>i</w:t>
      </w:r>
      <w:r>
        <w:rPr>
          <w:spacing w:val="-19"/>
          <w:vertAlign w:val="baseline"/>
        </w:rPr>
        <w:t> </w:t>
      </w:r>
      <w:r>
        <w:rPr>
          <w:vertAlign w:val="baseline"/>
        </w:rPr>
        <w:t>noti</w:t>
      </w:r>
      <w:r>
        <w:rPr>
          <w:spacing w:val="-18"/>
          <w:vertAlign w:val="baseline"/>
        </w:rPr>
        <w:t> </w:t>
      </w:r>
      <w:r>
        <w:rPr>
          <w:vertAlign w:val="baseline"/>
        </w:rPr>
        <w:t>strumenti</w:t>
      </w:r>
      <w:r>
        <w:rPr>
          <w:spacing w:val="-18"/>
          <w:vertAlign w:val="baseline"/>
        </w:rPr>
        <w:t> </w:t>
      </w:r>
      <w:r>
        <w:rPr>
          <w:vertAlign w:val="baseline"/>
        </w:rPr>
        <w:t>della</w:t>
      </w:r>
      <w:r>
        <w:rPr>
          <w:spacing w:val="-17"/>
          <w:vertAlign w:val="baseline"/>
        </w:rPr>
        <w:t> </w:t>
      </w:r>
      <w:r>
        <w:rPr>
          <w:vertAlign w:val="baseline"/>
        </w:rPr>
        <w:t>raccolta</w:t>
      </w:r>
      <w:r>
        <w:rPr>
          <w:spacing w:val="-18"/>
          <w:vertAlign w:val="baseline"/>
        </w:rPr>
        <w:t> </w:t>
      </w:r>
      <w:r>
        <w:rPr>
          <w:vertAlign w:val="baseline"/>
        </w:rPr>
        <w:t>postale</w:t>
      </w:r>
      <w:r>
        <w:rPr>
          <w:spacing w:val="-17"/>
          <w:vertAlign w:val="baseline"/>
        </w:rPr>
        <w:t> </w:t>
      </w:r>
      <w:r>
        <w:rPr>
          <w:vertAlign w:val="baseline"/>
        </w:rPr>
        <w:t>non</w:t>
      </w:r>
      <w:r>
        <w:rPr>
          <w:spacing w:val="-18"/>
          <w:vertAlign w:val="baseline"/>
        </w:rPr>
        <w:t> </w:t>
      </w:r>
      <w:r>
        <w:rPr>
          <w:vertAlign w:val="baseline"/>
        </w:rPr>
        <w:t>più</w:t>
      </w:r>
      <w:r>
        <w:rPr>
          <w:spacing w:val="-17"/>
          <w:vertAlign w:val="baseline"/>
        </w:rPr>
        <w:t> </w:t>
      </w:r>
      <w:r>
        <w:rPr>
          <w:vertAlign w:val="baseline"/>
        </w:rPr>
        <w:t>in</w:t>
      </w:r>
      <w:r>
        <w:rPr>
          <w:spacing w:val="-21"/>
          <w:vertAlign w:val="baseline"/>
        </w:rPr>
        <w:t> </w:t>
      </w:r>
      <w:r>
        <w:rPr>
          <w:vertAlign w:val="baseline"/>
        </w:rPr>
        <w:t>corso</w:t>
      </w:r>
      <w:r>
        <w:rPr>
          <w:spacing w:val="-19"/>
          <w:vertAlign w:val="baseline"/>
        </w:rPr>
        <w:t> </w:t>
      </w:r>
      <w:r>
        <w:rPr>
          <w:vertAlign w:val="baseline"/>
        </w:rPr>
        <w:t>di</w:t>
      </w:r>
      <w:r>
        <w:rPr>
          <w:spacing w:val="-18"/>
          <w:vertAlign w:val="baseline"/>
        </w:rPr>
        <w:t> </w:t>
      </w:r>
      <w:r>
        <w:rPr>
          <w:vertAlign w:val="baseline"/>
        </w:rPr>
        <w:t>emissione caratterizzati dalla capitalizzazione degli interessi, che vennero trasferiti al MEF a seguito della trasformazione della Cassa Depositi e Prestiti in società per azioni avvenuta nel</w:t>
      </w:r>
      <w:r>
        <w:rPr>
          <w:spacing w:val="-2"/>
          <w:vertAlign w:val="baseline"/>
        </w:rPr>
        <w:t> </w:t>
      </w:r>
      <w:r>
        <w:rPr>
          <w:vertAlign w:val="baseline"/>
        </w:rPr>
        <w:t>2003</w:t>
      </w:r>
      <w:r>
        <w:rPr>
          <w:vertAlign w:val="superscript"/>
        </w:rPr>
        <w:t>43</w:t>
      </w:r>
      <w:r>
        <w:rPr>
          <w:vertAlign w:val="baseline"/>
        </w:rPr>
        <w:t>.</w:t>
      </w:r>
    </w:p>
    <w:p>
      <w:pPr>
        <w:pStyle w:val="BodyText"/>
        <w:spacing w:line="252" w:lineRule="auto"/>
        <w:ind w:left="278" w:right="2261" w:firstLine="520"/>
        <w:jc w:val="both"/>
      </w:pPr>
      <w:r>
        <w:rPr/>
        <w:t>Le</w:t>
      </w:r>
      <w:r>
        <w:rPr>
          <w:spacing w:val="-20"/>
        </w:rPr>
        <w:t> </w:t>
      </w:r>
      <w:r>
        <w:rPr/>
        <w:t>nuove</w:t>
      </w:r>
      <w:r>
        <w:rPr>
          <w:spacing w:val="-17"/>
        </w:rPr>
        <w:t> </w:t>
      </w:r>
      <w:r>
        <w:rPr/>
        <w:t>stime</w:t>
      </w:r>
      <w:r>
        <w:rPr>
          <w:spacing w:val="-17"/>
        </w:rPr>
        <w:t> </w:t>
      </w:r>
      <w:r>
        <w:rPr/>
        <w:t>del</w:t>
      </w:r>
      <w:r>
        <w:rPr>
          <w:spacing w:val="-17"/>
        </w:rPr>
        <w:t> </w:t>
      </w:r>
      <w:r>
        <w:rPr/>
        <w:t>debito</w:t>
      </w:r>
      <w:r>
        <w:rPr>
          <w:spacing w:val="-18"/>
        </w:rPr>
        <w:t> </w:t>
      </w:r>
      <w:r>
        <w:rPr/>
        <w:t>diffuse</w:t>
      </w:r>
      <w:r>
        <w:rPr>
          <w:spacing w:val="-18"/>
        </w:rPr>
        <w:t> </w:t>
      </w:r>
      <w:r>
        <w:rPr/>
        <w:t>dalla</w:t>
      </w:r>
      <w:r>
        <w:rPr>
          <w:spacing w:val="-18"/>
        </w:rPr>
        <w:t> </w:t>
      </w:r>
      <w:r>
        <w:rPr/>
        <w:t>Banca</w:t>
      </w:r>
      <w:r>
        <w:rPr>
          <w:spacing w:val="-19"/>
        </w:rPr>
        <w:t> </w:t>
      </w:r>
      <w:r>
        <w:rPr/>
        <w:t>d’Italia</w:t>
      </w:r>
      <w:r>
        <w:rPr>
          <w:spacing w:val="-18"/>
        </w:rPr>
        <w:t> </w:t>
      </w:r>
      <w:r>
        <w:rPr/>
        <w:t>il</w:t>
      </w:r>
      <w:r>
        <w:rPr>
          <w:spacing w:val="-18"/>
        </w:rPr>
        <w:t> </w:t>
      </w:r>
      <w:r>
        <w:rPr/>
        <w:t>23</w:t>
      </w:r>
      <w:r>
        <w:rPr>
          <w:spacing w:val="-18"/>
        </w:rPr>
        <w:t> </w:t>
      </w:r>
      <w:r>
        <w:rPr/>
        <w:t>settembre</w:t>
      </w:r>
      <w:r>
        <w:rPr>
          <w:spacing w:val="-17"/>
        </w:rPr>
        <w:t> </w:t>
      </w:r>
      <w:r>
        <w:rPr/>
        <w:t>includono anche la revisione dei dati relativi ad alcune unità che già lo scorso aprile erano state incluse nel perimetro delle Amministrazioni pubbliche a partire dal 2017, in particolare di Rete ferroviaria Italiana S.p.A., con riferimento agli anni meno recenti.</w:t>
      </w:r>
      <w:r>
        <w:rPr>
          <w:spacing w:val="-17"/>
        </w:rPr>
        <w:t> </w:t>
      </w:r>
      <w:r>
        <w:rPr/>
        <w:t>L’impatto</w:t>
      </w:r>
      <w:r>
        <w:rPr>
          <w:spacing w:val="-15"/>
        </w:rPr>
        <w:t> </w:t>
      </w:r>
      <w:r>
        <w:rPr/>
        <w:t>derivante</w:t>
      </w:r>
      <w:r>
        <w:rPr>
          <w:spacing w:val="-14"/>
        </w:rPr>
        <w:t> </w:t>
      </w:r>
      <w:r>
        <w:rPr/>
        <w:t>da</w:t>
      </w:r>
      <w:r>
        <w:rPr>
          <w:spacing w:val="-16"/>
        </w:rPr>
        <w:t> </w:t>
      </w:r>
      <w:r>
        <w:rPr/>
        <w:t>questo</w:t>
      </w:r>
      <w:r>
        <w:rPr>
          <w:spacing w:val="-14"/>
        </w:rPr>
        <w:t> </w:t>
      </w:r>
      <w:r>
        <w:rPr/>
        <w:t>ulteriore</w:t>
      </w:r>
      <w:r>
        <w:rPr>
          <w:spacing w:val="-17"/>
        </w:rPr>
        <w:t> </w:t>
      </w:r>
      <w:r>
        <w:rPr/>
        <w:t>fattore</w:t>
      </w:r>
      <w:r>
        <w:rPr>
          <w:spacing w:val="-12"/>
        </w:rPr>
        <w:t> </w:t>
      </w:r>
      <w:r>
        <w:rPr/>
        <w:t>è</w:t>
      </w:r>
      <w:r>
        <w:rPr>
          <w:spacing w:val="-15"/>
        </w:rPr>
        <w:t> </w:t>
      </w:r>
      <w:r>
        <w:rPr/>
        <w:t>decrescente</w:t>
      </w:r>
      <w:r>
        <w:rPr>
          <w:spacing w:val="-14"/>
        </w:rPr>
        <w:t> </w:t>
      </w:r>
      <w:r>
        <w:rPr/>
        <w:t>e</w:t>
      </w:r>
      <w:r>
        <w:rPr>
          <w:spacing w:val="-20"/>
        </w:rPr>
        <w:t> </w:t>
      </w:r>
      <w:r>
        <w:rPr/>
        <w:t>pari</w:t>
      </w:r>
      <w:r>
        <w:rPr>
          <w:spacing w:val="-13"/>
        </w:rPr>
        <w:t> </w:t>
      </w:r>
      <w:r>
        <w:rPr/>
        <w:t>a</w:t>
      </w:r>
      <w:r>
        <w:rPr>
          <w:spacing w:val="-18"/>
        </w:rPr>
        <w:t> </w:t>
      </w:r>
      <w:r>
        <w:rPr/>
        <w:t>circa 5,2</w:t>
      </w:r>
      <w:r>
        <w:rPr>
          <w:spacing w:val="29"/>
        </w:rPr>
        <w:t> </w:t>
      </w:r>
      <w:r>
        <w:rPr/>
        <w:t>miliardi</w:t>
      </w:r>
      <w:r>
        <w:rPr>
          <w:spacing w:val="30"/>
        </w:rPr>
        <w:t> </w:t>
      </w:r>
      <w:r>
        <w:rPr/>
        <w:t>nel</w:t>
      </w:r>
      <w:r>
        <w:rPr>
          <w:spacing w:val="28"/>
        </w:rPr>
        <w:t> </w:t>
      </w:r>
      <w:r>
        <w:rPr/>
        <w:t>2015,</w:t>
      </w:r>
      <w:r>
        <w:rPr>
          <w:spacing w:val="28"/>
        </w:rPr>
        <w:t> </w:t>
      </w:r>
      <w:r>
        <w:rPr/>
        <w:t>4,1</w:t>
      </w:r>
      <w:r>
        <w:rPr>
          <w:spacing w:val="27"/>
        </w:rPr>
        <w:t> </w:t>
      </w:r>
      <w:r>
        <w:rPr/>
        <w:t>miliardi</w:t>
      </w:r>
      <w:r>
        <w:rPr>
          <w:spacing w:val="30"/>
        </w:rPr>
        <w:t> </w:t>
      </w:r>
      <w:r>
        <w:rPr/>
        <w:t>nel</w:t>
      </w:r>
      <w:r>
        <w:rPr>
          <w:spacing w:val="29"/>
        </w:rPr>
        <w:t> </w:t>
      </w:r>
      <w:r>
        <w:rPr/>
        <w:t>2016</w:t>
      </w:r>
      <w:r>
        <w:rPr>
          <w:spacing w:val="30"/>
        </w:rPr>
        <w:t> </w:t>
      </w:r>
      <w:r>
        <w:rPr/>
        <w:t>e</w:t>
      </w:r>
      <w:r>
        <w:rPr>
          <w:spacing w:val="30"/>
        </w:rPr>
        <w:t> </w:t>
      </w:r>
      <w:r>
        <w:rPr/>
        <w:t>poco</w:t>
      </w:r>
      <w:r>
        <w:rPr>
          <w:spacing w:val="29"/>
        </w:rPr>
        <w:t> </w:t>
      </w:r>
      <w:r>
        <w:rPr/>
        <w:t>meno</w:t>
      </w:r>
      <w:r>
        <w:rPr>
          <w:spacing w:val="30"/>
        </w:rPr>
        <w:t> </w:t>
      </w:r>
      <w:r>
        <w:rPr/>
        <w:t>di</w:t>
      </w:r>
      <w:r>
        <w:rPr>
          <w:spacing w:val="27"/>
        </w:rPr>
        <w:t> </w:t>
      </w:r>
      <w:r>
        <w:rPr/>
        <w:t>300</w:t>
      </w:r>
      <w:r>
        <w:rPr>
          <w:spacing w:val="28"/>
        </w:rPr>
        <w:t> </w:t>
      </w:r>
      <w:r>
        <w:rPr/>
        <w:t>milioni</w:t>
      </w:r>
    </w:p>
    <w:p>
      <w:pPr>
        <w:pStyle w:val="BodyText"/>
        <w:spacing w:before="1"/>
        <w:ind w:left="278"/>
        <w:jc w:val="both"/>
      </w:pPr>
      <w:r>
        <w:rPr/>
        <w:t>rispettivamente nel 2017 e 2018</w:t>
      </w:r>
      <w:r>
        <w:rPr>
          <w:vertAlign w:val="superscript"/>
        </w:rPr>
        <w:t>44</w:t>
      </w:r>
      <w:r>
        <w:rPr>
          <w:vertAlign w:val="baseline"/>
        </w:rPr>
        <w:t>.</w:t>
      </w:r>
    </w:p>
    <w:p>
      <w:pPr>
        <w:pStyle w:val="BodyText"/>
        <w:spacing w:line="247" w:lineRule="auto" w:before="14"/>
        <w:ind w:left="278" w:right="2261" w:firstLine="520"/>
        <w:jc w:val="both"/>
      </w:pPr>
      <w:r>
        <w:rPr/>
        <w:t>Alla luce delle modifiche classificatorie di cui sopra e dei nuovi dati di contabilità nazionale, il rapporto debito/PIL si è attestato al 134,1 per cento nel 2017</w:t>
      </w:r>
      <w:r>
        <w:rPr>
          <w:spacing w:val="-11"/>
        </w:rPr>
        <w:t> </w:t>
      </w:r>
      <w:r>
        <w:rPr/>
        <w:t>e</w:t>
      </w:r>
      <w:r>
        <w:rPr>
          <w:spacing w:val="-10"/>
        </w:rPr>
        <w:t> </w:t>
      </w:r>
      <w:r>
        <w:rPr/>
        <w:t>al</w:t>
      </w:r>
      <w:r>
        <w:rPr>
          <w:spacing w:val="-10"/>
        </w:rPr>
        <w:t> </w:t>
      </w:r>
      <w:r>
        <w:rPr/>
        <w:t>134,8</w:t>
      </w:r>
      <w:r>
        <w:rPr>
          <w:spacing w:val="-9"/>
        </w:rPr>
        <w:t> </w:t>
      </w:r>
      <w:r>
        <w:rPr/>
        <w:t>per</w:t>
      </w:r>
      <w:r>
        <w:rPr>
          <w:spacing w:val="-9"/>
        </w:rPr>
        <w:t> </w:t>
      </w:r>
      <w:r>
        <w:rPr/>
        <w:t>cento</w:t>
      </w:r>
      <w:r>
        <w:rPr>
          <w:spacing w:val="-11"/>
        </w:rPr>
        <w:t> </w:t>
      </w:r>
      <w:r>
        <w:rPr/>
        <w:t>nel</w:t>
      </w:r>
      <w:r>
        <w:rPr>
          <w:spacing w:val="-10"/>
        </w:rPr>
        <w:t> </w:t>
      </w:r>
      <w:r>
        <w:rPr/>
        <w:t>2018.</w:t>
      </w:r>
      <w:r>
        <w:rPr>
          <w:spacing w:val="-8"/>
        </w:rPr>
        <w:t> </w:t>
      </w:r>
      <w:r>
        <w:rPr/>
        <w:t>Le</w:t>
      </w:r>
      <w:r>
        <w:rPr>
          <w:spacing w:val="-10"/>
        </w:rPr>
        <w:t> </w:t>
      </w:r>
      <w:r>
        <w:rPr/>
        <w:t>revisioni,</w:t>
      </w:r>
      <w:r>
        <w:rPr>
          <w:spacing w:val="-12"/>
        </w:rPr>
        <w:t> </w:t>
      </w:r>
      <w:r>
        <w:rPr/>
        <w:t>pur</w:t>
      </w:r>
      <w:r>
        <w:rPr>
          <w:spacing w:val="-8"/>
        </w:rPr>
        <w:t> </w:t>
      </w:r>
      <w:r>
        <w:rPr/>
        <w:t>determinando</w:t>
      </w:r>
      <w:r>
        <w:rPr>
          <w:spacing w:val="-9"/>
        </w:rPr>
        <w:t> </w:t>
      </w:r>
      <w:r>
        <w:rPr/>
        <w:t>un’incidenza</w:t>
      </w:r>
      <w:r>
        <w:rPr>
          <w:spacing w:val="-11"/>
        </w:rPr>
        <w:t> </w:t>
      </w:r>
      <w:r>
        <w:rPr/>
        <w:t>del debito sul PIL più elevata conducono, tuttavia, ad una dinamica del rapporto più favorevole:</w:t>
      </w:r>
      <w:r>
        <w:rPr>
          <w:spacing w:val="-4"/>
        </w:rPr>
        <w:t> </w:t>
      </w:r>
      <w:r>
        <w:rPr/>
        <w:t>rispetto</w:t>
      </w:r>
      <w:r>
        <w:rPr>
          <w:spacing w:val="-3"/>
        </w:rPr>
        <w:t> </w:t>
      </w:r>
      <w:r>
        <w:rPr/>
        <w:t>al</w:t>
      </w:r>
      <w:r>
        <w:rPr>
          <w:spacing w:val="-2"/>
        </w:rPr>
        <w:t> </w:t>
      </w:r>
      <w:r>
        <w:rPr/>
        <w:t>2015,</w:t>
      </w:r>
      <w:r>
        <w:rPr>
          <w:spacing w:val="-1"/>
        </w:rPr>
        <w:t> </w:t>
      </w:r>
      <w:r>
        <w:rPr/>
        <w:t>in</w:t>
      </w:r>
      <w:r>
        <w:rPr>
          <w:spacing w:val="-5"/>
        </w:rPr>
        <w:t> </w:t>
      </w:r>
      <w:r>
        <w:rPr/>
        <w:t>cui</w:t>
      </w:r>
      <w:r>
        <w:rPr>
          <w:spacing w:val="-5"/>
        </w:rPr>
        <w:t> </w:t>
      </w:r>
      <w:r>
        <w:rPr/>
        <w:t>il</w:t>
      </w:r>
      <w:r>
        <w:rPr>
          <w:spacing w:val="-5"/>
        </w:rPr>
        <w:t> </w:t>
      </w:r>
      <w:r>
        <w:rPr/>
        <w:t>rapporto</w:t>
      </w:r>
      <w:r>
        <w:rPr>
          <w:spacing w:val="-4"/>
        </w:rPr>
        <w:t> </w:t>
      </w:r>
      <w:r>
        <w:rPr/>
        <w:t>debito/PIL</w:t>
      </w:r>
      <w:r>
        <w:rPr>
          <w:spacing w:val="-1"/>
        </w:rPr>
        <w:t> </w:t>
      </w:r>
      <w:r>
        <w:rPr/>
        <w:t>è</w:t>
      </w:r>
      <w:r>
        <w:rPr>
          <w:spacing w:val="-5"/>
        </w:rPr>
        <w:t> </w:t>
      </w:r>
      <w:r>
        <w:rPr/>
        <w:t>pari</w:t>
      </w:r>
      <w:r>
        <w:rPr>
          <w:spacing w:val="-4"/>
        </w:rPr>
        <w:t> </w:t>
      </w:r>
      <w:r>
        <w:rPr/>
        <w:t>al</w:t>
      </w:r>
      <w:r>
        <w:rPr>
          <w:spacing w:val="-2"/>
        </w:rPr>
        <w:t> </w:t>
      </w:r>
      <w:r>
        <w:rPr/>
        <w:t>135,3</w:t>
      </w:r>
      <w:r>
        <w:rPr>
          <w:spacing w:val="-7"/>
        </w:rPr>
        <w:t> </w:t>
      </w:r>
      <w:r>
        <w:rPr/>
        <w:t>per</w:t>
      </w:r>
      <w:r>
        <w:rPr>
          <w:spacing w:val="-3"/>
        </w:rPr>
        <w:t> </w:t>
      </w:r>
      <w:r>
        <w:rPr/>
        <w:t>cento, alla fine del 2018 il peso del debito è diminuito invece di</w:t>
      </w:r>
      <w:r>
        <w:rPr>
          <w:spacing w:val="-15"/>
        </w:rPr>
        <w:t> </w:t>
      </w:r>
      <w:r>
        <w:rPr/>
        <w:t>aumentare.</w:t>
      </w:r>
    </w:p>
    <w:p>
      <w:pPr>
        <w:pStyle w:val="BodyText"/>
        <w:spacing w:line="247" w:lineRule="auto"/>
        <w:ind w:left="278" w:right="2260" w:firstLine="453"/>
        <w:jc w:val="both"/>
      </w:pPr>
      <w:r>
        <w:rPr/>
        <w:t>Per quanto attiene alle previsioni del debito contenute sia nel quadro tendenziale che in quello programmatico di questo documento, queste tengono conto dell’andamento stimato futuro della componente interessi maturati sui BPF trasferiti al MEF, in piena coerenza con il nuovo trattamento statistico previsto da Eurostat. L’ultima serie di questi strumenti scadrà nel 2033, ma va ricordato che i risparmiatori</w:t>
      </w:r>
      <w:r>
        <w:rPr>
          <w:spacing w:val="-18"/>
        </w:rPr>
        <w:t> </w:t>
      </w:r>
      <w:r>
        <w:rPr/>
        <w:t>che</w:t>
      </w:r>
      <w:r>
        <w:rPr>
          <w:spacing w:val="-19"/>
        </w:rPr>
        <w:t> </w:t>
      </w:r>
      <w:r>
        <w:rPr/>
        <w:t>li</w:t>
      </w:r>
      <w:r>
        <w:rPr>
          <w:spacing w:val="-19"/>
        </w:rPr>
        <w:t> </w:t>
      </w:r>
      <w:r>
        <w:rPr/>
        <w:t>detengono</w:t>
      </w:r>
      <w:r>
        <w:rPr>
          <w:spacing w:val="-20"/>
        </w:rPr>
        <w:t> </w:t>
      </w:r>
      <w:r>
        <w:rPr/>
        <w:t>hanno</w:t>
      </w:r>
      <w:r>
        <w:rPr>
          <w:spacing w:val="-19"/>
        </w:rPr>
        <w:t> </w:t>
      </w:r>
      <w:r>
        <w:rPr/>
        <w:t>la</w:t>
      </w:r>
      <w:r>
        <w:rPr>
          <w:spacing w:val="-17"/>
        </w:rPr>
        <w:t> </w:t>
      </w:r>
      <w:r>
        <w:rPr/>
        <w:t>possibilità</w:t>
      </w:r>
      <w:r>
        <w:rPr>
          <w:spacing w:val="-19"/>
        </w:rPr>
        <w:t> </w:t>
      </w:r>
      <w:r>
        <w:rPr/>
        <w:t>di</w:t>
      </w:r>
      <w:r>
        <w:rPr>
          <w:spacing w:val="-20"/>
        </w:rPr>
        <w:t> </w:t>
      </w:r>
      <w:r>
        <w:rPr/>
        <w:t>ritirarli</w:t>
      </w:r>
      <w:r>
        <w:rPr>
          <w:spacing w:val="-18"/>
        </w:rPr>
        <w:t> </w:t>
      </w:r>
      <w:r>
        <w:rPr/>
        <w:t>nei</w:t>
      </w:r>
      <w:r>
        <w:rPr>
          <w:spacing w:val="-19"/>
        </w:rPr>
        <w:t> </w:t>
      </w:r>
      <w:r>
        <w:rPr/>
        <w:t>dieci</w:t>
      </w:r>
      <w:r>
        <w:rPr>
          <w:spacing w:val="-19"/>
        </w:rPr>
        <w:t> </w:t>
      </w:r>
      <w:r>
        <w:rPr/>
        <w:t>anni</w:t>
      </w:r>
      <w:r>
        <w:rPr>
          <w:spacing w:val="-19"/>
        </w:rPr>
        <w:t> </w:t>
      </w:r>
      <w:r>
        <w:rPr/>
        <w:t>successivi alla scadenza, anche se in questo periodo aggiuntivo non maturano</w:t>
      </w:r>
      <w:r>
        <w:rPr>
          <w:spacing w:val="-22"/>
        </w:rPr>
        <w:t> </w:t>
      </w:r>
      <w:r>
        <w:rPr/>
        <w:t>interessi.</w:t>
      </w:r>
    </w:p>
    <w:p>
      <w:pPr>
        <w:pStyle w:val="BodyText"/>
        <w:spacing w:line="244" w:lineRule="auto"/>
        <w:ind w:left="278" w:right="2261" w:firstLine="453"/>
        <w:jc w:val="both"/>
      </w:pPr>
      <w:r>
        <w:rPr/>
        <w:t>Nel 2019, analogamente al DEF di aprile, il rapporto debito/PIL è atteso ulteriormente </w:t>
      </w:r>
      <w:r>
        <w:rPr>
          <w:spacing w:val="32"/>
        </w:rPr>
        <w:t> </w:t>
      </w:r>
      <w:r>
        <w:rPr/>
        <w:t>in </w:t>
      </w:r>
      <w:r>
        <w:rPr>
          <w:spacing w:val="33"/>
        </w:rPr>
        <w:t> </w:t>
      </w:r>
      <w:r>
        <w:rPr/>
        <w:t>aumento </w:t>
      </w:r>
      <w:r>
        <w:rPr>
          <w:spacing w:val="33"/>
        </w:rPr>
        <w:t> </w:t>
      </w:r>
      <w:r>
        <w:rPr/>
        <w:t>di </w:t>
      </w:r>
      <w:r>
        <w:rPr>
          <w:spacing w:val="33"/>
        </w:rPr>
        <w:t> </w:t>
      </w:r>
      <w:r>
        <w:rPr/>
        <w:t>circa </w:t>
      </w:r>
      <w:r>
        <w:rPr>
          <w:spacing w:val="33"/>
        </w:rPr>
        <w:t> </w:t>
      </w:r>
      <w:r>
        <w:rPr/>
        <w:t>0,9 </w:t>
      </w:r>
      <w:r>
        <w:rPr>
          <w:spacing w:val="31"/>
        </w:rPr>
        <w:t> </w:t>
      </w:r>
      <w:r>
        <w:rPr/>
        <w:t>punti </w:t>
      </w:r>
      <w:r>
        <w:rPr>
          <w:spacing w:val="33"/>
        </w:rPr>
        <w:t> </w:t>
      </w:r>
      <w:r>
        <w:rPr/>
        <w:t>percentuali </w:t>
      </w:r>
      <w:r>
        <w:rPr>
          <w:spacing w:val="33"/>
        </w:rPr>
        <w:t> </w:t>
      </w:r>
      <w:r>
        <w:rPr/>
        <w:t>rispetto </w:t>
      </w:r>
      <w:r>
        <w:rPr>
          <w:spacing w:val="33"/>
        </w:rPr>
        <w:t> </w:t>
      </w:r>
      <w:r>
        <w:rPr/>
        <w:t>al </w:t>
      </w:r>
      <w:r>
        <w:rPr>
          <w:spacing w:val="34"/>
        </w:rPr>
        <w:t> </w:t>
      </w:r>
      <w:r>
        <w:rPr/>
        <w:t>2018,</w:t>
      </w:r>
    </w:p>
    <w:p>
      <w:pPr>
        <w:pStyle w:val="BodyText"/>
        <w:rPr>
          <w:sz w:val="20"/>
        </w:rPr>
      </w:pPr>
    </w:p>
    <w:p>
      <w:pPr>
        <w:pStyle w:val="BodyText"/>
        <w:rPr>
          <w:sz w:val="20"/>
        </w:rPr>
      </w:pPr>
    </w:p>
    <w:p>
      <w:pPr>
        <w:pStyle w:val="BodyText"/>
        <w:spacing w:before="7"/>
        <w:rPr>
          <w:sz w:val="12"/>
        </w:rPr>
      </w:pPr>
      <w:r>
        <w:rPr/>
        <w:pict>
          <v:group style="position:absolute;margin-left:93.599998pt;margin-top:9.317217pt;width:21.4pt;height:2.15pt;mso-position-horizontal-relative:page;mso-position-vertical-relative:paragraph;z-index:-251483136;mso-wrap-distance-left:0;mso-wrap-distance-right:0" coordorigin="1872,186" coordsize="428,43">
            <v:line style="position:absolute" from="1872,207" to="2299,207" stroked="true" strokeweight="2.050pt" strokecolor="#aaaaaa">
              <v:stroke dashstyle="solid"/>
            </v:line>
            <v:rect style="position:absolute;left:1872;top:188;width:5;height:5" filled="true" fillcolor="#9f9f9f" stroked="false">
              <v:fill type="solid"/>
            </v:rect>
            <v:rect style="position:absolute;left:1872;top:188;width:5;height:5" filled="true" fillcolor="#9f9f9f" stroked="false">
              <v:fill type="solid"/>
            </v:rect>
            <v:line style="position:absolute" from="1877,191" to="2295,191" stroked="true" strokeweight=".23999pt" strokecolor="#9f9f9f">
              <v:stroke dashstyle="solid"/>
            </v:line>
            <v:rect style="position:absolute;left:2294;top:188;width:5;height:5" filled="true" fillcolor="#e2e2e2" stroked="false">
              <v:fill type="solid"/>
            </v:rect>
            <v:rect style="position:absolute;left:2294;top:188;width:5;height:5" filled="true" fillcolor="#9f9f9f" stroked="false">
              <v:fill type="solid"/>
            </v:rect>
            <v:rect style="position:absolute;left:1872;top:192;width:5;height:32" filled="true" fillcolor="#9f9f9f" stroked="false">
              <v:fill type="solid"/>
            </v:rect>
            <v:rect style="position:absolute;left:2294;top:192;width:5;height:32" filled="true" fillcolor="#e2e2e2" stroked="false">
              <v:fill type="solid"/>
            </v:rect>
            <v:rect style="position:absolute;left:1872;top:224;width:5;height:5" filled="true" fillcolor="#9f9f9f" stroked="false">
              <v:fill type="solid"/>
            </v:rect>
            <v:rect style="position:absolute;left:1872;top:224;width:5;height:5" filled="true" fillcolor="#e2e2e2" stroked="false">
              <v:fill type="solid"/>
            </v:rect>
            <v:line style="position:absolute" from="1877,227" to="2295,227" stroked="true" strokeweight=".23999pt" strokecolor="#e2e2e2">
              <v:stroke dashstyle="solid"/>
            </v:line>
            <v:rect style="position:absolute;left:2294;top:224;width:5;height:5" filled="true" fillcolor="#e2e2e2" stroked="false">
              <v:fill type="solid"/>
            </v:rect>
            <v:rect style="position:absolute;left:2294;top:224;width:5;height:5" filled="true" fillcolor="#e2e2e2" stroked="false">
              <v:fill type="solid"/>
            </v:rect>
            <w10:wrap type="topAndBottom"/>
          </v:group>
        </w:pict>
      </w:r>
    </w:p>
    <w:p>
      <w:pPr>
        <w:spacing w:line="187" w:lineRule="exact" w:before="20"/>
        <w:ind w:left="732" w:right="0" w:firstLine="0"/>
        <w:jc w:val="both"/>
        <w:rPr>
          <w:sz w:val="16"/>
        </w:rPr>
      </w:pPr>
      <w:r>
        <w:rPr>
          <w:position w:val="6"/>
          <w:sz w:val="10"/>
        </w:rPr>
        <w:t>40 </w:t>
      </w:r>
      <w:r>
        <w:rPr>
          <w:sz w:val="16"/>
        </w:rPr>
        <w:t>In particolare, il PIL nominale del 2017 è stato rivisto di 9,2 miliardi, quello del 2018 di circa 8,4</w:t>
      </w:r>
      <w:r>
        <w:rPr>
          <w:spacing w:val="-35"/>
          <w:sz w:val="16"/>
        </w:rPr>
        <w:t> </w:t>
      </w:r>
      <w:r>
        <w:rPr>
          <w:sz w:val="16"/>
        </w:rPr>
        <w:t>miliardi.</w:t>
      </w:r>
    </w:p>
    <w:p>
      <w:pPr>
        <w:spacing w:line="242" w:lineRule="auto" w:before="0"/>
        <w:ind w:left="278" w:right="2261" w:firstLine="453"/>
        <w:jc w:val="both"/>
        <w:rPr>
          <w:sz w:val="16"/>
        </w:rPr>
      </w:pPr>
      <w:r>
        <w:rPr>
          <w:position w:val="6"/>
          <w:sz w:val="10"/>
        </w:rPr>
        <w:t>41 </w:t>
      </w:r>
      <w:r>
        <w:rPr>
          <w:sz w:val="16"/>
        </w:rPr>
        <w:t>Cfr. Eurostat, Manual on Government Deficit and Debt — Implementation of ESA 2010 — 2019 edition, 2 August 2019: </w:t>
      </w:r>
      <w:hyperlink r:id="rId42">
        <w:r>
          <w:rPr>
            <w:color w:val="006247"/>
            <w:sz w:val="16"/>
            <w:u w:val="single" w:color="006247"/>
          </w:rPr>
          <w:t>https://ec.europa.eu/eurostat/web/products-manuals-and-guidelines/-/KS-GQ-19-007</w:t>
        </w:r>
      </w:hyperlink>
      <w:r>
        <w:rPr>
          <w:sz w:val="16"/>
        </w:rPr>
        <w:t>.</w:t>
      </w:r>
    </w:p>
    <w:p>
      <w:pPr>
        <w:spacing w:line="237" w:lineRule="auto" w:before="0"/>
        <w:ind w:left="278" w:right="2262" w:firstLine="453"/>
        <w:jc w:val="both"/>
        <w:rPr>
          <w:sz w:val="16"/>
        </w:rPr>
      </w:pPr>
      <w:r>
        <w:rPr>
          <w:position w:val="6"/>
          <w:sz w:val="10"/>
        </w:rPr>
        <w:t>42 </w:t>
      </w:r>
      <w:r>
        <w:rPr>
          <w:sz w:val="16"/>
        </w:rPr>
        <w:t>Per tutte le informazioni circa il nuovo trattamento statistico dei Buoni Postali Fruttiferi trasferiti al MEF si veda anche il comunicato n. 165 del 23/09/2019 sul sito del MEF </w:t>
      </w:r>
      <w:hyperlink r:id="rId58">
        <w:r>
          <w:rPr>
            <w:color w:val="006247"/>
            <w:sz w:val="16"/>
            <w:u w:val="single" w:color="006247"/>
          </w:rPr>
          <w:t>http://www.mef.gov.it/ufficio-</w:t>
        </w:r>
      </w:hyperlink>
    </w:p>
    <w:p>
      <w:pPr>
        <w:spacing w:before="0"/>
        <w:ind w:left="278" w:right="2266" w:firstLine="0"/>
        <w:jc w:val="both"/>
        <w:rPr>
          <w:sz w:val="16"/>
        </w:rPr>
      </w:pPr>
      <w:hyperlink r:id="rId58">
        <w:r>
          <w:rPr>
            <w:color w:val="006247"/>
            <w:sz w:val="16"/>
            <w:u w:val="single" w:color="006247"/>
          </w:rPr>
          <w:t>stampa/comunicati/2019/comunicato_0165.html</w:t>
        </w:r>
      </w:hyperlink>
      <w:r>
        <w:rPr>
          <w:sz w:val="16"/>
        </w:rPr>
        <w:t>. Va precisato che a partire dal 2003 Cassa Depositi e Prestiti continua ad emettere diverse tipologie di Buoni Postali Fruttiferi attraverso la rete di Poste Italiane, ma tali strumenti non costituiscono debito pubblico essendo emessi da un’entità che dallo stesso anno non è più parte dell’aggregato delle Pubbliche Amministrazioni.</w:t>
      </w:r>
    </w:p>
    <w:p>
      <w:pPr>
        <w:spacing w:line="184" w:lineRule="exact" w:before="0"/>
        <w:ind w:left="732" w:right="0" w:firstLine="0"/>
        <w:jc w:val="both"/>
        <w:rPr>
          <w:sz w:val="16"/>
        </w:rPr>
      </w:pPr>
      <w:r>
        <w:rPr>
          <w:position w:val="6"/>
          <w:sz w:val="10"/>
        </w:rPr>
        <w:t>43 </w:t>
      </w:r>
      <w:r>
        <w:rPr>
          <w:sz w:val="16"/>
        </w:rPr>
        <w:t>Si sottolinea che la nuova classificazione statistica non impatterà sull’indebitamento netto della PA in</w:t>
      </w:r>
    </w:p>
    <w:p>
      <w:pPr>
        <w:spacing w:line="183" w:lineRule="exact" w:before="0"/>
        <w:ind w:left="278" w:right="0" w:firstLine="0"/>
        <w:jc w:val="both"/>
        <w:rPr>
          <w:sz w:val="16"/>
        </w:rPr>
      </w:pPr>
      <w:r>
        <w:rPr>
          <w:sz w:val="16"/>
        </w:rPr>
        <w:t>quanto gli interessi maturati sono sempre stati inclusi nel conto economico consolidato della stessa.</w:t>
      </w:r>
    </w:p>
    <w:p>
      <w:pPr>
        <w:spacing w:line="240" w:lineRule="auto" w:before="0"/>
        <w:ind w:left="278" w:right="2265" w:firstLine="453"/>
        <w:jc w:val="both"/>
        <w:rPr>
          <w:sz w:val="16"/>
        </w:rPr>
      </w:pPr>
      <w:r>
        <w:rPr>
          <w:position w:val="6"/>
          <w:sz w:val="10"/>
        </w:rPr>
        <w:t>44</w:t>
      </w:r>
      <w:r>
        <w:rPr>
          <w:spacing w:val="10"/>
          <w:position w:val="6"/>
          <w:sz w:val="10"/>
        </w:rPr>
        <w:t> </w:t>
      </w:r>
      <w:r>
        <w:rPr>
          <w:sz w:val="16"/>
        </w:rPr>
        <w:t>Nel</w:t>
      </w:r>
      <w:r>
        <w:rPr>
          <w:spacing w:val="-6"/>
          <w:sz w:val="16"/>
        </w:rPr>
        <w:t> </w:t>
      </w:r>
      <w:r>
        <w:rPr>
          <w:sz w:val="16"/>
        </w:rPr>
        <w:t>Comunicato</w:t>
      </w:r>
      <w:r>
        <w:rPr>
          <w:spacing w:val="-7"/>
          <w:sz w:val="16"/>
        </w:rPr>
        <w:t> </w:t>
      </w:r>
      <w:r>
        <w:rPr>
          <w:sz w:val="16"/>
        </w:rPr>
        <w:t>stampa</w:t>
      </w:r>
      <w:r>
        <w:rPr>
          <w:spacing w:val="-6"/>
          <w:sz w:val="16"/>
        </w:rPr>
        <w:t> </w:t>
      </w:r>
      <w:r>
        <w:rPr>
          <w:sz w:val="16"/>
        </w:rPr>
        <w:t>della</w:t>
      </w:r>
      <w:r>
        <w:rPr>
          <w:spacing w:val="-6"/>
          <w:sz w:val="16"/>
        </w:rPr>
        <w:t> </w:t>
      </w:r>
      <w:r>
        <w:rPr>
          <w:sz w:val="16"/>
        </w:rPr>
        <w:t>Banca</w:t>
      </w:r>
      <w:r>
        <w:rPr>
          <w:spacing w:val="-8"/>
          <w:sz w:val="16"/>
        </w:rPr>
        <w:t> </w:t>
      </w:r>
      <w:r>
        <w:rPr>
          <w:sz w:val="16"/>
        </w:rPr>
        <w:t>d’Italia</w:t>
      </w:r>
      <w:r>
        <w:rPr>
          <w:spacing w:val="-7"/>
          <w:sz w:val="16"/>
        </w:rPr>
        <w:t> </w:t>
      </w:r>
      <w:r>
        <w:rPr>
          <w:sz w:val="16"/>
        </w:rPr>
        <w:t>del</w:t>
      </w:r>
      <w:r>
        <w:rPr>
          <w:spacing w:val="-6"/>
          <w:sz w:val="16"/>
        </w:rPr>
        <w:t> </w:t>
      </w:r>
      <w:r>
        <w:rPr>
          <w:sz w:val="16"/>
        </w:rPr>
        <w:t>9</w:t>
      </w:r>
      <w:r>
        <w:rPr>
          <w:spacing w:val="-8"/>
          <w:sz w:val="16"/>
        </w:rPr>
        <w:t> </w:t>
      </w:r>
      <w:r>
        <w:rPr>
          <w:sz w:val="16"/>
        </w:rPr>
        <w:t>aprile</w:t>
      </w:r>
      <w:r>
        <w:rPr>
          <w:spacing w:val="-5"/>
          <w:sz w:val="16"/>
        </w:rPr>
        <w:t> </w:t>
      </w:r>
      <w:r>
        <w:rPr>
          <w:sz w:val="16"/>
        </w:rPr>
        <w:t>2019,</w:t>
      </w:r>
      <w:r>
        <w:rPr>
          <w:spacing w:val="-6"/>
          <w:sz w:val="16"/>
        </w:rPr>
        <w:t> </w:t>
      </w:r>
      <w:r>
        <w:rPr>
          <w:sz w:val="16"/>
        </w:rPr>
        <w:t>l’ampliamento</w:t>
      </w:r>
      <w:r>
        <w:rPr>
          <w:spacing w:val="-7"/>
          <w:sz w:val="16"/>
        </w:rPr>
        <w:t> </w:t>
      </w:r>
      <w:r>
        <w:rPr>
          <w:sz w:val="16"/>
        </w:rPr>
        <w:t>del</w:t>
      </w:r>
      <w:r>
        <w:rPr>
          <w:spacing w:val="-6"/>
          <w:sz w:val="16"/>
        </w:rPr>
        <w:t> </w:t>
      </w:r>
      <w:r>
        <w:rPr>
          <w:sz w:val="16"/>
        </w:rPr>
        <w:t>perimetro</w:t>
      </w:r>
      <w:r>
        <w:rPr>
          <w:spacing w:val="-7"/>
          <w:sz w:val="16"/>
        </w:rPr>
        <w:t> </w:t>
      </w:r>
      <w:r>
        <w:rPr>
          <w:sz w:val="16"/>
        </w:rPr>
        <w:t>della</w:t>
      </w:r>
      <w:r>
        <w:rPr>
          <w:spacing w:val="-7"/>
          <w:sz w:val="16"/>
        </w:rPr>
        <w:t> </w:t>
      </w:r>
      <w:r>
        <w:rPr>
          <w:sz w:val="16"/>
        </w:rPr>
        <w:t>PA</w:t>
      </w:r>
      <w:r>
        <w:rPr>
          <w:spacing w:val="-8"/>
          <w:sz w:val="16"/>
        </w:rPr>
        <w:t> </w:t>
      </w:r>
      <w:r>
        <w:rPr>
          <w:sz w:val="16"/>
        </w:rPr>
        <w:t>aveva determinato una revisione al rialzo dello stock di debito per quasi 800 milioni nel 2016, oltre 5,6 miliardi nel 2017 e oltre 5,9 miliardi nel</w:t>
      </w:r>
      <w:r>
        <w:rPr>
          <w:spacing w:val="-1"/>
          <w:sz w:val="16"/>
        </w:rPr>
        <w:t> </w:t>
      </w:r>
      <w:r>
        <w:rPr>
          <w:sz w:val="16"/>
        </w:rPr>
        <w:t>2018.</w:t>
      </w:r>
    </w:p>
    <w:p>
      <w:pPr>
        <w:spacing w:after="0" w:line="240" w:lineRule="auto"/>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47" w:lineRule="auto" w:before="101"/>
        <w:ind w:left="1128" w:right="1419"/>
        <w:jc w:val="both"/>
      </w:pPr>
      <w:r>
        <w:rPr/>
        <w:t>attestandosi al 135,7 per cento, per effetto di una crescita dello stock di debito dell’1,7 per cento e di una crescita del PIL nominale dell’1,0 per cento.</w:t>
      </w:r>
    </w:p>
    <w:p>
      <w:pPr>
        <w:pStyle w:val="BodyText"/>
        <w:spacing w:line="247" w:lineRule="auto"/>
        <w:ind w:left="1128" w:right="1408" w:firstLine="453"/>
        <w:jc w:val="both"/>
      </w:pPr>
      <w:r>
        <w:rPr/>
        <w:t>La nuova stima del rapporto debito/PIL per il 2019 è, tuttavia, superiore di circa 3,1 punti percentuali rispetto al DEF, che fissava un obiettivo del 132,6 per cento. Questo significativo incremento risente, in primo luogo, della revisione al rialzo del livello del 2018, per circa 2,7 punti percentuali, e della crescita del PIL nominale inferiore alle attese di aprile (ridotta dall’1,2 all’1,0 per cento). In secondo luogo, riflette anche il mancato realizzo dei proventi da privatizzazioni e altri</w:t>
      </w:r>
      <w:r>
        <w:rPr>
          <w:spacing w:val="-10"/>
        </w:rPr>
        <w:t> </w:t>
      </w:r>
      <w:r>
        <w:rPr/>
        <w:t>proventi</w:t>
      </w:r>
      <w:r>
        <w:rPr>
          <w:spacing w:val="-10"/>
        </w:rPr>
        <w:t> </w:t>
      </w:r>
      <w:r>
        <w:rPr/>
        <w:t>finanziari,</w:t>
      </w:r>
      <w:r>
        <w:rPr>
          <w:spacing w:val="-12"/>
        </w:rPr>
        <w:t> </w:t>
      </w:r>
      <w:r>
        <w:rPr/>
        <w:t>che</w:t>
      </w:r>
      <w:r>
        <w:rPr>
          <w:spacing w:val="-11"/>
        </w:rPr>
        <w:t> </w:t>
      </w:r>
      <w:r>
        <w:rPr/>
        <w:t>il</w:t>
      </w:r>
      <w:r>
        <w:rPr>
          <w:spacing w:val="-11"/>
        </w:rPr>
        <w:t> </w:t>
      </w:r>
      <w:r>
        <w:rPr/>
        <w:t>precedente</w:t>
      </w:r>
      <w:r>
        <w:rPr>
          <w:spacing w:val="-9"/>
        </w:rPr>
        <w:t> </w:t>
      </w:r>
      <w:r>
        <w:rPr/>
        <w:t>Governo</w:t>
      </w:r>
      <w:r>
        <w:rPr>
          <w:spacing w:val="-11"/>
        </w:rPr>
        <w:t> </w:t>
      </w:r>
      <w:r>
        <w:rPr/>
        <w:t>aveva</w:t>
      </w:r>
      <w:r>
        <w:rPr>
          <w:spacing w:val="-10"/>
        </w:rPr>
        <w:t> </w:t>
      </w:r>
      <w:r>
        <w:rPr/>
        <w:t>ipotizzato</w:t>
      </w:r>
      <w:r>
        <w:rPr>
          <w:spacing w:val="-9"/>
        </w:rPr>
        <w:t> </w:t>
      </w:r>
      <w:r>
        <w:rPr/>
        <w:t>pari</w:t>
      </w:r>
      <w:r>
        <w:rPr>
          <w:spacing w:val="-12"/>
        </w:rPr>
        <w:t> </w:t>
      </w:r>
      <w:r>
        <w:rPr/>
        <w:t>all’1,0</w:t>
      </w:r>
      <w:r>
        <w:rPr>
          <w:spacing w:val="-10"/>
        </w:rPr>
        <w:t> </w:t>
      </w:r>
      <w:r>
        <w:rPr/>
        <w:t>per cento del PIL. Tali fattori incrementativi sono solo in parte compensati da: i) il rafforzamento</w:t>
      </w:r>
      <w:r>
        <w:rPr>
          <w:spacing w:val="-12"/>
        </w:rPr>
        <w:t> </w:t>
      </w:r>
      <w:r>
        <w:rPr/>
        <w:t>dell’avanzo</w:t>
      </w:r>
      <w:r>
        <w:rPr>
          <w:spacing w:val="-12"/>
        </w:rPr>
        <w:t> </w:t>
      </w:r>
      <w:r>
        <w:rPr/>
        <w:t>primario</w:t>
      </w:r>
      <w:r>
        <w:rPr>
          <w:spacing w:val="-12"/>
        </w:rPr>
        <w:t> </w:t>
      </w:r>
      <w:r>
        <w:rPr/>
        <w:t>in</w:t>
      </w:r>
      <w:r>
        <w:rPr>
          <w:spacing w:val="-11"/>
        </w:rPr>
        <w:t> </w:t>
      </w:r>
      <w:r>
        <w:rPr/>
        <w:t>rapporto</w:t>
      </w:r>
      <w:r>
        <w:rPr>
          <w:spacing w:val="-13"/>
        </w:rPr>
        <w:t> </w:t>
      </w:r>
      <w:r>
        <w:rPr/>
        <w:t>al</w:t>
      </w:r>
      <w:r>
        <w:rPr>
          <w:spacing w:val="-12"/>
        </w:rPr>
        <w:t> </w:t>
      </w:r>
      <w:r>
        <w:rPr/>
        <w:t>PIL,</w:t>
      </w:r>
      <w:r>
        <w:rPr>
          <w:spacing w:val="-13"/>
        </w:rPr>
        <w:t> </w:t>
      </w:r>
      <w:r>
        <w:rPr/>
        <w:t>ora</w:t>
      </w:r>
      <w:r>
        <w:rPr>
          <w:spacing w:val="-10"/>
        </w:rPr>
        <w:t> </w:t>
      </w:r>
      <w:r>
        <w:rPr/>
        <w:t>all’1,3</w:t>
      </w:r>
      <w:r>
        <w:rPr>
          <w:spacing w:val="-12"/>
        </w:rPr>
        <w:t> </w:t>
      </w:r>
      <w:r>
        <w:rPr/>
        <w:t>per</w:t>
      </w:r>
      <w:r>
        <w:rPr>
          <w:spacing w:val="-12"/>
        </w:rPr>
        <w:t> </w:t>
      </w:r>
      <w:r>
        <w:rPr/>
        <w:t>cento</w:t>
      </w:r>
      <w:r>
        <w:rPr>
          <w:spacing w:val="-11"/>
        </w:rPr>
        <w:t> </w:t>
      </w:r>
      <w:r>
        <w:rPr/>
        <w:t>rispetto alla precedente stima dell’1,2 per cento; ii) la minore incidenza degli interessi passivi sul PIL che scende dal 3,6 al 3,4 per cento e mitiga l’effetto </w:t>
      </w:r>
      <w:r>
        <w:rPr>
          <w:i/>
        </w:rPr>
        <w:t>snow-ball</w:t>
      </w:r>
      <w:r>
        <w:rPr/>
        <w:t>; iii) un</w:t>
      </w:r>
      <w:r>
        <w:rPr>
          <w:spacing w:val="-12"/>
        </w:rPr>
        <w:t> </w:t>
      </w:r>
      <w:r>
        <w:rPr/>
        <w:t>aggiornamento</w:t>
      </w:r>
      <w:r>
        <w:rPr>
          <w:spacing w:val="-11"/>
        </w:rPr>
        <w:t> </w:t>
      </w:r>
      <w:r>
        <w:rPr/>
        <w:t>della</w:t>
      </w:r>
      <w:r>
        <w:rPr>
          <w:spacing w:val="-10"/>
        </w:rPr>
        <w:t> </w:t>
      </w:r>
      <w:r>
        <w:rPr/>
        <w:t>previsione</w:t>
      </w:r>
      <w:r>
        <w:rPr>
          <w:spacing w:val="-11"/>
        </w:rPr>
        <w:t> </w:t>
      </w:r>
      <w:r>
        <w:rPr/>
        <w:t>del</w:t>
      </w:r>
      <w:r>
        <w:rPr>
          <w:spacing w:val="-10"/>
        </w:rPr>
        <w:t> </w:t>
      </w:r>
      <w:r>
        <w:rPr/>
        <w:t>fabbisogno</w:t>
      </w:r>
      <w:r>
        <w:rPr>
          <w:spacing w:val="-11"/>
        </w:rPr>
        <w:t> </w:t>
      </w:r>
      <w:r>
        <w:rPr/>
        <w:t>di</w:t>
      </w:r>
      <w:r>
        <w:rPr>
          <w:spacing w:val="-13"/>
        </w:rPr>
        <w:t> </w:t>
      </w:r>
      <w:r>
        <w:rPr/>
        <w:t>cassa</w:t>
      </w:r>
      <w:r>
        <w:rPr>
          <w:spacing w:val="-10"/>
        </w:rPr>
        <w:t> </w:t>
      </w:r>
      <w:r>
        <w:rPr/>
        <w:t>del</w:t>
      </w:r>
      <w:r>
        <w:rPr>
          <w:spacing w:val="-10"/>
        </w:rPr>
        <w:t> </w:t>
      </w:r>
      <w:r>
        <w:rPr/>
        <w:t>Settore</w:t>
      </w:r>
      <w:r>
        <w:rPr>
          <w:spacing w:val="-9"/>
        </w:rPr>
        <w:t> </w:t>
      </w:r>
      <w:r>
        <w:rPr/>
        <w:t>Pubblico</w:t>
      </w:r>
      <w:r>
        <w:rPr>
          <w:spacing w:val="-11"/>
        </w:rPr>
        <w:t> </w:t>
      </w:r>
      <w:r>
        <w:rPr/>
        <w:t>che, soprattutto in virtù delle maggiori entrate di cassa derivanti dagli utili della Banca d’Italia</w:t>
      </w:r>
      <w:r>
        <w:rPr>
          <w:spacing w:val="-10"/>
        </w:rPr>
        <w:t> </w:t>
      </w:r>
      <w:r>
        <w:rPr/>
        <w:t>e</w:t>
      </w:r>
      <w:r>
        <w:rPr>
          <w:spacing w:val="-13"/>
        </w:rPr>
        <w:t> </w:t>
      </w:r>
      <w:r>
        <w:rPr/>
        <w:t>delle</w:t>
      </w:r>
      <w:r>
        <w:rPr>
          <w:spacing w:val="-9"/>
        </w:rPr>
        <w:t> </w:t>
      </w:r>
      <w:r>
        <w:rPr/>
        <w:t>minori</w:t>
      </w:r>
      <w:r>
        <w:rPr>
          <w:spacing w:val="-12"/>
        </w:rPr>
        <w:t> </w:t>
      </w:r>
      <w:r>
        <w:rPr/>
        <w:t>uscite</w:t>
      </w:r>
      <w:r>
        <w:rPr>
          <w:spacing w:val="-9"/>
        </w:rPr>
        <w:t> </w:t>
      </w:r>
      <w:r>
        <w:rPr/>
        <w:t>di</w:t>
      </w:r>
      <w:r>
        <w:rPr>
          <w:spacing w:val="-13"/>
        </w:rPr>
        <w:t> </w:t>
      </w:r>
      <w:r>
        <w:rPr/>
        <w:t>cassa</w:t>
      </w:r>
      <w:r>
        <w:rPr>
          <w:spacing w:val="-9"/>
        </w:rPr>
        <w:t> </w:t>
      </w:r>
      <w:r>
        <w:rPr/>
        <w:t>per</w:t>
      </w:r>
      <w:r>
        <w:rPr>
          <w:spacing w:val="-9"/>
        </w:rPr>
        <w:t> </w:t>
      </w:r>
      <w:r>
        <w:rPr/>
        <w:t>il</w:t>
      </w:r>
      <w:r>
        <w:rPr>
          <w:spacing w:val="-14"/>
        </w:rPr>
        <w:t> </w:t>
      </w:r>
      <w:r>
        <w:rPr/>
        <w:t>Reddito</w:t>
      </w:r>
      <w:r>
        <w:rPr>
          <w:spacing w:val="-11"/>
        </w:rPr>
        <w:t> </w:t>
      </w:r>
      <w:r>
        <w:rPr/>
        <w:t>di</w:t>
      </w:r>
      <w:r>
        <w:rPr>
          <w:spacing w:val="-10"/>
        </w:rPr>
        <w:t> </w:t>
      </w:r>
      <w:r>
        <w:rPr/>
        <w:t>Cittadinanza</w:t>
      </w:r>
      <w:r>
        <w:rPr>
          <w:spacing w:val="-11"/>
        </w:rPr>
        <w:t> </w:t>
      </w:r>
      <w:r>
        <w:rPr/>
        <w:t>e</w:t>
      </w:r>
      <w:r>
        <w:rPr>
          <w:spacing w:val="-8"/>
        </w:rPr>
        <w:t> </w:t>
      </w:r>
      <w:r>
        <w:rPr/>
        <w:t>Quota</w:t>
      </w:r>
      <w:r>
        <w:rPr>
          <w:spacing w:val="-10"/>
        </w:rPr>
        <w:t> </w:t>
      </w:r>
      <w:r>
        <w:rPr/>
        <w:t>100,</w:t>
      </w:r>
      <w:r>
        <w:rPr>
          <w:spacing w:val="-9"/>
        </w:rPr>
        <w:t> </w:t>
      </w:r>
      <w:r>
        <w:rPr/>
        <w:t>ora risulta molto più allineata al consuntivo 2018 rispetto a quanto stimato nel DEF, fattore quest’ultimo che costituisce una componente migliorativa dell’aggiustamento stock-flussi</w:t>
      </w:r>
      <w:r>
        <w:rPr>
          <w:i/>
        </w:rPr>
        <w:t>. </w:t>
      </w:r>
      <w:r>
        <w:rPr/>
        <w:t>La giacenza di liquidità, che si prevede diminuire di circa lo 0,1 per cento del PIL, rimane in linea con quanto indicato nel DEF di aprile.</w:t>
      </w:r>
    </w:p>
    <w:p>
      <w:pPr>
        <w:pStyle w:val="BodyText"/>
        <w:spacing w:line="252" w:lineRule="auto"/>
        <w:ind w:left="1128" w:right="1412" w:firstLine="453"/>
        <w:jc w:val="both"/>
      </w:pPr>
      <w:r>
        <w:rPr/>
        <w:t>La prevista ripresa della crescita nominale e il miglioramento dell’avanzo primario, unitamente ai bassi rendimenti previsti, porterebbero ad una discesa del rapporto debito/PIL nei tre anni successivi, tale da raggiungere il 131,4 per cento nel 2022. Le stime incorporano l’ipotesi di riduzione delle disponibilità liquide del Tesoro dello 0,1 per cento del PIL per ciascun anno nel 2020 e 2021 e proventi da privatizzazioni e da altri proventi finanziari pari allo 0,2 per cento del PIL all’anno nel prossimo triennio. Nel 2020 sono inclusi proventi da dismissioni immobiliari per 850 milioni, relativi al piano straordinario di dismissioni disposto dalla Legge di Bilancio per il 2019.</w:t>
      </w:r>
    </w:p>
    <w:p>
      <w:pPr>
        <w:pStyle w:val="BodyText"/>
        <w:spacing w:line="247" w:lineRule="auto"/>
        <w:ind w:left="1128" w:right="1408" w:firstLine="453"/>
        <w:jc w:val="both"/>
      </w:pPr>
      <w:r>
        <w:rPr/>
        <w:t>Il quadro programmatico conferma l’inversione di tendenza della dinamica del rapporto debito/PIL nel 2020, con un obiettivo stimato del 135,2 per cento, derivante soprattutto da un valore particolarmente positivo degli scarti di emissione</w:t>
      </w:r>
      <w:r>
        <w:rPr>
          <w:vertAlign w:val="superscript"/>
        </w:rPr>
        <w:t>45</w:t>
      </w:r>
      <w:r>
        <w:rPr>
          <w:vertAlign w:val="baseline"/>
        </w:rPr>
        <w:t> che tende a più che compensare il contenuto aumento del fabbisogno del settore pubblico (di circa 0,2 punti percentuali di PIL rispetto al 2019) e la crescita del PIL nominale del 2,0 per cento, inferiore rispetto alle attese di aprile di circa 0,8 punti percentuali.</w:t>
      </w:r>
    </w:p>
    <w:p>
      <w:pPr>
        <w:pStyle w:val="BodyText"/>
        <w:spacing w:line="247" w:lineRule="auto"/>
        <w:ind w:left="1128" w:right="1416" w:firstLine="453"/>
        <w:jc w:val="both"/>
      </w:pPr>
      <w:r>
        <w:rPr/>
        <w:t>Nel 2021 il rapporto debito/PIL è previsto attestarsi al 133,4 per cento. Il miglioramento</w:t>
      </w:r>
      <w:r>
        <w:rPr>
          <w:spacing w:val="55"/>
        </w:rPr>
        <w:t> </w:t>
      </w:r>
      <w:r>
        <w:rPr/>
        <w:t>rispetto</w:t>
      </w:r>
      <w:r>
        <w:rPr>
          <w:spacing w:val="57"/>
        </w:rPr>
        <w:t> </w:t>
      </w:r>
      <w:r>
        <w:rPr/>
        <w:t>al</w:t>
      </w:r>
      <w:r>
        <w:rPr>
          <w:spacing w:val="56"/>
        </w:rPr>
        <w:t> </w:t>
      </w:r>
      <w:r>
        <w:rPr/>
        <w:t>2020</w:t>
      </w:r>
      <w:r>
        <w:rPr>
          <w:spacing w:val="54"/>
        </w:rPr>
        <w:t> </w:t>
      </w:r>
      <w:r>
        <w:rPr/>
        <w:t>(circa</w:t>
      </w:r>
      <w:r>
        <w:rPr>
          <w:spacing w:val="56"/>
        </w:rPr>
        <w:t> </w:t>
      </w:r>
      <w:r>
        <w:rPr/>
        <w:t>1,8</w:t>
      </w:r>
      <w:r>
        <w:rPr>
          <w:spacing w:val="55"/>
        </w:rPr>
        <w:t> </w:t>
      </w:r>
      <w:r>
        <w:rPr/>
        <w:t>punti</w:t>
      </w:r>
      <w:r>
        <w:rPr>
          <w:spacing w:val="56"/>
        </w:rPr>
        <w:t> </w:t>
      </w:r>
      <w:r>
        <w:rPr/>
        <w:t>del</w:t>
      </w:r>
      <w:r>
        <w:rPr>
          <w:spacing w:val="55"/>
        </w:rPr>
        <w:t> </w:t>
      </w:r>
      <w:r>
        <w:rPr/>
        <w:t>PIL)</w:t>
      </w:r>
      <w:r>
        <w:rPr>
          <w:spacing w:val="57"/>
        </w:rPr>
        <w:t> </w:t>
      </w:r>
      <w:r>
        <w:rPr/>
        <w:t>è</w:t>
      </w:r>
      <w:r>
        <w:rPr>
          <w:spacing w:val="55"/>
        </w:rPr>
        <w:t> </w:t>
      </w:r>
      <w:r>
        <w:rPr/>
        <w:t>dovuto</w:t>
      </w:r>
      <w:r>
        <w:rPr>
          <w:spacing w:val="56"/>
        </w:rPr>
        <w:t> </w:t>
      </w:r>
      <w:r>
        <w:rPr/>
        <w:t>al</w:t>
      </w:r>
      <w:r>
        <w:rPr>
          <w:spacing w:val="53"/>
        </w:rPr>
        <w:t> </w:t>
      </w:r>
      <w:r>
        <w:rPr/>
        <w:t>calo</w:t>
      </w:r>
      <w:r>
        <w:rPr>
          <w:spacing w:val="55"/>
        </w:rPr>
        <w:t> </w:t>
      </w:r>
      <w:r>
        <w:rPr/>
        <w:t>del</w:t>
      </w:r>
    </w:p>
    <w:p>
      <w:pPr>
        <w:pStyle w:val="BodyText"/>
        <w:rPr>
          <w:sz w:val="20"/>
        </w:rPr>
      </w:pPr>
    </w:p>
    <w:p>
      <w:pPr>
        <w:pStyle w:val="BodyText"/>
        <w:rPr>
          <w:sz w:val="20"/>
        </w:rPr>
      </w:pPr>
    </w:p>
    <w:p>
      <w:pPr>
        <w:pStyle w:val="BodyText"/>
        <w:spacing w:before="1"/>
        <w:rPr>
          <w:sz w:val="24"/>
        </w:rPr>
      </w:pPr>
      <w:r>
        <w:rPr/>
        <w:pict>
          <v:group style="position:absolute;margin-left:136.100006pt;margin-top:15.971828pt;width:21.4pt;height:2.1pt;mso-position-horizontal-relative:page;mso-position-vertical-relative:paragraph;z-index:-251482112;mso-wrap-distance-left:0;mso-wrap-distance-right:0" coordorigin="2722,319" coordsize="428,42">
            <v:line style="position:absolute" from="2722,339" to="3149,339" stroked="true" strokeweight="1.9999pt" strokecolor="#aaaaaa">
              <v:stroke dashstyle="solid"/>
            </v:line>
            <v:rect style="position:absolute;left:2722;top:320;width:5;height:5" filled="true" fillcolor="#9f9f9f" stroked="false">
              <v:fill type="solid"/>
            </v:rect>
            <v:rect style="position:absolute;left:2722;top:320;width:5;height:5" filled="true" fillcolor="#9f9f9f" stroked="false">
              <v:fill type="solid"/>
            </v:rect>
            <v:line style="position:absolute" from="2727,323" to="3144,323" stroked="true" strokeweight=".23999pt" strokecolor="#9f9f9f">
              <v:stroke dashstyle="solid"/>
            </v:line>
            <v:rect style="position:absolute;left:3144;top:320;width:5;height:5" filled="true" fillcolor="#e2e2e2" stroked="false">
              <v:fill type="solid"/>
            </v:rect>
            <v:rect style="position:absolute;left:3144;top:320;width:5;height:5" filled="true" fillcolor="#9f9f9f" stroked="false">
              <v:fill type="solid"/>
            </v:rect>
            <v:rect style="position:absolute;left:2722;top:325;width:5;height:32" filled="true" fillcolor="#9f9f9f" stroked="false">
              <v:fill type="solid"/>
            </v:rect>
            <v:rect style="position:absolute;left:3144;top:325;width:5;height:32" filled="true" fillcolor="#e2e2e2" stroked="false">
              <v:fill type="solid"/>
            </v:rect>
            <v:rect style="position:absolute;left:2722;top:356;width:5;height:5" filled="true" fillcolor="#9f9f9f" stroked="false">
              <v:fill type="solid"/>
            </v:rect>
            <v:rect style="position:absolute;left:2722;top:356;width:5;height:5" filled="true" fillcolor="#e2e2e2" stroked="false">
              <v:fill type="solid"/>
            </v:rect>
            <v:line style="position:absolute" from="2727,359" to="3144,359" stroked="true" strokeweight=".24005pt" strokecolor="#e2e2e2">
              <v:stroke dashstyle="solid"/>
            </v:line>
            <v:rect style="position:absolute;left:3144;top:356;width:5;height:5" filled="true" fillcolor="#e2e2e2" stroked="false">
              <v:fill type="solid"/>
            </v:rect>
            <v:rect style="position:absolute;left:3144;top:356;width:5;height:5" filled="true" fillcolor="#e2e2e2" stroked="false">
              <v:fill type="solid"/>
            </v:rect>
            <w10:wrap type="topAndBottom"/>
          </v:group>
        </w:pict>
      </w:r>
    </w:p>
    <w:p>
      <w:pPr>
        <w:spacing w:before="21"/>
        <w:ind w:left="1128" w:right="1413" w:firstLine="453"/>
        <w:jc w:val="both"/>
        <w:rPr>
          <w:sz w:val="16"/>
        </w:rPr>
      </w:pPr>
      <w:r>
        <w:rPr>
          <w:position w:val="6"/>
          <w:sz w:val="10"/>
        </w:rPr>
        <w:t>45 </w:t>
      </w:r>
      <w:r>
        <w:rPr>
          <w:sz w:val="16"/>
        </w:rPr>
        <w:t>Quando lo scarto di emissione di un collocamento di un titolo di Stato è positivo (ossia con un prezzo di emissione</w:t>
      </w:r>
      <w:r>
        <w:rPr>
          <w:spacing w:val="-2"/>
          <w:sz w:val="16"/>
        </w:rPr>
        <w:t> </w:t>
      </w:r>
      <w:r>
        <w:rPr>
          <w:sz w:val="16"/>
        </w:rPr>
        <w:t>ben</w:t>
      </w:r>
      <w:r>
        <w:rPr>
          <w:spacing w:val="-3"/>
          <w:sz w:val="16"/>
        </w:rPr>
        <w:t> </w:t>
      </w:r>
      <w:r>
        <w:rPr>
          <w:sz w:val="16"/>
        </w:rPr>
        <w:t>superiore</w:t>
      </w:r>
      <w:r>
        <w:rPr>
          <w:spacing w:val="-1"/>
          <w:sz w:val="16"/>
        </w:rPr>
        <w:t> </w:t>
      </w:r>
      <w:r>
        <w:rPr>
          <w:sz w:val="16"/>
        </w:rPr>
        <w:t>alla</w:t>
      </w:r>
      <w:r>
        <w:rPr>
          <w:spacing w:val="-4"/>
          <w:sz w:val="16"/>
        </w:rPr>
        <w:t> </w:t>
      </w:r>
      <w:r>
        <w:rPr>
          <w:sz w:val="16"/>
        </w:rPr>
        <w:t>pari)</w:t>
      </w:r>
      <w:r>
        <w:rPr>
          <w:spacing w:val="-4"/>
          <w:sz w:val="16"/>
        </w:rPr>
        <w:t> </w:t>
      </w:r>
      <w:r>
        <w:rPr>
          <w:sz w:val="16"/>
        </w:rPr>
        <w:t>questo</w:t>
      </w:r>
      <w:r>
        <w:rPr>
          <w:spacing w:val="-3"/>
          <w:sz w:val="16"/>
        </w:rPr>
        <w:t> </w:t>
      </w:r>
      <w:r>
        <w:rPr>
          <w:sz w:val="16"/>
        </w:rPr>
        <w:t>implica</w:t>
      </w:r>
      <w:r>
        <w:rPr>
          <w:spacing w:val="-3"/>
          <w:sz w:val="16"/>
        </w:rPr>
        <w:t> </w:t>
      </w:r>
      <w:r>
        <w:rPr>
          <w:sz w:val="16"/>
        </w:rPr>
        <w:t>che</w:t>
      </w:r>
      <w:r>
        <w:rPr>
          <w:spacing w:val="-5"/>
          <w:sz w:val="16"/>
        </w:rPr>
        <w:t> </w:t>
      </w:r>
      <w:r>
        <w:rPr>
          <w:sz w:val="16"/>
        </w:rPr>
        <w:t>il</w:t>
      </w:r>
      <w:r>
        <w:rPr>
          <w:spacing w:val="-2"/>
          <w:sz w:val="16"/>
        </w:rPr>
        <w:t> </w:t>
      </w:r>
      <w:r>
        <w:rPr>
          <w:sz w:val="16"/>
        </w:rPr>
        <w:t>debito</w:t>
      </w:r>
      <w:r>
        <w:rPr>
          <w:spacing w:val="-6"/>
          <w:sz w:val="16"/>
        </w:rPr>
        <w:t> </w:t>
      </w:r>
      <w:r>
        <w:rPr>
          <w:sz w:val="16"/>
        </w:rPr>
        <w:t>nominale</w:t>
      </w:r>
      <w:r>
        <w:rPr>
          <w:spacing w:val="-1"/>
          <w:sz w:val="16"/>
        </w:rPr>
        <w:t> </w:t>
      </w:r>
      <w:r>
        <w:rPr>
          <w:sz w:val="16"/>
        </w:rPr>
        <w:t>emesso</w:t>
      </w:r>
      <w:r>
        <w:rPr>
          <w:spacing w:val="-6"/>
          <w:sz w:val="16"/>
        </w:rPr>
        <w:t> </w:t>
      </w:r>
      <w:r>
        <w:rPr>
          <w:sz w:val="16"/>
        </w:rPr>
        <w:t>è</w:t>
      </w:r>
      <w:r>
        <w:rPr>
          <w:spacing w:val="-1"/>
          <w:sz w:val="16"/>
        </w:rPr>
        <w:t> </w:t>
      </w:r>
      <w:r>
        <w:rPr>
          <w:sz w:val="16"/>
        </w:rPr>
        <w:t>inferiore</w:t>
      </w:r>
      <w:r>
        <w:rPr>
          <w:spacing w:val="-5"/>
          <w:sz w:val="16"/>
        </w:rPr>
        <w:t> </w:t>
      </w:r>
      <w:r>
        <w:rPr>
          <w:sz w:val="16"/>
        </w:rPr>
        <w:t>alla</w:t>
      </w:r>
      <w:r>
        <w:rPr>
          <w:spacing w:val="-5"/>
          <w:sz w:val="16"/>
        </w:rPr>
        <w:t> </w:t>
      </w:r>
      <w:r>
        <w:rPr>
          <w:sz w:val="16"/>
        </w:rPr>
        <w:t>copertura</w:t>
      </w:r>
      <w:r>
        <w:rPr>
          <w:spacing w:val="-4"/>
          <w:sz w:val="16"/>
        </w:rPr>
        <w:t> </w:t>
      </w:r>
      <w:r>
        <w:rPr>
          <w:sz w:val="16"/>
        </w:rPr>
        <w:t>di</w:t>
      </w:r>
      <w:r>
        <w:rPr>
          <w:spacing w:val="-3"/>
          <w:sz w:val="16"/>
        </w:rPr>
        <w:t> </w:t>
      </w:r>
      <w:r>
        <w:rPr>
          <w:sz w:val="16"/>
        </w:rPr>
        <w:t>cassa che la stessa emissione garantisce. Ciò accade quando le cedole dei titoli che vengono offerti sul mercato sono superiori</w:t>
      </w:r>
      <w:r>
        <w:rPr>
          <w:spacing w:val="-10"/>
          <w:sz w:val="16"/>
        </w:rPr>
        <w:t> </w:t>
      </w:r>
      <w:r>
        <w:rPr>
          <w:sz w:val="16"/>
        </w:rPr>
        <w:t>ai</w:t>
      </w:r>
      <w:r>
        <w:rPr>
          <w:spacing w:val="-11"/>
          <w:sz w:val="16"/>
        </w:rPr>
        <w:t> </w:t>
      </w:r>
      <w:r>
        <w:rPr>
          <w:sz w:val="16"/>
        </w:rPr>
        <w:t>tassi</w:t>
      </w:r>
      <w:r>
        <w:rPr>
          <w:spacing w:val="-10"/>
          <w:sz w:val="16"/>
        </w:rPr>
        <w:t> </w:t>
      </w:r>
      <w:r>
        <w:rPr>
          <w:sz w:val="16"/>
        </w:rPr>
        <w:t>di</w:t>
      </w:r>
      <w:r>
        <w:rPr>
          <w:spacing w:val="-10"/>
          <w:sz w:val="16"/>
        </w:rPr>
        <w:t> </w:t>
      </w:r>
      <w:r>
        <w:rPr>
          <w:sz w:val="16"/>
        </w:rPr>
        <w:t>interesse</w:t>
      </w:r>
      <w:r>
        <w:rPr>
          <w:spacing w:val="-8"/>
          <w:sz w:val="16"/>
        </w:rPr>
        <w:t> </w:t>
      </w:r>
      <w:r>
        <w:rPr>
          <w:sz w:val="16"/>
        </w:rPr>
        <w:t>correnti.</w:t>
      </w:r>
      <w:r>
        <w:rPr>
          <w:spacing w:val="-9"/>
          <w:sz w:val="16"/>
        </w:rPr>
        <w:t> </w:t>
      </w:r>
      <w:r>
        <w:rPr>
          <w:sz w:val="16"/>
        </w:rPr>
        <w:t>La</w:t>
      </w:r>
      <w:r>
        <w:rPr>
          <w:spacing w:val="-10"/>
          <w:sz w:val="16"/>
        </w:rPr>
        <w:t> </w:t>
      </w:r>
      <w:r>
        <w:rPr>
          <w:sz w:val="16"/>
        </w:rPr>
        <w:t>politica</w:t>
      </w:r>
      <w:r>
        <w:rPr>
          <w:spacing w:val="-10"/>
          <w:sz w:val="16"/>
        </w:rPr>
        <w:t> </w:t>
      </w:r>
      <w:r>
        <w:rPr>
          <w:sz w:val="16"/>
        </w:rPr>
        <w:t>di</w:t>
      </w:r>
      <w:r>
        <w:rPr>
          <w:spacing w:val="-9"/>
          <w:sz w:val="16"/>
        </w:rPr>
        <w:t> </w:t>
      </w:r>
      <w:r>
        <w:rPr>
          <w:sz w:val="16"/>
        </w:rPr>
        <w:t>emissione</w:t>
      </w:r>
      <w:r>
        <w:rPr>
          <w:spacing w:val="-9"/>
          <w:sz w:val="16"/>
        </w:rPr>
        <w:t> </w:t>
      </w:r>
      <w:r>
        <w:rPr>
          <w:sz w:val="16"/>
        </w:rPr>
        <w:t>del</w:t>
      </w:r>
      <w:r>
        <w:rPr>
          <w:spacing w:val="-9"/>
          <w:sz w:val="16"/>
        </w:rPr>
        <w:t> </w:t>
      </w:r>
      <w:r>
        <w:rPr>
          <w:sz w:val="16"/>
        </w:rPr>
        <w:t>Tesoro,</w:t>
      </w:r>
      <w:r>
        <w:rPr>
          <w:spacing w:val="-9"/>
          <w:sz w:val="16"/>
        </w:rPr>
        <w:t> </w:t>
      </w:r>
      <w:r>
        <w:rPr>
          <w:sz w:val="16"/>
        </w:rPr>
        <w:t>finalizzata</w:t>
      </w:r>
      <w:r>
        <w:rPr>
          <w:spacing w:val="-10"/>
          <w:sz w:val="16"/>
        </w:rPr>
        <w:t> </w:t>
      </w:r>
      <w:r>
        <w:rPr>
          <w:sz w:val="16"/>
        </w:rPr>
        <w:t>a</w:t>
      </w:r>
      <w:r>
        <w:rPr>
          <w:spacing w:val="-9"/>
          <w:sz w:val="16"/>
        </w:rPr>
        <w:t> </w:t>
      </w:r>
      <w:r>
        <w:rPr>
          <w:sz w:val="16"/>
        </w:rPr>
        <w:t>garantire</w:t>
      </w:r>
      <w:r>
        <w:rPr>
          <w:spacing w:val="-9"/>
          <w:sz w:val="16"/>
        </w:rPr>
        <w:t> </w:t>
      </w:r>
      <w:r>
        <w:rPr>
          <w:sz w:val="16"/>
        </w:rPr>
        <w:t>adeguata</w:t>
      </w:r>
      <w:r>
        <w:rPr>
          <w:spacing w:val="-10"/>
          <w:sz w:val="16"/>
        </w:rPr>
        <w:t> </w:t>
      </w:r>
      <w:r>
        <w:rPr>
          <w:sz w:val="16"/>
        </w:rPr>
        <w:t>liquidità a tutti i titoli anche attraverso un adeguato flottante in circolazione, nelle fasi di forte riduzione dei tassi, tende inevitabilmente ad accumulare scarti di emissione positivi, proprio per l’esigenza di riaprire sul mercato titoli lanciati</w:t>
      </w:r>
      <w:r>
        <w:rPr>
          <w:spacing w:val="-13"/>
          <w:sz w:val="16"/>
        </w:rPr>
        <w:t> </w:t>
      </w:r>
      <w:r>
        <w:rPr>
          <w:sz w:val="16"/>
        </w:rPr>
        <w:t>in</w:t>
      </w:r>
      <w:r>
        <w:rPr>
          <w:spacing w:val="-12"/>
          <w:sz w:val="16"/>
        </w:rPr>
        <w:t> </w:t>
      </w:r>
      <w:r>
        <w:rPr>
          <w:sz w:val="16"/>
        </w:rPr>
        <w:t>fasi</w:t>
      </w:r>
      <w:r>
        <w:rPr>
          <w:spacing w:val="-13"/>
          <w:sz w:val="16"/>
        </w:rPr>
        <w:t> </w:t>
      </w:r>
      <w:r>
        <w:rPr>
          <w:sz w:val="16"/>
        </w:rPr>
        <w:t>di</w:t>
      </w:r>
      <w:r>
        <w:rPr>
          <w:spacing w:val="-13"/>
          <w:sz w:val="16"/>
        </w:rPr>
        <w:t> </w:t>
      </w:r>
      <w:r>
        <w:rPr>
          <w:sz w:val="16"/>
        </w:rPr>
        <w:t>mercato</w:t>
      </w:r>
      <w:r>
        <w:rPr>
          <w:spacing w:val="-12"/>
          <w:sz w:val="16"/>
        </w:rPr>
        <w:t> </w:t>
      </w:r>
      <w:r>
        <w:rPr>
          <w:sz w:val="16"/>
        </w:rPr>
        <w:t>con</w:t>
      </w:r>
      <w:r>
        <w:rPr>
          <w:spacing w:val="-12"/>
          <w:sz w:val="16"/>
        </w:rPr>
        <w:t> </w:t>
      </w:r>
      <w:r>
        <w:rPr>
          <w:sz w:val="16"/>
        </w:rPr>
        <w:t>tassi</w:t>
      </w:r>
      <w:r>
        <w:rPr>
          <w:spacing w:val="-13"/>
          <w:sz w:val="16"/>
        </w:rPr>
        <w:t> </w:t>
      </w:r>
      <w:r>
        <w:rPr>
          <w:sz w:val="16"/>
        </w:rPr>
        <w:t>superiori.</w:t>
      </w:r>
      <w:r>
        <w:rPr>
          <w:spacing w:val="-11"/>
          <w:sz w:val="16"/>
        </w:rPr>
        <w:t> </w:t>
      </w:r>
      <w:r>
        <w:rPr>
          <w:sz w:val="16"/>
        </w:rPr>
        <w:t>L’impostazione</w:t>
      </w:r>
      <w:r>
        <w:rPr>
          <w:spacing w:val="-11"/>
          <w:sz w:val="16"/>
        </w:rPr>
        <w:t> </w:t>
      </w:r>
      <w:r>
        <w:rPr>
          <w:sz w:val="16"/>
        </w:rPr>
        <w:t>del</w:t>
      </w:r>
      <w:r>
        <w:rPr>
          <w:spacing w:val="-12"/>
          <w:sz w:val="16"/>
        </w:rPr>
        <w:t> </w:t>
      </w:r>
      <w:r>
        <w:rPr>
          <w:sz w:val="16"/>
        </w:rPr>
        <w:t>modello</w:t>
      </w:r>
      <w:r>
        <w:rPr>
          <w:spacing w:val="-12"/>
          <w:sz w:val="16"/>
        </w:rPr>
        <w:t> </w:t>
      </w:r>
      <w:r>
        <w:rPr>
          <w:sz w:val="16"/>
        </w:rPr>
        <w:t>previsionale</w:t>
      </w:r>
      <w:r>
        <w:rPr>
          <w:spacing w:val="-11"/>
          <w:sz w:val="16"/>
        </w:rPr>
        <w:t> </w:t>
      </w:r>
      <w:r>
        <w:rPr>
          <w:sz w:val="16"/>
        </w:rPr>
        <w:t>del</w:t>
      </w:r>
      <w:r>
        <w:rPr>
          <w:spacing w:val="-12"/>
          <w:sz w:val="16"/>
        </w:rPr>
        <w:t> </w:t>
      </w:r>
      <w:r>
        <w:rPr>
          <w:sz w:val="16"/>
        </w:rPr>
        <w:t>Tesoro</w:t>
      </w:r>
      <w:r>
        <w:rPr>
          <w:spacing w:val="-12"/>
          <w:sz w:val="16"/>
        </w:rPr>
        <w:t> </w:t>
      </w:r>
      <w:r>
        <w:rPr>
          <w:sz w:val="16"/>
        </w:rPr>
        <w:t>è</w:t>
      </w:r>
      <w:r>
        <w:rPr>
          <w:spacing w:val="-11"/>
          <w:sz w:val="16"/>
        </w:rPr>
        <w:t> </w:t>
      </w:r>
      <w:r>
        <w:rPr>
          <w:sz w:val="16"/>
        </w:rPr>
        <w:t>basata</w:t>
      </w:r>
      <w:r>
        <w:rPr>
          <w:spacing w:val="-13"/>
          <w:sz w:val="16"/>
        </w:rPr>
        <w:t> </w:t>
      </w:r>
      <w:r>
        <w:rPr>
          <w:sz w:val="16"/>
        </w:rPr>
        <w:t>su</w:t>
      </w:r>
      <w:r>
        <w:rPr>
          <w:spacing w:val="-12"/>
          <w:sz w:val="16"/>
        </w:rPr>
        <w:t> </w:t>
      </w:r>
      <w:r>
        <w:rPr>
          <w:sz w:val="16"/>
        </w:rPr>
        <w:t>questo approccio alla politica di</w:t>
      </w:r>
      <w:r>
        <w:rPr>
          <w:spacing w:val="-5"/>
          <w:sz w:val="16"/>
        </w:rPr>
        <w:t> </w:t>
      </w:r>
      <w:r>
        <w:rPr>
          <w:sz w:val="16"/>
        </w:rPr>
        <w:t>emissione.</w:t>
      </w:r>
    </w:p>
    <w:p>
      <w:pPr>
        <w:spacing w:after="0"/>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47" w:lineRule="auto" w:before="101"/>
        <w:ind w:left="278" w:right="2262"/>
        <w:jc w:val="both"/>
      </w:pPr>
      <w:r>
        <w:rPr/>
        <w:t>fabbisogno del settore pubblico di circa 0,6 punti percentuali di PIL, in presenza di una crescita nominale più robusta, prevista al 2,7 per cento.</w:t>
      </w:r>
    </w:p>
    <w:p>
      <w:pPr>
        <w:pStyle w:val="BodyText"/>
        <w:spacing w:line="247" w:lineRule="auto"/>
        <w:ind w:left="278" w:right="2262" w:firstLine="453"/>
        <w:jc w:val="both"/>
      </w:pPr>
      <w:r>
        <w:rPr/>
        <w:t>Nel 2022 è attesa un’ulteriore discesa del rapporto debito/PIL, al 131,4 per cento. Il ritmo di discesa sarà lievemente superiore a quello dell’anno precedente, per</w:t>
      </w:r>
      <w:r>
        <w:rPr>
          <w:spacing w:val="-15"/>
        </w:rPr>
        <w:t> </w:t>
      </w:r>
      <w:r>
        <w:rPr/>
        <w:t>effetto</w:t>
      </w:r>
      <w:r>
        <w:rPr>
          <w:spacing w:val="-17"/>
        </w:rPr>
        <w:t> </w:t>
      </w:r>
      <w:r>
        <w:rPr/>
        <w:t>della</w:t>
      </w:r>
      <w:r>
        <w:rPr>
          <w:spacing w:val="-16"/>
        </w:rPr>
        <w:t> </w:t>
      </w:r>
      <w:r>
        <w:rPr/>
        <w:t>crescita</w:t>
      </w:r>
      <w:r>
        <w:rPr>
          <w:spacing w:val="-19"/>
        </w:rPr>
        <w:t> </w:t>
      </w:r>
      <w:r>
        <w:rPr/>
        <w:t>nominale,</w:t>
      </w:r>
      <w:r>
        <w:rPr>
          <w:spacing w:val="-16"/>
        </w:rPr>
        <w:t> </w:t>
      </w:r>
      <w:r>
        <w:rPr/>
        <w:t>pari</w:t>
      </w:r>
      <w:r>
        <w:rPr>
          <w:spacing w:val="-15"/>
        </w:rPr>
        <w:t> </w:t>
      </w:r>
      <w:r>
        <w:rPr/>
        <w:t>al</w:t>
      </w:r>
      <w:r>
        <w:rPr>
          <w:spacing w:val="-17"/>
        </w:rPr>
        <w:t> </w:t>
      </w:r>
      <w:r>
        <w:rPr/>
        <w:t>2,6</w:t>
      </w:r>
      <w:r>
        <w:rPr>
          <w:spacing w:val="-17"/>
        </w:rPr>
        <w:t> </w:t>
      </w:r>
      <w:r>
        <w:rPr/>
        <w:t>per</w:t>
      </w:r>
      <w:r>
        <w:rPr>
          <w:spacing w:val="-17"/>
        </w:rPr>
        <w:t> </w:t>
      </w:r>
      <w:r>
        <w:rPr/>
        <w:t>cento,</w:t>
      </w:r>
      <w:r>
        <w:rPr>
          <w:spacing w:val="-15"/>
        </w:rPr>
        <w:t> </w:t>
      </w:r>
      <w:r>
        <w:rPr/>
        <w:t>e</w:t>
      </w:r>
      <w:r>
        <w:rPr>
          <w:spacing w:val="-15"/>
        </w:rPr>
        <w:t> </w:t>
      </w:r>
      <w:r>
        <w:rPr/>
        <w:t>di</w:t>
      </w:r>
      <w:r>
        <w:rPr>
          <w:spacing w:val="-17"/>
        </w:rPr>
        <w:t> </w:t>
      </w:r>
      <w:r>
        <w:rPr/>
        <w:t>un</w:t>
      </w:r>
      <w:r>
        <w:rPr>
          <w:spacing w:val="-20"/>
        </w:rPr>
        <w:t> </w:t>
      </w:r>
      <w:r>
        <w:rPr/>
        <w:t>calo</w:t>
      </w:r>
      <w:r>
        <w:rPr>
          <w:spacing w:val="-16"/>
        </w:rPr>
        <w:t> </w:t>
      </w:r>
      <w:r>
        <w:rPr/>
        <w:t>del</w:t>
      </w:r>
      <w:r>
        <w:rPr>
          <w:spacing w:val="-16"/>
        </w:rPr>
        <w:t> </w:t>
      </w:r>
      <w:r>
        <w:rPr/>
        <w:t>fabbisogno del settore pubblico di circa lo 0,5 per cento del</w:t>
      </w:r>
      <w:r>
        <w:rPr>
          <w:spacing w:val="-13"/>
        </w:rPr>
        <w:t> </w:t>
      </w:r>
      <w:r>
        <w:rPr/>
        <w:t>PIL</w:t>
      </w:r>
      <w:r>
        <w:rPr>
          <w:vertAlign w:val="superscript"/>
        </w:rPr>
        <w:t>46</w:t>
      </w:r>
      <w:r>
        <w:rPr>
          <w:vertAlign w:val="baseline"/>
        </w:rPr>
        <w:t>.</w:t>
      </w:r>
    </w:p>
    <w:p>
      <w:pPr>
        <w:pStyle w:val="BodyText"/>
        <w:spacing w:before="5"/>
        <w:rPr>
          <w:sz w:val="23"/>
        </w:rPr>
      </w:pPr>
    </w:p>
    <w:tbl>
      <w:tblPr>
        <w:tblW w:w="0" w:type="auto"/>
        <w:jc w:val="left"/>
        <w:tblInd w:w="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94"/>
        <w:gridCol w:w="1058"/>
        <w:gridCol w:w="879"/>
        <w:gridCol w:w="878"/>
        <w:gridCol w:w="879"/>
        <w:gridCol w:w="834"/>
      </w:tblGrid>
      <w:tr>
        <w:trPr>
          <w:trHeight w:val="475" w:hRule="atLeast"/>
        </w:trPr>
        <w:tc>
          <w:tcPr>
            <w:tcW w:w="8222" w:type="dxa"/>
            <w:gridSpan w:val="6"/>
            <w:shd w:val="clear" w:color="auto" w:fill="086D44"/>
          </w:tcPr>
          <w:p>
            <w:pPr>
              <w:pStyle w:val="TableParagraph"/>
              <w:spacing w:line="186" w:lineRule="exact" w:before="45"/>
              <w:ind w:left="55"/>
              <w:jc w:val="left"/>
              <w:rPr>
                <w:rFonts w:ascii="Franklin Gothic Heavy"/>
                <w:b/>
                <w:sz w:val="17"/>
              </w:rPr>
            </w:pPr>
            <w:r>
              <w:rPr>
                <w:rFonts w:ascii="Franklin Gothic Heavy"/>
                <w:b/>
                <w:color w:val="EFEFEF"/>
                <w:sz w:val="17"/>
              </w:rPr>
              <w:t>TAVOLA III.7 DEBITO DELLE AMMINISTRAZIONI PUBBLICHE PER SOTTOSETTORE (1)</w:t>
            </w:r>
          </w:p>
          <w:p>
            <w:pPr>
              <w:pStyle w:val="TableParagraph"/>
              <w:spacing w:line="186" w:lineRule="exact"/>
              <w:ind w:left="55"/>
              <w:jc w:val="left"/>
              <w:rPr>
                <w:rFonts w:ascii="Franklin Gothic Heavy"/>
                <w:b/>
                <w:sz w:val="17"/>
              </w:rPr>
            </w:pPr>
            <w:r>
              <w:rPr>
                <w:rFonts w:ascii="Franklin Gothic Heavy"/>
                <w:b/>
                <w:color w:val="EFEFEF"/>
                <w:sz w:val="17"/>
              </w:rPr>
              <w:t>(in milioni e in percentuale del PIL)</w:t>
            </w:r>
          </w:p>
        </w:tc>
      </w:tr>
      <w:tr>
        <w:trPr>
          <w:trHeight w:val="225" w:hRule="atLeast"/>
        </w:trPr>
        <w:tc>
          <w:tcPr>
            <w:tcW w:w="3694" w:type="dxa"/>
            <w:tcBorders>
              <w:bottom w:val="single" w:sz="2" w:space="0" w:color="000000"/>
            </w:tcBorders>
          </w:tcPr>
          <w:p>
            <w:pPr>
              <w:pStyle w:val="TableParagraph"/>
              <w:jc w:val="left"/>
              <w:rPr>
                <w:rFonts w:ascii="Times New Roman"/>
                <w:sz w:val="16"/>
              </w:rPr>
            </w:pPr>
          </w:p>
        </w:tc>
        <w:tc>
          <w:tcPr>
            <w:tcW w:w="1058" w:type="dxa"/>
            <w:tcBorders>
              <w:bottom w:val="single" w:sz="2" w:space="0" w:color="000000"/>
            </w:tcBorders>
          </w:tcPr>
          <w:p>
            <w:pPr>
              <w:pStyle w:val="TableParagraph"/>
              <w:spacing w:before="9"/>
              <w:ind w:right="67"/>
              <w:rPr>
                <w:sz w:val="17"/>
              </w:rPr>
            </w:pPr>
            <w:r>
              <w:rPr>
                <w:sz w:val="17"/>
              </w:rPr>
              <w:t>2018</w:t>
            </w:r>
          </w:p>
        </w:tc>
        <w:tc>
          <w:tcPr>
            <w:tcW w:w="879" w:type="dxa"/>
            <w:tcBorders>
              <w:bottom w:val="single" w:sz="2" w:space="0" w:color="000000"/>
            </w:tcBorders>
          </w:tcPr>
          <w:p>
            <w:pPr>
              <w:pStyle w:val="TableParagraph"/>
              <w:spacing w:before="9"/>
              <w:ind w:right="68"/>
              <w:rPr>
                <w:sz w:val="17"/>
              </w:rPr>
            </w:pPr>
            <w:r>
              <w:rPr>
                <w:sz w:val="17"/>
              </w:rPr>
              <w:t>2019</w:t>
            </w:r>
          </w:p>
        </w:tc>
        <w:tc>
          <w:tcPr>
            <w:tcW w:w="878" w:type="dxa"/>
            <w:tcBorders>
              <w:bottom w:val="single" w:sz="2" w:space="0" w:color="000000"/>
            </w:tcBorders>
          </w:tcPr>
          <w:p>
            <w:pPr>
              <w:pStyle w:val="TableParagraph"/>
              <w:spacing w:before="9"/>
              <w:ind w:right="69"/>
              <w:rPr>
                <w:sz w:val="17"/>
              </w:rPr>
            </w:pPr>
            <w:r>
              <w:rPr>
                <w:sz w:val="17"/>
              </w:rPr>
              <w:t>2020</w:t>
            </w:r>
          </w:p>
        </w:tc>
        <w:tc>
          <w:tcPr>
            <w:tcW w:w="879" w:type="dxa"/>
            <w:tcBorders>
              <w:bottom w:val="single" w:sz="2" w:space="0" w:color="000000"/>
            </w:tcBorders>
          </w:tcPr>
          <w:p>
            <w:pPr>
              <w:pStyle w:val="TableParagraph"/>
              <w:spacing w:before="9"/>
              <w:ind w:right="69"/>
              <w:rPr>
                <w:sz w:val="17"/>
              </w:rPr>
            </w:pPr>
            <w:r>
              <w:rPr>
                <w:sz w:val="17"/>
              </w:rPr>
              <w:t>2021</w:t>
            </w:r>
          </w:p>
        </w:tc>
        <w:tc>
          <w:tcPr>
            <w:tcW w:w="834" w:type="dxa"/>
            <w:tcBorders>
              <w:bottom w:val="single" w:sz="2" w:space="0" w:color="000000"/>
            </w:tcBorders>
          </w:tcPr>
          <w:p>
            <w:pPr>
              <w:pStyle w:val="TableParagraph"/>
              <w:spacing w:before="9"/>
              <w:ind w:right="23"/>
              <w:rPr>
                <w:sz w:val="17"/>
              </w:rPr>
            </w:pPr>
            <w:r>
              <w:rPr>
                <w:sz w:val="17"/>
              </w:rPr>
              <w:t>2022</w:t>
            </w:r>
          </w:p>
        </w:tc>
      </w:tr>
      <w:tr>
        <w:trPr>
          <w:trHeight w:val="426" w:hRule="atLeast"/>
        </w:trPr>
        <w:tc>
          <w:tcPr>
            <w:tcW w:w="3694" w:type="dxa"/>
            <w:tcBorders>
              <w:top w:val="single" w:sz="2" w:space="0" w:color="000000"/>
            </w:tcBorders>
          </w:tcPr>
          <w:p>
            <w:pPr>
              <w:pStyle w:val="TableParagraph"/>
              <w:spacing w:before="11"/>
              <w:ind w:left="26"/>
              <w:jc w:val="left"/>
              <w:rPr>
                <w:sz w:val="16"/>
              </w:rPr>
            </w:pPr>
            <w:r>
              <w:rPr>
                <w:sz w:val="16"/>
              </w:rPr>
              <w:t>Livello al lordo dei sostegni finanziari Area Euro (2)</w:t>
            </w:r>
          </w:p>
          <w:p>
            <w:pPr>
              <w:pStyle w:val="TableParagraph"/>
              <w:spacing w:line="178" w:lineRule="exact" w:before="35"/>
              <w:ind w:left="26"/>
              <w:jc w:val="left"/>
              <w:rPr>
                <w:sz w:val="16"/>
              </w:rPr>
            </w:pPr>
            <w:r>
              <w:rPr>
                <w:sz w:val="16"/>
              </w:rPr>
              <w:t>Amministrazioni pubbliche</w:t>
            </w:r>
          </w:p>
        </w:tc>
        <w:tc>
          <w:tcPr>
            <w:tcW w:w="1058" w:type="dxa"/>
            <w:tcBorders>
              <w:top w:val="single" w:sz="2" w:space="0" w:color="000000"/>
            </w:tcBorders>
          </w:tcPr>
          <w:p>
            <w:pPr>
              <w:pStyle w:val="TableParagraph"/>
              <w:spacing w:before="7"/>
              <w:jc w:val="left"/>
              <w:rPr>
                <w:rFonts w:ascii="Trebuchet MS"/>
                <w:sz w:val="19"/>
              </w:rPr>
            </w:pPr>
          </w:p>
          <w:p>
            <w:pPr>
              <w:pStyle w:val="TableParagraph"/>
              <w:spacing w:line="178" w:lineRule="exact"/>
              <w:ind w:right="69"/>
              <w:rPr>
                <w:sz w:val="16"/>
              </w:rPr>
            </w:pPr>
            <w:r>
              <w:rPr>
                <w:sz w:val="16"/>
              </w:rPr>
              <w:t>2.380.306</w:t>
            </w:r>
          </w:p>
        </w:tc>
        <w:tc>
          <w:tcPr>
            <w:tcW w:w="879" w:type="dxa"/>
            <w:tcBorders>
              <w:top w:val="single" w:sz="2" w:space="0" w:color="000000"/>
            </w:tcBorders>
          </w:tcPr>
          <w:p>
            <w:pPr>
              <w:pStyle w:val="TableParagraph"/>
              <w:spacing w:before="7"/>
              <w:jc w:val="left"/>
              <w:rPr>
                <w:rFonts w:ascii="Trebuchet MS"/>
                <w:sz w:val="19"/>
              </w:rPr>
            </w:pPr>
          </w:p>
          <w:p>
            <w:pPr>
              <w:pStyle w:val="TableParagraph"/>
              <w:spacing w:line="178" w:lineRule="exact"/>
              <w:ind w:right="69"/>
              <w:rPr>
                <w:sz w:val="16"/>
              </w:rPr>
            </w:pPr>
            <w:r>
              <w:rPr>
                <w:sz w:val="16"/>
              </w:rPr>
              <w:t>2.420.341</w:t>
            </w:r>
          </w:p>
        </w:tc>
        <w:tc>
          <w:tcPr>
            <w:tcW w:w="878" w:type="dxa"/>
            <w:tcBorders>
              <w:top w:val="single" w:sz="2" w:space="0" w:color="000000"/>
            </w:tcBorders>
          </w:tcPr>
          <w:p>
            <w:pPr>
              <w:pStyle w:val="TableParagraph"/>
              <w:spacing w:before="7"/>
              <w:jc w:val="left"/>
              <w:rPr>
                <w:rFonts w:ascii="Trebuchet MS"/>
                <w:sz w:val="19"/>
              </w:rPr>
            </w:pPr>
          </w:p>
          <w:p>
            <w:pPr>
              <w:pStyle w:val="TableParagraph"/>
              <w:spacing w:line="178" w:lineRule="exact"/>
              <w:ind w:right="68"/>
              <w:rPr>
                <w:sz w:val="16"/>
              </w:rPr>
            </w:pPr>
            <w:r>
              <w:rPr>
                <w:sz w:val="16"/>
              </w:rPr>
              <w:t>2.457.921</w:t>
            </w:r>
          </w:p>
        </w:tc>
        <w:tc>
          <w:tcPr>
            <w:tcW w:w="879" w:type="dxa"/>
            <w:tcBorders>
              <w:top w:val="single" w:sz="2" w:space="0" w:color="000000"/>
            </w:tcBorders>
          </w:tcPr>
          <w:p>
            <w:pPr>
              <w:pStyle w:val="TableParagraph"/>
              <w:spacing w:before="7"/>
              <w:jc w:val="left"/>
              <w:rPr>
                <w:rFonts w:ascii="Trebuchet MS"/>
                <w:sz w:val="19"/>
              </w:rPr>
            </w:pPr>
          </w:p>
          <w:p>
            <w:pPr>
              <w:pStyle w:val="TableParagraph"/>
              <w:spacing w:line="178" w:lineRule="exact"/>
              <w:ind w:right="69"/>
              <w:rPr>
                <w:sz w:val="16"/>
              </w:rPr>
            </w:pPr>
            <w:r>
              <w:rPr>
                <w:sz w:val="16"/>
              </w:rPr>
              <w:t>2.492.070</w:t>
            </w:r>
          </w:p>
        </w:tc>
        <w:tc>
          <w:tcPr>
            <w:tcW w:w="834" w:type="dxa"/>
            <w:tcBorders>
              <w:top w:val="single" w:sz="2" w:space="0" w:color="000000"/>
            </w:tcBorders>
          </w:tcPr>
          <w:p>
            <w:pPr>
              <w:pStyle w:val="TableParagraph"/>
              <w:spacing w:before="7"/>
              <w:jc w:val="left"/>
              <w:rPr>
                <w:rFonts w:ascii="Trebuchet MS"/>
                <w:sz w:val="19"/>
              </w:rPr>
            </w:pPr>
          </w:p>
          <w:p>
            <w:pPr>
              <w:pStyle w:val="TableParagraph"/>
              <w:spacing w:line="178" w:lineRule="exact"/>
              <w:ind w:right="24"/>
              <w:rPr>
                <w:sz w:val="16"/>
              </w:rPr>
            </w:pPr>
            <w:r>
              <w:rPr>
                <w:sz w:val="16"/>
              </w:rPr>
              <w:t>2.519.922</w:t>
            </w:r>
          </w:p>
        </w:tc>
      </w:tr>
      <w:tr>
        <w:trPr>
          <w:trHeight w:val="276" w:hRule="atLeast"/>
        </w:trPr>
        <w:tc>
          <w:tcPr>
            <w:tcW w:w="3694" w:type="dxa"/>
          </w:tcPr>
          <w:p>
            <w:pPr>
              <w:pStyle w:val="TableParagraph"/>
              <w:spacing w:before="17"/>
              <w:ind w:left="26"/>
              <w:jc w:val="left"/>
              <w:rPr>
                <w:i/>
                <w:sz w:val="16"/>
              </w:rPr>
            </w:pPr>
            <w:r>
              <w:rPr>
                <w:i/>
                <w:sz w:val="16"/>
              </w:rPr>
              <w:t>in % del PIL</w:t>
            </w:r>
          </w:p>
        </w:tc>
        <w:tc>
          <w:tcPr>
            <w:tcW w:w="1058" w:type="dxa"/>
          </w:tcPr>
          <w:p>
            <w:pPr>
              <w:pStyle w:val="TableParagraph"/>
              <w:spacing w:before="17"/>
              <w:ind w:right="68"/>
              <w:rPr>
                <w:i/>
                <w:sz w:val="16"/>
              </w:rPr>
            </w:pPr>
            <w:r>
              <w:rPr>
                <w:i/>
                <w:sz w:val="16"/>
              </w:rPr>
              <w:t>134,8</w:t>
            </w:r>
          </w:p>
        </w:tc>
        <w:tc>
          <w:tcPr>
            <w:tcW w:w="879" w:type="dxa"/>
          </w:tcPr>
          <w:p>
            <w:pPr>
              <w:pStyle w:val="TableParagraph"/>
              <w:spacing w:before="17"/>
              <w:ind w:right="69"/>
              <w:rPr>
                <w:i/>
                <w:sz w:val="16"/>
              </w:rPr>
            </w:pPr>
            <w:r>
              <w:rPr>
                <w:i/>
                <w:sz w:val="16"/>
              </w:rPr>
              <w:t>135,7</w:t>
            </w:r>
          </w:p>
        </w:tc>
        <w:tc>
          <w:tcPr>
            <w:tcW w:w="878" w:type="dxa"/>
          </w:tcPr>
          <w:p>
            <w:pPr>
              <w:pStyle w:val="TableParagraph"/>
              <w:spacing w:before="17"/>
              <w:ind w:right="68"/>
              <w:rPr>
                <w:i/>
                <w:sz w:val="16"/>
              </w:rPr>
            </w:pPr>
            <w:r>
              <w:rPr>
                <w:i/>
                <w:sz w:val="16"/>
              </w:rPr>
              <w:t>135,2</w:t>
            </w:r>
          </w:p>
        </w:tc>
        <w:tc>
          <w:tcPr>
            <w:tcW w:w="879" w:type="dxa"/>
          </w:tcPr>
          <w:p>
            <w:pPr>
              <w:pStyle w:val="TableParagraph"/>
              <w:spacing w:before="17"/>
              <w:ind w:right="69"/>
              <w:rPr>
                <w:i/>
                <w:sz w:val="16"/>
              </w:rPr>
            </w:pPr>
            <w:r>
              <w:rPr>
                <w:i/>
                <w:sz w:val="16"/>
              </w:rPr>
              <w:t>133,4</w:t>
            </w:r>
          </w:p>
        </w:tc>
        <w:tc>
          <w:tcPr>
            <w:tcW w:w="834" w:type="dxa"/>
          </w:tcPr>
          <w:p>
            <w:pPr>
              <w:pStyle w:val="TableParagraph"/>
              <w:spacing w:before="17"/>
              <w:ind w:right="24"/>
              <w:rPr>
                <w:i/>
                <w:sz w:val="16"/>
              </w:rPr>
            </w:pPr>
            <w:r>
              <w:rPr>
                <w:i/>
                <w:sz w:val="16"/>
              </w:rPr>
              <w:t>131,4</w:t>
            </w:r>
          </w:p>
        </w:tc>
      </w:tr>
      <w:tr>
        <w:trPr>
          <w:trHeight w:val="276" w:hRule="atLeast"/>
        </w:trPr>
        <w:tc>
          <w:tcPr>
            <w:tcW w:w="3694" w:type="dxa"/>
          </w:tcPr>
          <w:p>
            <w:pPr>
              <w:pStyle w:val="TableParagraph"/>
              <w:spacing w:line="179" w:lineRule="exact" w:before="77"/>
              <w:ind w:left="26"/>
              <w:jc w:val="left"/>
              <w:rPr>
                <w:sz w:val="16"/>
              </w:rPr>
            </w:pPr>
            <w:r>
              <w:rPr>
                <w:sz w:val="16"/>
              </w:rPr>
              <w:t>Amministrazioni centrali (3)</w:t>
            </w:r>
          </w:p>
        </w:tc>
        <w:tc>
          <w:tcPr>
            <w:tcW w:w="1058" w:type="dxa"/>
          </w:tcPr>
          <w:p>
            <w:pPr>
              <w:pStyle w:val="TableParagraph"/>
              <w:spacing w:line="179" w:lineRule="exact" w:before="77"/>
              <w:ind w:right="69"/>
              <w:rPr>
                <w:sz w:val="16"/>
              </w:rPr>
            </w:pPr>
            <w:r>
              <w:rPr>
                <w:sz w:val="16"/>
              </w:rPr>
              <w:t>2.303.225</w:t>
            </w:r>
          </w:p>
        </w:tc>
        <w:tc>
          <w:tcPr>
            <w:tcW w:w="879" w:type="dxa"/>
          </w:tcPr>
          <w:p>
            <w:pPr>
              <w:pStyle w:val="TableParagraph"/>
              <w:spacing w:line="179" w:lineRule="exact" w:before="77"/>
              <w:ind w:right="69"/>
              <w:rPr>
                <w:sz w:val="16"/>
              </w:rPr>
            </w:pPr>
            <w:r>
              <w:rPr>
                <w:sz w:val="16"/>
              </w:rPr>
              <w:t>2.345.237</w:t>
            </w:r>
          </w:p>
        </w:tc>
        <w:tc>
          <w:tcPr>
            <w:tcW w:w="878" w:type="dxa"/>
          </w:tcPr>
          <w:p>
            <w:pPr>
              <w:pStyle w:val="TableParagraph"/>
              <w:spacing w:line="179" w:lineRule="exact" w:before="77"/>
              <w:ind w:right="68"/>
              <w:rPr>
                <w:sz w:val="16"/>
              </w:rPr>
            </w:pPr>
            <w:r>
              <w:rPr>
                <w:sz w:val="16"/>
              </w:rPr>
              <w:t>2.384.968</w:t>
            </w:r>
          </w:p>
        </w:tc>
        <w:tc>
          <w:tcPr>
            <w:tcW w:w="879" w:type="dxa"/>
          </w:tcPr>
          <w:p>
            <w:pPr>
              <w:pStyle w:val="TableParagraph"/>
              <w:spacing w:line="179" w:lineRule="exact" w:before="77"/>
              <w:ind w:right="69"/>
              <w:rPr>
                <w:sz w:val="16"/>
              </w:rPr>
            </w:pPr>
            <w:r>
              <w:rPr>
                <w:sz w:val="16"/>
              </w:rPr>
              <w:t>2.421.433</w:t>
            </w:r>
          </w:p>
        </w:tc>
        <w:tc>
          <w:tcPr>
            <w:tcW w:w="834" w:type="dxa"/>
          </w:tcPr>
          <w:p>
            <w:pPr>
              <w:pStyle w:val="TableParagraph"/>
              <w:spacing w:line="179" w:lineRule="exact" w:before="77"/>
              <w:ind w:right="24"/>
              <w:rPr>
                <w:sz w:val="16"/>
              </w:rPr>
            </w:pPr>
            <w:r>
              <w:rPr>
                <w:sz w:val="16"/>
              </w:rPr>
              <w:t>2.451.713</w:t>
            </w:r>
          </w:p>
        </w:tc>
      </w:tr>
      <w:tr>
        <w:trPr>
          <w:trHeight w:val="216" w:hRule="atLeast"/>
        </w:trPr>
        <w:tc>
          <w:tcPr>
            <w:tcW w:w="3694" w:type="dxa"/>
          </w:tcPr>
          <w:p>
            <w:pPr>
              <w:pStyle w:val="TableParagraph"/>
              <w:spacing w:line="178" w:lineRule="exact" w:before="18"/>
              <w:ind w:left="26"/>
              <w:jc w:val="left"/>
              <w:rPr>
                <w:sz w:val="16"/>
              </w:rPr>
            </w:pPr>
            <w:r>
              <w:rPr>
                <w:sz w:val="16"/>
              </w:rPr>
              <w:t>Amministrazioni locali (3)</w:t>
            </w:r>
          </w:p>
        </w:tc>
        <w:tc>
          <w:tcPr>
            <w:tcW w:w="1058" w:type="dxa"/>
          </w:tcPr>
          <w:p>
            <w:pPr>
              <w:pStyle w:val="TableParagraph"/>
              <w:spacing w:line="178" w:lineRule="exact" w:before="18"/>
              <w:ind w:right="68"/>
              <w:rPr>
                <w:sz w:val="16"/>
              </w:rPr>
            </w:pPr>
            <w:r>
              <w:rPr>
                <w:sz w:val="16"/>
              </w:rPr>
              <w:t>127.133</w:t>
            </w:r>
          </w:p>
        </w:tc>
        <w:tc>
          <w:tcPr>
            <w:tcW w:w="879" w:type="dxa"/>
          </w:tcPr>
          <w:p>
            <w:pPr>
              <w:pStyle w:val="TableParagraph"/>
              <w:spacing w:line="178" w:lineRule="exact" w:before="18"/>
              <w:ind w:right="69"/>
              <w:rPr>
                <w:sz w:val="16"/>
              </w:rPr>
            </w:pPr>
            <w:r>
              <w:rPr>
                <w:sz w:val="16"/>
              </w:rPr>
              <w:t>125.156</w:t>
            </w:r>
          </w:p>
        </w:tc>
        <w:tc>
          <w:tcPr>
            <w:tcW w:w="878" w:type="dxa"/>
          </w:tcPr>
          <w:p>
            <w:pPr>
              <w:pStyle w:val="TableParagraph"/>
              <w:spacing w:line="178" w:lineRule="exact" w:before="18"/>
              <w:ind w:right="68"/>
              <w:rPr>
                <w:sz w:val="16"/>
              </w:rPr>
            </w:pPr>
            <w:r>
              <w:rPr>
                <w:sz w:val="16"/>
              </w:rPr>
              <w:t>123.005</w:t>
            </w:r>
          </w:p>
        </w:tc>
        <w:tc>
          <w:tcPr>
            <w:tcW w:w="879" w:type="dxa"/>
          </w:tcPr>
          <w:p>
            <w:pPr>
              <w:pStyle w:val="TableParagraph"/>
              <w:spacing w:line="178" w:lineRule="exact" w:before="18"/>
              <w:ind w:right="69"/>
              <w:rPr>
                <w:sz w:val="16"/>
              </w:rPr>
            </w:pPr>
            <w:r>
              <w:rPr>
                <w:sz w:val="16"/>
              </w:rPr>
              <w:t>120.689</w:t>
            </w:r>
          </w:p>
        </w:tc>
        <w:tc>
          <w:tcPr>
            <w:tcW w:w="834" w:type="dxa"/>
          </w:tcPr>
          <w:p>
            <w:pPr>
              <w:pStyle w:val="TableParagraph"/>
              <w:spacing w:line="178" w:lineRule="exact" w:before="18"/>
              <w:ind w:right="24"/>
              <w:rPr>
                <w:sz w:val="16"/>
              </w:rPr>
            </w:pPr>
            <w:r>
              <w:rPr>
                <w:sz w:val="16"/>
              </w:rPr>
              <w:t>118.263</w:t>
            </w:r>
          </w:p>
        </w:tc>
      </w:tr>
      <w:tr>
        <w:trPr>
          <w:trHeight w:val="275" w:hRule="atLeast"/>
        </w:trPr>
        <w:tc>
          <w:tcPr>
            <w:tcW w:w="3694" w:type="dxa"/>
          </w:tcPr>
          <w:p>
            <w:pPr>
              <w:pStyle w:val="TableParagraph"/>
              <w:spacing w:before="17"/>
              <w:ind w:left="26"/>
              <w:jc w:val="left"/>
              <w:rPr>
                <w:sz w:val="16"/>
              </w:rPr>
            </w:pPr>
            <w:r>
              <w:rPr>
                <w:sz w:val="16"/>
              </w:rPr>
              <w:t>Enti di previdenza e assistenza (3)</w:t>
            </w:r>
          </w:p>
        </w:tc>
        <w:tc>
          <w:tcPr>
            <w:tcW w:w="1058" w:type="dxa"/>
          </w:tcPr>
          <w:p>
            <w:pPr>
              <w:pStyle w:val="TableParagraph"/>
              <w:spacing w:before="17"/>
              <w:ind w:right="69"/>
              <w:rPr>
                <w:sz w:val="16"/>
              </w:rPr>
            </w:pPr>
            <w:r>
              <w:rPr>
                <w:sz w:val="16"/>
              </w:rPr>
              <w:t>126</w:t>
            </w:r>
          </w:p>
        </w:tc>
        <w:tc>
          <w:tcPr>
            <w:tcW w:w="879" w:type="dxa"/>
          </w:tcPr>
          <w:p>
            <w:pPr>
              <w:pStyle w:val="TableParagraph"/>
              <w:spacing w:before="17"/>
              <w:ind w:right="69"/>
              <w:rPr>
                <w:sz w:val="16"/>
              </w:rPr>
            </w:pPr>
            <w:r>
              <w:rPr>
                <w:sz w:val="16"/>
              </w:rPr>
              <w:t>126</w:t>
            </w:r>
          </w:p>
        </w:tc>
        <w:tc>
          <w:tcPr>
            <w:tcW w:w="878" w:type="dxa"/>
          </w:tcPr>
          <w:p>
            <w:pPr>
              <w:pStyle w:val="TableParagraph"/>
              <w:spacing w:before="17"/>
              <w:ind w:right="69"/>
              <w:rPr>
                <w:sz w:val="16"/>
              </w:rPr>
            </w:pPr>
            <w:r>
              <w:rPr>
                <w:sz w:val="16"/>
              </w:rPr>
              <w:t>126</w:t>
            </w:r>
          </w:p>
        </w:tc>
        <w:tc>
          <w:tcPr>
            <w:tcW w:w="879" w:type="dxa"/>
          </w:tcPr>
          <w:p>
            <w:pPr>
              <w:pStyle w:val="TableParagraph"/>
              <w:spacing w:before="17"/>
              <w:ind w:right="69"/>
              <w:rPr>
                <w:sz w:val="16"/>
              </w:rPr>
            </w:pPr>
            <w:r>
              <w:rPr>
                <w:sz w:val="16"/>
              </w:rPr>
              <w:t>126</w:t>
            </w:r>
          </w:p>
        </w:tc>
        <w:tc>
          <w:tcPr>
            <w:tcW w:w="834" w:type="dxa"/>
          </w:tcPr>
          <w:p>
            <w:pPr>
              <w:pStyle w:val="TableParagraph"/>
              <w:spacing w:before="17"/>
              <w:ind w:right="24"/>
              <w:rPr>
                <w:sz w:val="16"/>
              </w:rPr>
            </w:pPr>
            <w:r>
              <w:rPr>
                <w:sz w:val="16"/>
              </w:rPr>
              <w:t>126</w:t>
            </w:r>
          </w:p>
        </w:tc>
      </w:tr>
      <w:tr>
        <w:trPr>
          <w:trHeight w:val="492" w:hRule="atLeast"/>
        </w:trPr>
        <w:tc>
          <w:tcPr>
            <w:tcW w:w="3694" w:type="dxa"/>
          </w:tcPr>
          <w:p>
            <w:pPr>
              <w:pStyle w:val="TableParagraph"/>
              <w:spacing w:line="210" w:lineRule="atLeast" w:before="49"/>
              <w:ind w:left="26" w:right="230"/>
              <w:jc w:val="left"/>
              <w:rPr>
                <w:sz w:val="16"/>
              </w:rPr>
            </w:pPr>
            <w:r>
              <w:rPr>
                <w:sz w:val="16"/>
              </w:rPr>
              <w:t>Livello al netto dei sostegni finanziari Area Euro (2) Amministrazioni pubbliche</w:t>
            </w:r>
          </w:p>
        </w:tc>
        <w:tc>
          <w:tcPr>
            <w:tcW w:w="1058" w:type="dxa"/>
          </w:tcPr>
          <w:p>
            <w:pPr>
              <w:pStyle w:val="TableParagraph"/>
              <w:spacing w:before="3"/>
              <w:jc w:val="left"/>
              <w:rPr>
                <w:rFonts w:ascii="Trebuchet MS"/>
                <w:sz w:val="25"/>
              </w:rPr>
            </w:pPr>
          </w:p>
          <w:p>
            <w:pPr>
              <w:pStyle w:val="TableParagraph"/>
              <w:spacing w:line="178" w:lineRule="exact"/>
              <w:ind w:right="69"/>
              <w:rPr>
                <w:sz w:val="16"/>
              </w:rPr>
            </w:pPr>
            <w:r>
              <w:rPr>
                <w:sz w:val="16"/>
              </w:rPr>
              <w:t>2.322.075</w:t>
            </w:r>
          </w:p>
        </w:tc>
        <w:tc>
          <w:tcPr>
            <w:tcW w:w="879" w:type="dxa"/>
          </w:tcPr>
          <w:p>
            <w:pPr>
              <w:pStyle w:val="TableParagraph"/>
              <w:spacing w:before="3"/>
              <w:jc w:val="left"/>
              <w:rPr>
                <w:rFonts w:ascii="Trebuchet MS"/>
                <w:sz w:val="25"/>
              </w:rPr>
            </w:pPr>
          </w:p>
          <w:p>
            <w:pPr>
              <w:pStyle w:val="TableParagraph"/>
              <w:spacing w:line="178" w:lineRule="exact"/>
              <w:ind w:right="69"/>
              <w:rPr>
                <w:sz w:val="16"/>
              </w:rPr>
            </w:pPr>
            <w:r>
              <w:rPr>
                <w:sz w:val="16"/>
              </w:rPr>
              <w:t>2.362.110</w:t>
            </w:r>
          </w:p>
        </w:tc>
        <w:tc>
          <w:tcPr>
            <w:tcW w:w="878" w:type="dxa"/>
          </w:tcPr>
          <w:p>
            <w:pPr>
              <w:pStyle w:val="TableParagraph"/>
              <w:spacing w:before="3"/>
              <w:jc w:val="left"/>
              <w:rPr>
                <w:rFonts w:ascii="Trebuchet MS"/>
                <w:sz w:val="25"/>
              </w:rPr>
            </w:pPr>
          </w:p>
          <w:p>
            <w:pPr>
              <w:pStyle w:val="TableParagraph"/>
              <w:spacing w:line="178" w:lineRule="exact"/>
              <w:ind w:right="68"/>
              <w:rPr>
                <w:sz w:val="16"/>
              </w:rPr>
            </w:pPr>
            <w:r>
              <w:rPr>
                <w:sz w:val="16"/>
              </w:rPr>
              <w:t>2.399.823</w:t>
            </w:r>
          </w:p>
        </w:tc>
        <w:tc>
          <w:tcPr>
            <w:tcW w:w="879" w:type="dxa"/>
          </w:tcPr>
          <w:p>
            <w:pPr>
              <w:pStyle w:val="TableParagraph"/>
              <w:spacing w:before="3"/>
              <w:jc w:val="left"/>
              <w:rPr>
                <w:rFonts w:ascii="Trebuchet MS"/>
                <w:sz w:val="25"/>
              </w:rPr>
            </w:pPr>
          </w:p>
          <w:p>
            <w:pPr>
              <w:pStyle w:val="TableParagraph"/>
              <w:spacing w:line="178" w:lineRule="exact"/>
              <w:ind w:right="69"/>
              <w:rPr>
                <w:sz w:val="16"/>
              </w:rPr>
            </w:pPr>
            <w:r>
              <w:rPr>
                <w:sz w:val="16"/>
              </w:rPr>
              <w:t>2.434.364</w:t>
            </w:r>
          </w:p>
        </w:tc>
        <w:tc>
          <w:tcPr>
            <w:tcW w:w="834" w:type="dxa"/>
          </w:tcPr>
          <w:p>
            <w:pPr>
              <w:pStyle w:val="TableParagraph"/>
              <w:spacing w:before="3"/>
              <w:jc w:val="left"/>
              <w:rPr>
                <w:rFonts w:ascii="Trebuchet MS"/>
                <w:sz w:val="25"/>
              </w:rPr>
            </w:pPr>
          </w:p>
          <w:p>
            <w:pPr>
              <w:pStyle w:val="TableParagraph"/>
              <w:spacing w:line="178" w:lineRule="exact"/>
              <w:ind w:right="24"/>
              <w:rPr>
                <w:sz w:val="16"/>
              </w:rPr>
            </w:pPr>
            <w:r>
              <w:rPr>
                <w:sz w:val="16"/>
              </w:rPr>
              <w:t>2.462.717</w:t>
            </w:r>
          </w:p>
        </w:tc>
      </w:tr>
      <w:tr>
        <w:trPr>
          <w:trHeight w:val="275" w:hRule="atLeast"/>
        </w:trPr>
        <w:tc>
          <w:tcPr>
            <w:tcW w:w="3694" w:type="dxa"/>
          </w:tcPr>
          <w:p>
            <w:pPr>
              <w:pStyle w:val="TableParagraph"/>
              <w:spacing w:before="17"/>
              <w:ind w:left="26"/>
              <w:jc w:val="left"/>
              <w:rPr>
                <w:i/>
                <w:sz w:val="16"/>
              </w:rPr>
            </w:pPr>
            <w:r>
              <w:rPr>
                <w:i/>
                <w:sz w:val="16"/>
              </w:rPr>
              <w:t>in % del PIL</w:t>
            </w:r>
          </w:p>
        </w:tc>
        <w:tc>
          <w:tcPr>
            <w:tcW w:w="1058" w:type="dxa"/>
          </w:tcPr>
          <w:p>
            <w:pPr>
              <w:pStyle w:val="TableParagraph"/>
              <w:spacing w:before="17"/>
              <w:ind w:right="68"/>
              <w:rPr>
                <w:i/>
                <w:sz w:val="16"/>
              </w:rPr>
            </w:pPr>
            <w:r>
              <w:rPr>
                <w:i/>
                <w:sz w:val="16"/>
              </w:rPr>
              <w:t>131,5</w:t>
            </w:r>
          </w:p>
        </w:tc>
        <w:tc>
          <w:tcPr>
            <w:tcW w:w="879" w:type="dxa"/>
          </w:tcPr>
          <w:p>
            <w:pPr>
              <w:pStyle w:val="TableParagraph"/>
              <w:spacing w:before="17"/>
              <w:ind w:right="69"/>
              <w:rPr>
                <w:i/>
                <w:sz w:val="16"/>
              </w:rPr>
            </w:pPr>
            <w:r>
              <w:rPr>
                <w:i/>
                <w:sz w:val="16"/>
              </w:rPr>
              <w:t>132,5</w:t>
            </w:r>
          </w:p>
        </w:tc>
        <w:tc>
          <w:tcPr>
            <w:tcW w:w="878" w:type="dxa"/>
          </w:tcPr>
          <w:p>
            <w:pPr>
              <w:pStyle w:val="TableParagraph"/>
              <w:spacing w:before="17"/>
              <w:ind w:right="68"/>
              <w:rPr>
                <w:i/>
                <w:sz w:val="16"/>
              </w:rPr>
            </w:pPr>
            <w:r>
              <w:rPr>
                <w:i/>
                <w:sz w:val="16"/>
              </w:rPr>
              <w:t>132,0</w:t>
            </w:r>
          </w:p>
        </w:tc>
        <w:tc>
          <w:tcPr>
            <w:tcW w:w="879" w:type="dxa"/>
          </w:tcPr>
          <w:p>
            <w:pPr>
              <w:pStyle w:val="TableParagraph"/>
              <w:spacing w:before="17"/>
              <w:ind w:right="69"/>
              <w:rPr>
                <w:i/>
                <w:sz w:val="16"/>
              </w:rPr>
            </w:pPr>
            <w:r>
              <w:rPr>
                <w:i/>
                <w:sz w:val="16"/>
              </w:rPr>
              <w:t>130,3</w:t>
            </w:r>
          </w:p>
        </w:tc>
        <w:tc>
          <w:tcPr>
            <w:tcW w:w="834" w:type="dxa"/>
          </w:tcPr>
          <w:p>
            <w:pPr>
              <w:pStyle w:val="TableParagraph"/>
              <w:spacing w:before="17"/>
              <w:ind w:right="24"/>
              <w:rPr>
                <w:i/>
                <w:sz w:val="16"/>
              </w:rPr>
            </w:pPr>
            <w:r>
              <w:rPr>
                <w:i/>
                <w:sz w:val="16"/>
              </w:rPr>
              <w:t>128,4</w:t>
            </w:r>
          </w:p>
        </w:tc>
      </w:tr>
      <w:tr>
        <w:trPr>
          <w:trHeight w:val="276" w:hRule="atLeast"/>
        </w:trPr>
        <w:tc>
          <w:tcPr>
            <w:tcW w:w="3694" w:type="dxa"/>
          </w:tcPr>
          <w:p>
            <w:pPr>
              <w:pStyle w:val="TableParagraph"/>
              <w:spacing w:line="178" w:lineRule="exact" w:before="77"/>
              <w:ind w:left="26"/>
              <w:jc w:val="left"/>
              <w:rPr>
                <w:sz w:val="16"/>
              </w:rPr>
            </w:pPr>
            <w:r>
              <w:rPr>
                <w:sz w:val="16"/>
              </w:rPr>
              <w:t>Amministrazioni centrali (3)</w:t>
            </w:r>
          </w:p>
        </w:tc>
        <w:tc>
          <w:tcPr>
            <w:tcW w:w="1058" w:type="dxa"/>
          </w:tcPr>
          <w:p>
            <w:pPr>
              <w:pStyle w:val="TableParagraph"/>
              <w:spacing w:line="178" w:lineRule="exact" w:before="77"/>
              <w:ind w:right="69"/>
              <w:rPr>
                <w:sz w:val="16"/>
              </w:rPr>
            </w:pPr>
            <w:r>
              <w:rPr>
                <w:sz w:val="16"/>
              </w:rPr>
              <w:t>2.244.994</w:t>
            </w:r>
          </w:p>
        </w:tc>
        <w:tc>
          <w:tcPr>
            <w:tcW w:w="879" w:type="dxa"/>
          </w:tcPr>
          <w:p>
            <w:pPr>
              <w:pStyle w:val="TableParagraph"/>
              <w:spacing w:line="178" w:lineRule="exact" w:before="77"/>
              <w:ind w:right="69"/>
              <w:rPr>
                <w:sz w:val="16"/>
              </w:rPr>
            </w:pPr>
            <w:r>
              <w:rPr>
                <w:sz w:val="16"/>
              </w:rPr>
              <w:t>2.287.006</w:t>
            </w:r>
          </w:p>
        </w:tc>
        <w:tc>
          <w:tcPr>
            <w:tcW w:w="878" w:type="dxa"/>
          </w:tcPr>
          <w:p>
            <w:pPr>
              <w:pStyle w:val="TableParagraph"/>
              <w:spacing w:line="178" w:lineRule="exact" w:before="77"/>
              <w:ind w:right="68"/>
              <w:rPr>
                <w:sz w:val="16"/>
              </w:rPr>
            </w:pPr>
            <w:r>
              <w:rPr>
                <w:sz w:val="16"/>
              </w:rPr>
              <w:t>2.326.870</w:t>
            </w:r>
          </w:p>
        </w:tc>
        <w:tc>
          <w:tcPr>
            <w:tcW w:w="879" w:type="dxa"/>
          </w:tcPr>
          <w:p>
            <w:pPr>
              <w:pStyle w:val="TableParagraph"/>
              <w:spacing w:line="178" w:lineRule="exact" w:before="77"/>
              <w:ind w:right="69"/>
              <w:rPr>
                <w:sz w:val="16"/>
              </w:rPr>
            </w:pPr>
            <w:r>
              <w:rPr>
                <w:sz w:val="16"/>
              </w:rPr>
              <w:t>2.363.728</w:t>
            </w:r>
          </w:p>
        </w:tc>
        <w:tc>
          <w:tcPr>
            <w:tcW w:w="834" w:type="dxa"/>
          </w:tcPr>
          <w:p>
            <w:pPr>
              <w:pStyle w:val="TableParagraph"/>
              <w:spacing w:line="178" w:lineRule="exact" w:before="77"/>
              <w:ind w:right="24"/>
              <w:rPr>
                <w:sz w:val="16"/>
              </w:rPr>
            </w:pPr>
            <w:r>
              <w:rPr>
                <w:sz w:val="16"/>
              </w:rPr>
              <w:t>2.394.507</w:t>
            </w:r>
          </w:p>
        </w:tc>
      </w:tr>
      <w:tr>
        <w:trPr>
          <w:trHeight w:val="216" w:hRule="atLeast"/>
        </w:trPr>
        <w:tc>
          <w:tcPr>
            <w:tcW w:w="3694" w:type="dxa"/>
          </w:tcPr>
          <w:p>
            <w:pPr>
              <w:pStyle w:val="TableParagraph"/>
              <w:spacing w:line="178" w:lineRule="exact" w:before="17"/>
              <w:ind w:left="26"/>
              <w:jc w:val="left"/>
              <w:rPr>
                <w:sz w:val="16"/>
              </w:rPr>
            </w:pPr>
            <w:r>
              <w:rPr>
                <w:sz w:val="16"/>
              </w:rPr>
              <w:t>Amministrazioni locali (3)</w:t>
            </w:r>
          </w:p>
        </w:tc>
        <w:tc>
          <w:tcPr>
            <w:tcW w:w="1058" w:type="dxa"/>
          </w:tcPr>
          <w:p>
            <w:pPr>
              <w:pStyle w:val="TableParagraph"/>
              <w:spacing w:line="178" w:lineRule="exact" w:before="17"/>
              <w:ind w:right="68"/>
              <w:rPr>
                <w:sz w:val="16"/>
              </w:rPr>
            </w:pPr>
            <w:r>
              <w:rPr>
                <w:sz w:val="16"/>
              </w:rPr>
              <w:t>127.133</w:t>
            </w:r>
          </w:p>
        </w:tc>
        <w:tc>
          <w:tcPr>
            <w:tcW w:w="879" w:type="dxa"/>
          </w:tcPr>
          <w:p>
            <w:pPr>
              <w:pStyle w:val="TableParagraph"/>
              <w:spacing w:line="178" w:lineRule="exact" w:before="17"/>
              <w:ind w:right="69"/>
              <w:rPr>
                <w:sz w:val="16"/>
              </w:rPr>
            </w:pPr>
            <w:r>
              <w:rPr>
                <w:sz w:val="16"/>
              </w:rPr>
              <w:t>125.156</w:t>
            </w:r>
          </w:p>
        </w:tc>
        <w:tc>
          <w:tcPr>
            <w:tcW w:w="878" w:type="dxa"/>
          </w:tcPr>
          <w:p>
            <w:pPr>
              <w:pStyle w:val="TableParagraph"/>
              <w:spacing w:line="178" w:lineRule="exact" w:before="17"/>
              <w:ind w:right="68"/>
              <w:rPr>
                <w:sz w:val="16"/>
              </w:rPr>
            </w:pPr>
            <w:r>
              <w:rPr>
                <w:sz w:val="16"/>
              </w:rPr>
              <w:t>123.005</w:t>
            </w:r>
          </w:p>
        </w:tc>
        <w:tc>
          <w:tcPr>
            <w:tcW w:w="879" w:type="dxa"/>
          </w:tcPr>
          <w:p>
            <w:pPr>
              <w:pStyle w:val="TableParagraph"/>
              <w:spacing w:line="178" w:lineRule="exact" w:before="17"/>
              <w:ind w:right="69"/>
              <w:rPr>
                <w:sz w:val="16"/>
              </w:rPr>
            </w:pPr>
            <w:r>
              <w:rPr>
                <w:sz w:val="16"/>
              </w:rPr>
              <w:t>120.689</w:t>
            </w:r>
          </w:p>
        </w:tc>
        <w:tc>
          <w:tcPr>
            <w:tcW w:w="834" w:type="dxa"/>
          </w:tcPr>
          <w:p>
            <w:pPr>
              <w:pStyle w:val="TableParagraph"/>
              <w:spacing w:line="178" w:lineRule="exact" w:before="17"/>
              <w:ind w:right="24"/>
              <w:rPr>
                <w:sz w:val="16"/>
              </w:rPr>
            </w:pPr>
            <w:r>
              <w:rPr>
                <w:sz w:val="16"/>
              </w:rPr>
              <w:t>118.263</w:t>
            </w:r>
          </w:p>
        </w:tc>
      </w:tr>
      <w:tr>
        <w:trPr>
          <w:trHeight w:val="219" w:hRule="atLeast"/>
        </w:trPr>
        <w:tc>
          <w:tcPr>
            <w:tcW w:w="3694" w:type="dxa"/>
            <w:tcBorders>
              <w:bottom w:val="single" w:sz="2" w:space="0" w:color="000000"/>
            </w:tcBorders>
          </w:tcPr>
          <w:p>
            <w:pPr>
              <w:pStyle w:val="TableParagraph"/>
              <w:spacing w:before="17"/>
              <w:ind w:left="26"/>
              <w:jc w:val="left"/>
              <w:rPr>
                <w:sz w:val="16"/>
              </w:rPr>
            </w:pPr>
            <w:r>
              <w:rPr>
                <w:sz w:val="16"/>
              </w:rPr>
              <w:t>Enti di previdenza e assistenza (3)</w:t>
            </w:r>
          </w:p>
        </w:tc>
        <w:tc>
          <w:tcPr>
            <w:tcW w:w="1058" w:type="dxa"/>
            <w:tcBorders>
              <w:bottom w:val="single" w:sz="4" w:space="0" w:color="000000"/>
            </w:tcBorders>
          </w:tcPr>
          <w:p>
            <w:pPr>
              <w:pStyle w:val="TableParagraph"/>
              <w:spacing w:before="17"/>
              <w:ind w:right="69"/>
              <w:rPr>
                <w:sz w:val="16"/>
              </w:rPr>
            </w:pPr>
            <w:r>
              <w:rPr>
                <w:sz w:val="16"/>
              </w:rPr>
              <w:t>126</w:t>
            </w:r>
          </w:p>
        </w:tc>
        <w:tc>
          <w:tcPr>
            <w:tcW w:w="879" w:type="dxa"/>
            <w:tcBorders>
              <w:bottom w:val="single" w:sz="4" w:space="0" w:color="000000"/>
            </w:tcBorders>
          </w:tcPr>
          <w:p>
            <w:pPr>
              <w:pStyle w:val="TableParagraph"/>
              <w:spacing w:before="17"/>
              <w:ind w:right="69"/>
              <w:rPr>
                <w:sz w:val="16"/>
              </w:rPr>
            </w:pPr>
            <w:r>
              <w:rPr>
                <w:sz w:val="16"/>
              </w:rPr>
              <w:t>126</w:t>
            </w:r>
          </w:p>
        </w:tc>
        <w:tc>
          <w:tcPr>
            <w:tcW w:w="878" w:type="dxa"/>
            <w:tcBorders>
              <w:bottom w:val="single" w:sz="4" w:space="0" w:color="000000"/>
            </w:tcBorders>
          </w:tcPr>
          <w:p>
            <w:pPr>
              <w:pStyle w:val="TableParagraph"/>
              <w:spacing w:before="17"/>
              <w:ind w:right="69"/>
              <w:rPr>
                <w:sz w:val="16"/>
              </w:rPr>
            </w:pPr>
            <w:r>
              <w:rPr>
                <w:sz w:val="16"/>
              </w:rPr>
              <w:t>126</w:t>
            </w:r>
          </w:p>
        </w:tc>
        <w:tc>
          <w:tcPr>
            <w:tcW w:w="879" w:type="dxa"/>
            <w:tcBorders>
              <w:bottom w:val="single" w:sz="4" w:space="0" w:color="000000"/>
            </w:tcBorders>
          </w:tcPr>
          <w:p>
            <w:pPr>
              <w:pStyle w:val="TableParagraph"/>
              <w:spacing w:before="17"/>
              <w:ind w:right="69"/>
              <w:rPr>
                <w:sz w:val="16"/>
              </w:rPr>
            </w:pPr>
            <w:r>
              <w:rPr>
                <w:sz w:val="16"/>
              </w:rPr>
              <w:t>126</w:t>
            </w:r>
          </w:p>
        </w:tc>
        <w:tc>
          <w:tcPr>
            <w:tcW w:w="834" w:type="dxa"/>
            <w:tcBorders>
              <w:bottom w:val="single" w:sz="4" w:space="0" w:color="000000"/>
            </w:tcBorders>
          </w:tcPr>
          <w:p>
            <w:pPr>
              <w:pStyle w:val="TableParagraph"/>
              <w:spacing w:before="17"/>
              <w:ind w:right="24"/>
              <w:rPr>
                <w:sz w:val="16"/>
              </w:rPr>
            </w:pPr>
            <w:r>
              <w:rPr>
                <w:sz w:val="16"/>
              </w:rPr>
              <w:t>126</w:t>
            </w:r>
          </w:p>
        </w:tc>
      </w:tr>
    </w:tbl>
    <w:p>
      <w:pPr>
        <w:pStyle w:val="ListParagraph"/>
        <w:numPr>
          <w:ilvl w:val="0"/>
          <w:numId w:val="9"/>
        </w:numPr>
        <w:tabs>
          <w:tab w:pos="536" w:val="left" w:leader="none"/>
        </w:tabs>
        <w:spacing w:line="180" w:lineRule="exact" w:before="0" w:after="0"/>
        <w:ind w:left="535" w:right="0" w:hanging="231"/>
        <w:jc w:val="both"/>
        <w:rPr>
          <w:rFonts w:ascii="Franklin Gothic Book"/>
          <w:sz w:val="16"/>
        </w:rPr>
      </w:pPr>
      <w:r>
        <w:rPr>
          <w:rFonts w:ascii="Franklin Gothic Book"/>
          <w:sz w:val="16"/>
        </w:rPr>
        <w:t>Nota: Eventuali imprecisioni derivano da</w:t>
      </w:r>
      <w:r>
        <w:rPr>
          <w:rFonts w:ascii="Franklin Gothic Book"/>
          <w:spacing w:val="-5"/>
          <w:sz w:val="16"/>
        </w:rPr>
        <w:t> </w:t>
      </w:r>
      <w:r>
        <w:rPr>
          <w:rFonts w:ascii="Franklin Gothic Book"/>
          <w:sz w:val="16"/>
        </w:rPr>
        <w:t>arrotondamenti.</w:t>
      </w:r>
    </w:p>
    <w:p>
      <w:pPr>
        <w:pStyle w:val="ListParagraph"/>
        <w:numPr>
          <w:ilvl w:val="0"/>
          <w:numId w:val="9"/>
        </w:numPr>
        <w:tabs>
          <w:tab w:pos="541" w:val="left" w:leader="none"/>
        </w:tabs>
        <w:spacing w:line="240" w:lineRule="auto" w:before="0" w:after="0"/>
        <w:ind w:left="305" w:right="2290" w:firstLine="0"/>
        <w:jc w:val="both"/>
        <w:rPr>
          <w:rFonts w:ascii="Franklin Gothic Book" w:hAnsi="Franklin Gothic Book"/>
          <w:sz w:val="16"/>
        </w:rPr>
      </w:pPr>
      <w:r>
        <w:rPr>
          <w:rFonts w:ascii="Franklin Gothic Book" w:hAnsi="Franklin Gothic Book"/>
          <w:sz w:val="16"/>
        </w:rPr>
        <w:t>Al lordo ovvero al netto delle quote di pertinenza dell’Italia dei prestiti a Stati membri dell'UEM, bilaterali o attraverso l'EFSF, e del contributo al capitale dell'ESM. A tutto il 2018 l'ammontare di tali quote è stato pari a circa 58,2 miliardi, di cui 43,9 miliardi per prestiti bilaterali e attraverso l'EFSF e 14,3 miliardi per il programma ESM (cfr. Banca d’Italia, ‘Bollettino statistico Finanza pubblica, fabbisogno e debito’ del 16 settembre 2019). Le stime considerano proventi da privatizzazioni</w:t>
      </w:r>
      <w:r>
        <w:rPr>
          <w:rFonts w:ascii="Franklin Gothic Book" w:hAnsi="Franklin Gothic Book"/>
          <w:spacing w:val="-8"/>
          <w:sz w:val="16"/>
        </w:rPr>
        <w:t> </w:t>
      </w:r>
      <w:r>
        <w:rPr>
          <w:rFonts w:ascii="Franklin Gothic Book" w:hAnsi="Franklin Gothic Book"/>
          <w:sz w:val="16"/>
        </w:rPr>
        <w:t>e</w:t>
      </w:r>
      <w:r>
        <w:rPr>
          <w:rFonts w:ascii="Franklin Gothic Book" w:hAnsi="Franklin Gothic Book"/>
          <w:spacing w:val="-5"/>
          <w:sz w:val="16"/>
        </w:rPr>
        <w:t> </w:t>
      </w:r>
      <w:r>
        <w:rPr>
          <w:rFonts w:ascii="Franklin Gothic Book" w:hAnsi="Franklin Gothic Book"/>
          <w:sz w:val="16"/>
        </w:rPr>
        <w:t>altri</w:t>
      </w:r>
      <w:r>
        <w:rPr>
          <w:rFonts w:ascii="Franklin Gothic Book" w:hAnsi="Franklin Gothic Book"/>
          <w:spacing w:val="-7"/>
          <w:sz w:val="16"/>
        </w:rPr>
        <w:t> </w:t>
      </w:r>
      <w:r>
        <w:rPr>
          <w:rFonts w:ascii="Franklin Gothic Book" w:hAnsi="Franklin Gothic Book"/>
          <w:sz w:val="16"/>
        </w:rPr>
        <w:t>proventi</w:t>
      </w:r>
      <w:r>
        <w:rPr>
          <w:rFonts w:ascii="Franklin Gothic Book" w:hAnsi="Franklin Gothic Book"/>
          <w:spacing w:val="-7"/>
          <w:sz w:val="16"/>
        </w:rPr>
        <w:t> </w:t>
      </w:r>
      <w:r>
        <w:rPr>
          <w:rFonts w:ascii="Franklin Gothic Book" w:hAnsi="Franklin Gothic Book"/>
          <w:sz w:val="16"/>
        </w:rPr>
        <w:t>finanziari</w:t>
      </w:r>
      <w:r>
        <w:rPr>
          <w:rFonts w:ascii="Franklin Gothic Book" w:hAnsi="Franklin Gothic Book"/>
          <w:spacing w:val="-5"/>
          <w:sz w:val="16"/>
        </w:rPr>
        <w:t> </w:t>
      </w:r>
      <w:r>
        <w:rPr>
          <w:rFonts w:ascii="Franklin Gothic Book" w:hAnsi="Franklin Gothic Book"/>
          <w:sz w:val="16"/>
        </w:rPr>
        <w:t>pari</w:t>
      </w:r>
      <w:r>
        <w:rPr>
          <w:rFonts w:ascii="Franklin Gothic Book" w:hAnsi="Franklin Gothic Book"/>
          <w:spacing w:val="-8"/>
          <w:sz w:val="16"/>
        </w:rPr>
        <w:t> </w:t>
      </w:r>
      <w:r>
        <w:rPr>
          <w:rFonts w:ascii="Franklin Gothic Book" w:hAnsi="Franklin Gothic Book"/>
          <w:sz w:val="16"/>
        </w:rPr>
        <w:t>allo</w:t>
      </w:r>
      <w:r>
        <w:rPr>
          <w:rFonts w:ascii="Franklin Gothic Book" w:hAnsi="Franklin Gothic Book"/>
          <w:spacing w:val="-5"/>
          <w:sz w:val="16"/>
        </w:rPr>
        <w:t> </w:t>
      </w:r>
      <w:r>
        <w:rPr>
          <w:rFonts w:ascii="Franklin Gothic Book" w:hAnsi="Franklin Gothic Book"/>
          <w:sz w:val="16"/>
        </w:rPr>
        <w:t>0,2</w:t>
      </w:r>
      <w:r>
        <w:rPr>
          <w:rFonts w:ascii="Franklin Gothic Book" w:hAnsi="Franklin Gothic Book"/>
          <w:spacing w:val="-6"/>
          <w:sz w:val="16"/>
        </w:rPr>
        <w:t> </w:t>
      </w:r>
      <w:r>
        <w:rPr>
          <w:rFonts w:ascii="Franklin Gothic Book" w:hAnsi="Franklin Gothic Book"/>
          <w:sz w:val="16"/>
        </w:rPr>
        <w:t>per</w:t>
      </w:r>
      <w:r>
        <w:rPr>
          <w:rFonts w:ascii="Franklin Gothic Book" w:hAnsi="Franklin Gothic Book"/>
          <w:spacing w:val="-6"/>
          <w:sz w:val="16"/>
        </w:rPr>
        <w:t> </w:t>
      </w:r>
      <w:r>
        <w:rPr>
          <w:rFonts w:ascii="Franklin Gothic Book" w:hAnsi="Franklin Gothic Book"/>
          <w:sz w:val="16"/>
        </w:rPr>
        <w:t>cento</w:t>
      </w:r>
      <w:r>
        <w:rPr>
          <w:rFonts w:ascii="Franklin Gothic Book" w:hAnsi="Franklin Gothic Book"/>
          <w:spacing w:val="-5"/>
          <w:sz w:val="16"/>
        </w:rPr>
        <w:t> </w:t>
      </w:r>
      <w:r>
        <w:rPr>
          <w:rFonts w:ascii="Franklin Gothic Book" w:hAnsi="Franklin Gothic Book"/>
          <w:sz w:val="16"/>
        </w:rPr>
        <w:t>del</w:t>
      </w:r>
      <w:r>
        <w:rPr>
          <w:rFonts w:ascii="Franklin Gothic Book" w:hAnsi="Franklin Gothic Book"/>
          <w:spacing w:val="-6"/>
          <w:sz w:val="16"/>
        </w:rPr>
        <w:t> </w:t>
      </w:r>
      <w:r>
        <w:rPr>
          <w:rFonts w:ascii="Franklin Gothic Book" w:hAnsi="Franklin Gothic Book"/>
          <w:sz w:val="16"/>
        </w:rPr>
        <w:t>PIL</w:t>
      </w:r>
      <w:r>
        <w:rPr>
          <w:rFonts w:ascii="Franklin Gothic Book" w:hAnsi="Franklin Gothic Book"/>
          <w:spacing w:val="-6"/>
          <w:sz w:val="16"/>
        </w:rPr>
        <w:t> </w:t>
      </w:r>
      <w:r>
        <w:rPr>
          <w:rFonts w:ascii="Franklin Gothic Book" w:hAnsi="Franklin Gothic Book"/>
          <w:sz w:val="16"/>
        </w:rPr>
        <w:t>all’anno</w:t>
      </w:r>
      <w:r>
        <w:rPr>
          <w:rFonts w:ascii="Franklin Gothic Book" w:hAnsi="Franklin Gothic Book"/>
          <w:spacing w:val="-5"/>
          <w:sz w:val="16"/>
        </w:rPr>
        <w:t> </w:t>
      </w:r>
      <w:r>
        <w:rPr>
          <w:rFonts w:ascii="Franklin Gothic Book" w:hAnsi="Franklin Gothic Book"/>
          <w:sz w:val="16"/>
        </w:rPr>
        <w:t>nel</w:t>
      </w:r>
      <w:r>
        <w:rPr>
          <w:rFonts w:ascii="Franklin Gothic Book" w:hAnsi="Franklin Gothic Book"/>
          <w:spacing w:val="-6"/>
          <w:sz w:val="16"/>
        </w:rPr>
        <w:t> </w:t>
      </w:r>
      <w:r>
        <w:rPr>
          <w:rFonts w:ascii="Franklin Gothic Book" w:hAnsi="Franklin Gothic Book"/>
          <w:sz w:val="16"/>
        </w:rPr>
        <w:t>prossimo</w:t>
      </w:r>
      <w:r>
        <w:rPr>
          <w:rFonts w:ascii="Franklin Gothic Book" w:hAnsi="Franklin Gothic Book"/>
          <w:spacing w:val="-6"/>
          <w:sz w:val="16"/>
        </w:rPr>
        <w:t> </w:t>
      </w:r>
      <w:r>
        <w:rPr>
          <w:rFonts w:ascii="Franklin Gothic Book" w:hAnsi="Franklin Gothic Book"/>
          <w:sz w:val="16"/>
        </w:rPr>
        <w:t>triennio.</w:t>
      </w:r>
      <w:r>
        <w:rPr>
          <w:rFonts w:ascii="Franklin Gothic Book" w:hAnsi="Franklin Gothic Book"/>
          <w:spacing w:val="-7"/>
          <w:sz w:val="16"/>
        </w:rPr>
        <w:t> </w:t>
      </w:r>
      <w:r>
        <w:rPr>
          <w:rFonts w:ascii="Franklin Gothic Book" w:hAnsi="Franklin Gothic Book"/>
          <w:sz w:val="16"/>
        </w:rPr>
        <w:t>Nel</w:t>
      </w:r>
      <w:r>
        <w:rPr>
          <w:rFonts w:ascii="Franklin Gothic Book" w:hAnsi="Franklin Gothic Book"/>
          <w:spacing w:val="-7"/>
          <w:sz w:val="16"/>
        </w:rPr>
        <w:t> </w:t>
      </w:r>
      <w:r>
        <w:rPr>
          <w:rFonts w:ascii="Franklin Gothic Book" w:hAnsi="Franklin Gothic Book"/>
          <w:sz w:val="16"/>
        </w:rPr>
        <w:t>2020</w:t>
      </w:r>
      <w:r>
        <w:rPr>
          <w:rFonts w:ascii="Franklin Gothic Book" w:hAnsi="Franklin Gothic Book"/>
          <w:spacing w:val="-6"/>
          <w:sz w:val="16"/>
        </w:rPr>
        <w:t> </w:t>
      </w:r>
      <w:r>
        <w:rPr>
          <w:rFonts w:ascii="Franklin Gothic Book" w:hAnsi="Franklin Gothic Book"/>
          <w:sz w:val="16"/>
        </w:rPr>
        <w:t>sono</w:t>
      </w:r>
      <w:r>
        <w:rPr>
          <w:rFonts w:ascii="Franklin Gothic Book" w:hAnsi="Franklin Gothic Book"/>
          <w:spacing w:val="-5"/>
          <w:sz w:val="16"/>
        </w:rPr>
        <w:t> </w:t>
      </w:r>
      <w:r>
        <w:rPr>
          <w:rFonts w:ascii="Franklin Gothic Book" w:hAnsi="Franklin Gothic Book"/>
          <w:sz w:val="16"/>
        </w:rPr>
        <w:t>inclusi proventi da dismissioni immobiliari per 850 milioni. Inoltre, si ipotizza una riduzione delle giacenze di liquidità del MEF dello 0,1 per cento del PIL per ciascun anno dal 2019 al 2021. Lo scenario dei tassi di interesse utilizzato per le stime si basa sulle previsioni implicite derivanti dai tassi forward sui titoli di Stato italiani del periodo di compilazione del presente documento.</w:t>
      </w:r>
    </w:p>
    <w:p>
      <w:pPr>
        <w:pStyle w:val="ListParagraph"/>
        <w:numPr>
          <w:ilvl w:val="0"/>
          <w:numId w:val="9"/>
        </w:numPr>
        <w:tabs>
          <w:tab w:pos="536" w:val="left" w:leader="none"/>
        </w:tabs>
        <w:spacing w:line="181" w:lineRule="exact" w:before="1" w:after="0"/>
        <w:ind w:left="535" w:right="0" w:hanging="231"/>
        <w:jc w:val="both"/>
        <w:rPr>
          <w:rFonts w:ascii="Franklin Gothic Book" w:hAnsi="Franklin Gothic Book"/>
          <w:sz w:val="16"/>
        </w:rPr>
      </w:pPr>
      <w:r>
        <w:rPr>
          <w:rFonts w:ascii="Franklin Gothic Book" w:hAnsi="Franklin Gothic Book"/>
          <w:sz w:val="16"/>
        </w:rPr>
        <w:t>Al lordo delle passività nei confronti degli altri sotto</w:t>
      </w:r>
      <w:r>
        <w:rPr>
          <w:rFonts w:ascii="Franklin Gothic Book" w:hAnsi="Franklin Gothic Book"/>
          <w:spacing w:val="-5"/>
          <w:sz w:val="16"/>
        </w:rPr>
        <w:t> </w:t>
      </w:r>
      <w:r>
        <w:rPr>
          <w:rFonts w:ascii="Franklin Gothic Book" w:hAnsi="Franklin Gothic Book"/>
          <w:sz w:val="16"/>
        </w:rPr>
        <w:t>settori.</w:t>
      </w:r>
    </w:p>
    <w:p>
      <w:pPr>
        <w:pStyle w:val="ListParagraph"/>
        <w:numPr>
          <w:ilvl w:val="0"/>
          <w:numId w:val="9"/>
        </w:numPr>
        <w:tabs>
          <w:tab w:pos="551" w:val="left" w:leader="none"/>
        </w:tabs>
        <w:spacing w:line="240" w:lineRule="auto" w:before="0" w:after="0"/>
        <w:ind w:left="305" w:right="2290" w:firstLine="0"/>
        <w:jc w:val="both"/>
        <w:rPr>
          <w:rFonts w:ascii="Franklin Gothic Book"/>
          <w:sz w:val="16"/>
        </w:rPr>
      </w:pPr>
      <w:r>
        <w:rPr/>
        <w:pict>
          <v:line style="position:absolute;mso-position-horizontal-relative:page;mso-position-vertical-relative:paragraph;z-index:-251481088;mso-wrap-distance-left:0;mso-wrap-distance-right:0" from="70.223999pt,20.892019pt" to="482.013999pt,20.892019pt" stroked="true" strokeweight="1.44pt" strokecolor="#086d44">
            <v:stroke dashstyle="solid"/>
            <w10:wrap type="topAndBottom"/>
          </v:line>
        </w:pict>
      </w:r>
      <w:r>
        <w:rPr/>
        <w:pict>
          <v:shape style="position:absolute;margin-left:70.944pt;margin-top:34.69202pt;width:411.1pt;height:14.8pt;mso-position-horizontal-relative:page;mso-position-vertical-relative:paragraph;z-index:-251480064;mso-wrap-distance-left:0;mso-wrap-distance-right:0" type="#_x0000_t202" filled="true" fillcolor="#086d44" stroked="false">
            <v:textbox inset="0,0,0,0">
              <w:txbxContent>
                <w:p>
                  <w:pPr>
                    <w:spacing w:before="45"/>
                    <w:ind w:left="28" w:right="0" w:firstLine="0"/>
                    <w:jc w:val="left"/>
                    <w:rPr>
                      <w:rFonts w:ascii="Franklin Gothic Heavy"/>
                      <w:b/>
                      <w:sz w:val="17"/>
                    </w:rPr>
                  </w:pPr>
                  <w:r>
                    <w:rPr>
                      <w:rFonts w:ascii="Franklin Gothic Heavy"/>
                      <w:b/>
                      <w:color w:val="EFEFEF"/>
                      <w:sz w:val="17"/>
                    </w:rPr>
                    <w:t>FIGURA III.1: ANDAMENTO DEL RAPPORTO DEBITO/PIL AL LORDO E AL NETTO DEGLI AIUTI EUROPEI</w:t>
                  </w:r>
                </w:p>
              </w:txbxContent>
            </v:textbox>
            <v:fill type="solid"/>
            <w10:wrap type="topAndBottom"/>
          </v:shape>
        </w:pict>
      </w:r>
      <w:r>
        <w:rPr/>
        <w:pict>
          <v:group style="position:absolute;margin-left:111.82pt;margin-top:53.54702pt;width:341.05pt;height:149.5pt;mso-position-horizontal-relative:page;mso-position-vertical-relative:paragraph;z-index:-266166272" coordorigin="2236,1071" coordsize="6821,2990">
            <v:shape style="position:absolute;left:2419;top:2059;width:180;height:1231" type="#_x0000_t75" stroked="false">
              <v:imagedata r:id="rId59" o:title=""/>
            </v:shape>
            <v:rect style="position:absolute;left:2419;top:2059;width:180;height:1231" filled="false" stroked="true" strokeweight="2.5pt" strokecolor="#086939">
              <v:stroke dashstyle="solid"/>
            </v:rect>
            <v:shape style="position:absolute;left:2868;top:1365;width:180;height:1925" type="#_x0000_t75" stroked="false">
              <v:imagedata r:id="rId60" o:title=""/>
            </v:shape>
            <v:rect style="position:absolute;left:2868;top:1365;width:180;height:1925" filled="false" stroked="true" strokeweight="2.5pt" strokecolor="#086939">
              <v:stroke dashstyle="solid"/>
            </v:rect>
            <v:shape style="position:absolute;left:3316;top:2812;width:180;height:478" type="#_x0000_t75" stroked="false">
              <v:imagedata r:id="rId61" o:title=""/>
            </v:shape>
            <v:rect style="position:absolute;left:3316;top:2812;width:180;height:478" filled="false" stroked="true" strokeweight="2.5pt" strokecolor="#086939">
              <v:stroke dashstyle="solid"/>
            </v:rect>
            <v:shape style="position:absolute;left:3764;top:3198;width:180;height:92" type="#_x0000_t75" stroked="false">
              <v:imagedata r:id="rId62" o:title=""/>
            </v:shape>
            <v:rect style="position:absolute;left:3764;top:3198;width:180;height:92" filled="false" stroked="true" strokeweight="2.5pt" strokecolor="#086939">
              <v:stroke dashstyle="solid"/>
            </v:rect>
            <v:shape style="position:absolute;left:4212;top:2029;width:180;height:1261" type="#_x0000_t75" stroked="false">
              <v:imagedata r:id="rId63" o:title=""/>
            </v:shape>
            <v:rect style="position:absolute;left:4212;top:2029;width:180;height:1261" filled="false" stroked="true" strokeweight="2.5pt" strokecolor="#086939">
              <v:stroke dashstyle="solid"/>
            </v:rect>
            <v:shape style="position:absolute;left:4660;top:2199;width:180;height:1091" type="#_x0000_t75" stroked="false">
              <v:imagedata r:id="rId64" o:title=""/>
            </v:shape>
            <v:rect style="position:absolute;left:4660;top:2199;width:180;height:1091" filled="false" stroked="true" strokeweight="2.5pt" strokecolor="#086939">
              <v:stroke dashstyle="solid"/>
            </v:rect>
            <v:shape style="position:absolute;left:5109;top:2750;width:180;height:539" type="#_x0000_t75" stroked="false">
              <v:imagedata r:id="rId65" o:title=""/>
            </v:shape>
            <v:rect style="position:absolute;left:5109;top:2750;width:180;height:539" filled="false" stroked="true" strokeweight="2.5pt" strokecolor="#086939">
              <v:stroke dashstyle="solid"/>
            </v:rect>
            <v:shape style="position:absolute;left:5557;top:3289;width:180;height:15" type="#_x0000_t75" stroked="false">
              <v:imagedata r:id="rId66" o:title=""/>
            </v:shape>
            <v:line style="position:absolute" from="5532,3297" to="5761,3297" stroked="true" strokeweight="3.24951pt" strokecolor="#086939">
              <v:stroke dashstyle="solid"/>
            </v:line>
            <v:shape style="position:absolute;left:6005;top:3289;width:180;height:93" type="#_x0000_t75" stroked="false">
              <v:imagedata r:id="rId67" o:title=""/>
            </v:shape>
            <v:rect style="position:absolute;left:6005;top:3289;width:180;height:93" filled="false" stroked="true" strokeweight="2.5pt" strokecolor="#086939">
              <v:stroke dashstyle="solid"/>
            </v:rect>
            <v:shape style="position:absolute;left:6453;top:3289;width:180;height:126" type="#_x0000_t75" stroked="false">
              <v:imagedata r:id="rId68" o:title=""/>
            </v:shape>
            <v:rect style="position:absolute;left:6453;top:3289;width:180;height:126" filled="false" stroked="true" strokeweight="2.5pt" strokecolor="#086939">
              <v:stroke dashstyle="solid"/>
            </v:rect>
            <v:shape style="position:absolute;left:6901;top:3154;width:180;height:136" type="#_x0000_t75" stroked="false">
              <v:imagedata r:id="rId69" o:title=""/>
            </v:shape>
            <v:rect style="position:absolute;left:6901;top:3154;width:180;height:136" filled="false" stroked="true" strokeweight="2.5pt" strokecolor="#086939">
              <v:stroke dashstyle="solid"/>
            </v:rect>
            <v:shape style="position:absolute;left:7350;top:3123;width:180;height:167" type="#_x0000_t75" stroked="false">
              <v:imagedata r:id="rId70" o:title=""/>
            </v:shape>
            <v:rect style="position:absolute;left:7350;top:3123;width:180;height:167" filled="false" stroked="true" strokeweight="2.5pt" strokecolor="#086939">
              <v:stroke dashstyle="solid"/>
            </v:rect>
            <v:shape style="position:absolute;left:7798;top:3289;width:180;height:99" type="#_x0000_t75" stroked="false">
              <v:imagedata r:id="rId71" o:title=""/>
            </v:shape>
            <v:rect style="position:absolute;left:7798;top:3289;width:180;height:99" filled="false" stroked="true" strokeweight="2.5pt" strokecolor="#086939">
              <v:stroke dashstyle="solid"/>
            </v:rect>
            <v:shape style="position:absolute;left:8246;top:3289;width:180;height:329" type="#_x0000_t75" stroked="false">
              <v:imagedata r:id="rId72" o:title=""/>
            </v:shape>
            <v:rect style="position:absolute;left:8246;top:3289;width:180;height:329" filled="false" stroked="true" strokeweight="2.5pt" strokecolor="#086939">
              <v:stroke dashstyle="solid"/>
            </v:rect>
            <v:shape style="position:absolute;left:8694;top:3289;width:180;height:367" type="#_x0000_t75" stroked="false">
              <v:imagedata r:id="rId73" o:title=""/>
            </v:shape>
            <v:rect style="position:absolute;left:8694;top:3289;width:180;height:367" filled="false" stroked="true" strokeweight="2.5pt" strokecolor="#086939">
              <v:stroke dashstyle="solid"/>
            </v:rect>
            <v:shape style="position:absolute;left:2285;top:1078;width:6772;height:2949" coordorigin="2285,1078" coordsize="6772,2949" path="m9008,4027l9008,1078m9008,4027l9057,4027m9008,3659l9057,3659m9008,3289l9057,3289m9008,2922l9057,2922m9008,2552l9057,2552m9008,2185l9057,2185m9008,1816l9057,1816m9008,1446l9057,1446m9008,1078l9057,1078m2285,3290l9008,3290m2285,3290l2285,3339m2734,3290l2734,3339m3182,3290l3182,3339m3629,3290l3629,3339m4078,3290l4078,3339m4526,3290l4526,3339m4975,3290l4975,3339m5422,3290l5422,3339m5870,3290l5870,3339m6319,3290l6319,3339m6768,3290l6768,3339m7214,3290l7214,3339m7663,3290l7663,3339m8112,3290l8112,3339m8561,3290l8561,3339m9008,3290l9008,3339e" filled="false" stroked="true" strokeweight=".75pt" strokecolor="#000000">
              <v:path arrowok="t"/>
              <v:stroke dashstyle="solid"/>
            </v:shape>
            <v:shape style="position:absolute;left:2236;top:1078;width:49;height:2949" coordorigin="2236,1078" coordsize="49,2949" path="m2285,4027l2285,1078m2236,4027l2285,4027m2236,3659l2285,3659m2236,3289l2285,3289m2236,2922l2285,2922m2236,2552l2285,2552m2236,2185l2285,2185m2236,1816l2285,1816m2236,1446l2285,1446m2236,1078l2285,1078e" filled="false" stroked="true" strokeweight=".5pt" strokecolor="#000000">
              <v:path arrowok="t"/>
              <v:stroke dashstyle="solid"/>
            </v:shape>
            <v:shape style="position:absolute;left:2509;top:1392;width:6275;height:2182" coordorigin="2509,1393" coordsize="6275,2182" path="m2509,3574l2957,2804,3406,2612,3854,2576,4303,2072,4750,1636,5198,1420,5647,1427,6096,1463,6542,1513,6991,1460,7440,1393,7889,1432,8335,1564,8784,1710e" filled="false" stroked="true" strokeweight="2.5pt" strokecolor="#77923b">
              <v:path arrowok="t"/>
              <v:stroke dashstyle="solid"/>
            </v:shape>
            <v:shape style="position:absolute;left:2509;top:1633;width:6275;height:1941" coordorigin="2509,1633" coordsize="6275,1941" path="m2509,3574l2957,2804,3406,2632,3854,2636,4303,2267,4750,1890,5198,1693,5647,1686,6096,1717,6542,1760,6991,1703,7440,1633,7889,1667,8335,1792,8784,1931e" filled="false" stroked="true" strokeweight="3.75pt" strokecolor="#d6c700">
              <v:path arrowok="t"/>
              <v:stroke dashstyle="solid"/>
            </v:shape>
            <v:shape style="position:absolute;left:3274;top:3452;width:384;height:75" type="#_x0000_t75" stroked="false">
              <v:imagedata r:id="rId74" o:title=""/>
            </v:shape>
            <v:rect style="position:absolute;left:3274;top:3452;width:384;height:75" filled="false" stroked="true" strokeweight="2.5pt" strokecolor="#086939">
              <v:stroke dashstyle="solid"/>
            </v:rect>
            <v:line style="position:absolute" from="3275,3697" to="3659,3697" stroked="true" strokeweight="2.5pt" strokecolor="#77923b">
              <v:stroke dashstyle="solid"/>
            </v:line>
            <v:line style="position:absolute" from="3275,3904" to="3659,3904" stroked="true" strokeweight="2.5pt" strokecolor="#d6c700">
              <v:stroke dashstyle="solid"/>
            </v:line>
            <v:line style="position:absolute" from="7212,1086" to="7206,4053" stroked="true" strokeweight=".75pt" strokecolor="#a6a6a6">
              <v:stroke dashstyle="shortdash"/>
            </v:line>
            <v:shape style="position:absolute;left:2236;top:1070;width:6821;height:2990" type="#_x0000_t202" filled="false" stroked="false">
              <v:textbox inset="0,0,0,0">
                <w:txbxContent>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314" w:lineRule="auto" w:before="109"/>
                      <w:ind w:left="1463" w:right="3011" w:firstLine="0"/>
                      <w:jc w:val="left"/>
                      <w:rPr>
                        <w:rFonts w:ascii="Franklin Gothic Book"/>
                        <w:sz w:val="14"/>
                      </w:rPr>
                    </w:pPr>
                    <w:r>
                      <w:rPr>
                        <w:rFonts w:ascii="Franklin Gothic Book"/>
                        <w:w w:val="105"/>
                        <w:sz w:val="14"/>
                      </w:rPr>
                      <w:t>Var. del rapporto Debito/PIL (asse dx) Debito/PIL (al</w:t>
                    </w:r>
                    <w:r>
                      <w:rPr>
                        <w:rFonts w:ascii="Franklin Gothic Book"/>
                        <w:spacing w:val="-1"/>
                        <w:w w:val="105"/>
                        <w:sz w:val="14"/>
                      </w:rPr>
                      <w:t> </w:t>
                    </w:r>
                    <w:r>
                      <w:rPr>
                        <w:rFonts w:ascii="Franklin Gothic Book"/>
                        <w:w w:val="105"/>
                        <w:sz w:val="14"/>
                      </w:rPr>
                      <w:t>lordo)</w:t>
                    </w:r>
                  </w:p>
                  <w:p>
                    <w:pPr>
                      <w:spacing w:line="158" w:lineRule="exact" w:before="0"/>
                      <w:ind w:left="1463" w:right="0" w:firstLine="0"/>
                      <w:jc w:val="left"/>
                      <w:rPr>
                        <w:rFonts w:ascii="Franklin Gothic Book"/>
                        <w:sz w:val="14"/>
                      </w:rPr>
                    </w:pPr>
                    <w:r>
                      <w:rPr>
                        <w:rFonts w:ascii="Franklin Gothic Book"/>
                        <w:w w:val="105"/>
                        <w:sz w:val="14"/>
                      </w:rPr>
                      <w:t>Debito/PIL (al</w:t>
                    </w:r>
                    <w:r>
                      <w:rPr>
                        <w:rFonts w:ascii="Franklin Gothic Book"/>
                        <w:spacing w:val="-11"/>
                        <w:w w:val="105"/>
                        <w:sz w:val="14"/>
                      </w:rPr>
                      <w:t> </w:t>
                    </w:r>
                    <w:r>
                      <w:rPr>
                        <w:rFonts w:ascii="Franklin Gothic Book"/>
                        <w:w w:val="105"/>
                        <w:sz w:val="14"/>
                      </w:rPr>
                      <w:t>netto)</w:t>
                    </w:r>
                  </w:p>
                </w:txbxContent>
              </v:textbox>
              <w10:wrap type="none"/>
            </v:shape>
            <w10:wrap type="none"/>
          </v:group>
        </w:pict>
      </w:r>
      <w:r>
        <w:rPr>
          <w:rFonts w:ascii="Franklin Gothic Book"/>
          <w:sz w:val="16"/>
        </w:rPr>
        <w:t>Include gli effetti del contributo italiano a sostegno dell'Area Euro: contributi programma </w:t>
      </w:r>
      <w:r>
        <w:rPr>
          <w:rFonts w:ascii="Franklin Gothic Book"/>
          <w:i/>
          <w:sz w:val="16"/>
        </w:rPr>
        <w:t>Greek Loan Facility </w:t>
      </w:r>
      <w:r>
        <w:rPr>
          <w:rFonts w:ascii="Franklin Gothic Book"/>
          <w:sz w:val="16"/>
        </w:rPr>
        <w:t>(GLF), EFSF e</w:t>
      </w:r>
      <w:r>
        <w:rPr>
          <w:rFonts w:ascii="Franklin Gothic Book"/>
          <w:spacing w:val="-3"/>
          <w:sz w:val="16"/>
        </w:rPr>
        <w:t> </w:t>
      </w:r>
      <w:r>
        <w:rPr>
          <w:rFonts w:ascii="Franklin Gothic Book"/>
          <w:sz w:val="16"/>
        </w:rPr>
        <w:t>ESM.</w:t>
      </w:r>
    </w:p>
    <w:p>
      <w:pPr>
        <w:pStyle w:val="BodyText"/>
        <w:spacing w:before="3"/>
        <w:rPr>
          <w:rFonts w:ascii="Franklin Gothic Book"/>
          <w:sz w:val="18"/>
        </w:rPr>
      </w:pPr>
    </w:p>
    <w:p>
      <w:pPr>
        <w:tabs>
          <w:tab w:pos="8009" w:val="left" w:leader="none"/>
        </w:tabs>
        <w:spacing w:line="161" w:lineRule="exact" w:before="0"/>
        <w:ind w:left="724" w:right="0" w:firstLine="0"/>
        <w:jc w:val="left"/>
        <w:rPr>
          <w:rFonts w:ascii="Franklin Gothic Book"/>
          <w:sz w:val="16"/>
        </w:rPr>
      </w:pPr>
      <w:r>
        <w:rPr>
          <w:rFonts w:ascii="Franklin Gothic Book"/>
          <w:sz w:val="16"/>
        </w:rPr>
        <w:t>140</w:t>
        <w:tab/>
        <w:t>12</w:t>
      </w:r>
    </w:p>
    <w:p>
      <w:pPr>
        <w:pStyle w:val="BodyText"/>
        <w:spacing w:before="5"/>
        <w:rPr>
          <w:rFonts w:ascii="Franklin Gothic Book"/>
          <w:sz w:val="16"/>
        </w:rPr>
      </w:pPr>
    </w:p>
    <w:p>
      <w:pPr>
        <w:tabs>
          <w:tab w:pos="8009" w:val="left" w:leader="none"/>
        </w:tabs>
        <w:spacing w:before="0"/>
        <w:ind w:left="724" w:right="0" w:firstLine="0"/>
        <w:jc w:val="left"/>
        <w:rPr>
          <w:rFonts w:ascii="Franklin Gothic Book"/>
          <w:sz w:val="16"/>
        </w:rPr>
      </w:pPr>
      <w:r>
        <w:rPr>
          <w:rFonts w:ascii="Franklin Gothic Book"/>
          <w:sz w:val="16"/>
        </w:rPr>
        <w:t>135</w:t>
        <w:tab/>
        <w:t>10</w:t>
      </w:r>
    </w:p>
    <w:p>
      <w:pPr>
        <w:pStyle w:val="BodyText"/>
        <w:spacing w:before="6"/>
        <w:rPr>
          <w:rFonts w:ascii="Franklin Gothic Book"/>
          <w:sz w:val="16"/>
        </w:rPr>
      </w:pPr>
    </w:p>
    <w:p>
      <w:pPr>
        <w:tabs>
          <w:tab w:pos="8009" w:val="left" w:leader="none"/>
        </w:tabs>
        <w:spacing w:before="0"/>
        <w:ind w:left="724" w:right="0" w:firstLine="0"/>
        <w:jc w:val="left"/>
        <w:rPr>
          <w:rFonts w:ascii="Franklin Gothic Book"/>
          <w:sz w:val="16"/>
        </w:rPr>
      </w:pPr>
      <w:r>
        <w:rPr>
          <w:rFonts w:ascii="Franklin Gothic Book"/>
          <w:sz w:val="16"/>
        </w:rPr>
        <w:t>130</w:t>
        <w:tab/>
        <w:t>8</w:t>
      </w:r>
    </w:p>
    <w:p>
      <w:pPr>
        <w:pStyle w:val="BodyText"/>
        <w:spacing w:before="6"/>
        <w:rPr>
          <w:rFonts w:ascii="Franklin Gothic Book"/>
          <w:sz w:val="16"/>
        </w:rPr>
      </w:pPr>
    </w:p>
    <w:p>
      <w:pPr>
        <w:tabs>
          <w:tab w:pos="8009" w:val="left" w:leader="none"/>
        </w:tabs>
        <w:spacing w:before="0"/>
        <w:ind w:left="724" w:right="0" w:firstLine="0"/>
        <w:jc w:val="left"/>
        <w:rPr>
          <w:rFonts w:ascii="Franklin Gothic Book"/>
          <w:sz w:val="16"/>
        </w:rPr>
      </w:pPr>
      <w:r>
        <w:rPr/>
        <w:pict>
          <v:shape style="position:absolute;margin-left:79.297997pt;margin-top:8.843459pt;width:10.050pt;height:30.7pt;mso-position-horizontal-relative:page;mso-position-vertical-relative:paragraph;z-index:251842560" type="#_x0000_t202" filled="false" stroked="false">
            <v:textbox inset="0,0,0,0" style="layout-flow:vertical;mso-layout-flow-alt:bottom-to-top">
              <w:txbxContent>
                <w:p>
                  <w:pPr>
                    <w:spacing w:line="184" w:lineRule="exact" w:before="0"/>
                    <w:ind w:left="20" w:right="0" w:firstLine="0"/>
                    <w:jc w:val="left"/>
                    <w:rPr>
                      <w:rFonts w:ascii="Calibri"/>
                      <w:b/>
                      <w:sz w:val="16"/>
                    </w:rPr>
                  </w:pPr>
                  <w:r>
                    <w:rPr>
                      <w:rFonts w:ascii="Calibri"/>
                      <w:b/>
                      <w:sz w:val="16"/>
                    </w:rPr>
                    <w:t>% sul PIL</w:t>
                  </w:r>
                </w:p>
              </w:txbxContent>
            </v:textbox>
            <w10:wrap type="none"/>
          </v:shape>
        </w:pict>
      </w:r>
      <w:r>
        <w:rPr>
          <w:rFonts w:ascii="Franklin Gothic Book"/>
          <w:sz w:val="16"/>
        </w:rPr>
        <w:t>125</w:t>
        <w:tab/>
        <w:t>6</w:t>
      </w:r>
    </w:p>
    <w:p>
      <w:pPr>
        <w:pStyle w:val="BodyText"/>
        <w:spacing w:before="6"/>
        <w:rPr>
          <w:rFonts w:ascii="Franklin Gothic Book"/>
          <w:sz w:val="16"/>
        </w:rPr>
      </w:pPr>
    </w:p>
    <w:p>
      <w:pPr>
        <w:tabs>
          <w:tab w:pos="8009" w:val="left" w:leader="none"/>
        </w:tabs>
        <w:spacing w:before="0"/>
        <w:ind w:left="724" w:right="0" w:firstLine="0"/>
        <w:jc w:val="left"/>
        <w:rPr>
          <w:rFonts w:ascii="Franklin Gothic Book"/>
          <w:sz w:val="16"/>
        </w:rPr>
      </w:pPr>
      <w:r>
        <w:rPr/>
        <w:pict>
          <v:shape style="position:absolute;margin-left:466.299988pt;margin-top:-8.090443pt;width:10.050pt;height:32.5500pt;mso-position-horizontal-relative:page;mso-position-vertical-relative:paragraph;z-index:251843584" type="#_x0000_t202" filled="false" stroked="false">
            <v:textbox inset="0,0,0,0" style="layout-flow:vertical;mso-layout-flow-alt:bottom-to-top">
              <w:txbxContent>
                <w:p>
                  <w:pPr>
                    <w:spacing w:line="184" w:lineRule="exact" w:before="0"/>
                    <w:ind w:left="20" w:right="0" w:firstLine="0"/>
                    <w:jc w:val="left"/>
                    <w:rPr>
                      <w:rFonts w:ascii="Calibri"/>
                      <w:b/>
                      <w:sz w:val="16"/>
                    </w:rPr>
                  </w:pPr>
                  <w:r>
                    <w:rPr>
                      <w:rFonts w:ascii="Calibri"/>
                      <w:b/>
                      <w:sz w:val="16"/>
                    </w:rPr>
                    <w:t>p.p di PIL</w:t>
                  </w:r>
                </w:p>
              </w:txbxContent>
            </v:textbox>
            <w10:wrap type="none"/>
          </v:shape>
        </w:pict>
      </w:r>
      <w:r>
        <w:rPr>
          <w:rFonts w:ascii="Franklin Gothic Book"/>
          <w:sz w:val="16"/>
        </w:rPr>
        <w:t>120</w:t>
        <w:tab/>
        <w:t>4</w:t>
      </w:r>
    </w:p>
    <w:p>
      <w:pPr>
        <w:pStyle w:val="BodyText"/>
        <w:spacing w:before="6"/>
        <w:rPr>
          <w:rFonts w:ascii="Franklin Gothic Book"/>
          <w:sz w:val="16"/>
        </w:rPr>
      </w:pPr>
    </w:p>
    <w:p>
      <w:pPr>
        <w:tabs>
          <w:tab w:pos="8009" w:val="left" w:leader="none"/>
        </w:tabs>
        <w:spacing w:before="0"/>
        <w:ind w:left="724" w:right="0" w:firstLine="0"/>
        <w:jc w:val="left"/>
        <w:rPr>
          <w:rFonts w:ascii="Franklin Gothic Book"/>
          <w:sz w:val="16"/>
        </w:rPr>
      </w:pPr>
      <w:r>
        <w:rPr>
          <w:rFonts w:ascii="Franklin Gothic Book"/>
          <w:sz w:val="16"/>
        </w:rPr>
        <w:t>115</w:t>
        <w:tab/>
        <w:t>2</w:t>
      </w:r>
    </w:p>
    <w:p>
      <w:pPr>
        <w:pStyle w:val="BodyText"/>
        <w:spacing w:before="5"/>
        <w:rPr>
          <w:rFonts w:ascii="Franklin Gothic Book"/>
          <w:sz w:val="16"/>
        </w:rPr>
      </w:pPr>
    </w:p>
    <w:p>
      <w:pPr>
        <w:tabs>
          <w:tab w:pos="8009" w:val="left" w:leader="none"/>
        </w:tabs>
        <w:spacing w:before="0"/>
        <w:ind w:left="724" w:right="0" w:firstLine="0"/>
        <w:jc w:val="left"/>
        <w:rPr>
          <w:rFonts w:ascii="Franklin Gothic Book"/>
          <w:sz w:val="16"/>
        </w:rPr>
      </w:pPr>
      <w:r>
        <w:rPr>
          <w:rFonts w:ascii="Franklin Gothic Book"/>
          <w:sz w:val="16"/>
        </w:rPr>
        <w:t>110</w:t>
        <w:tab/>
        <w:t>0</w:t>
      </w:r>
    </w:p>
    <w:p>
      <w:pPr>
        <w:pStyle w:val="BodyText"/>
        <w:spacing w:before="6"/>
        <w:rPr>
          <w:rFonts w:ascii="Franklin Gothic Book"/>
          <w:sz w:val="16"/>
        </w:rPr>
      </w:pPr>
    </w:p>
    <w:p>
      <w:pPr>
        <w:tabs>
          <w:tab w:pos="8009" w:val="left" w:leader="none"/>
        </w:tabs>
        <w:spacing w:before="0"/>
        <w:ind w:left="724" w:right="0" w:firstLine="0"/>
        <w:jc w:val="left"/>
        <w:rPr>
          <w:rFonts w:ascii="Franklin Gothic Book"/>
          <w:sz w:val="16"/>
        </w:rPr>
      </w:pPr>
      <w:r>
        <w:rPr>
          <w:rFonts w:ascii="Franklin Gothic Book"/>
          <w:sz w:val="16"/>
        </w:rPr>
        <w:t>105</w:t>
        <w:tab/>
        <w:t>-2</w:t>
      </w:r>
    </w:p>
    <w:p>
      <w:pPr>
        <w:pStyle w:val="BodyText"/>
        <w:spacing w:before="6"/>
        <w:rPr>
          <w:rFonts w:ascii="Franklin Gothic Book"/>
          <w:sz w:val="16"/>
        </w:rPr>
      </w:pPr>
    </w:p>
    <w:p>
      <w:pPr>
        <w:tabs>
          <w:tab w:pos="8009" w:val="left" w:leader="none"/>
        </w:tabs>
        <w:spacing w:before="0"/>
        <w:ind w:left="724" w:right="0" w:firstLine="0"/>
        <w:jc w:val="left"/>
        <w:rPr>
          <w:rFonts w:ascii="Franklin Gothic Book"/>
          <w:sz w:val="16"/>
        </w:rPr>
      </w:pPr>
      <w:r>
        <w:rPr>
          <w:rFonts w:ascii="Franklin Gothic Book"/>
          <w:sz w:val="16"/>
        </w:rPr>
        <w:t>100</w:t>
        <w:tab/>
        <w:t>-4</w:t>
      </w:r>
    </w:p>
    <w:p>
      <w:pPr>
        <w:spacing w:before="12"/>
        <w:ind w:left="1182" w:right="0" w:firstLine="0"/>
        <w:jc w:val="left"/>
        <w:rPr>
          <w:rFonts w:ascii="Franklin Gothic Book"/>
          <w:sz w:val="16"/>
        </w:rPr>
      </w:pPr>
      <w:r>
        <w:rPr/>
        <w:pict>
          <v:line style="position:absolute;mso-position-horizontal-relative:page;mso-position-vertical-relative:paragraph;z-index:-251479040;mso-wrap-distance-left:0;mso-wrap-distance-right:0" from="70.944pt,14.052047pt" to="482.014pt,14.052047pt" stroked="true" strokeweight=".47998pt" strokecolor="#000000">
            <v:stroke dashstyle="solid"/>
            <w10:wrap type="topAndBottom"/>
          </v:line>
        </w:pict>
      </w:r>
      <w:r>
        <w:rPr>
          <w:rFonts w:ascii="Franklin Gothic Book"/>
          <w:sz w:val="16"/>
        </w:rPr>
        <w:t>2008 2009 2010 2011 2012 2013 2014 2015 2016 2017 2018 2019 2020 2021 2022</w:t>
      </w:r>
    </w:p>
    <w:p>
      <w:pPr>
        <w:spacing w:before="0" w:after="58"/>
        <w:ind w:left="348" w:right="0" w:firstLine="0"/>
        <w:jc w:val="left"/>
        <w:rPr>
          <w:rFonts w:ascii="Franklin Gothic Book" w:hAnsi="Franklin Gothic Book"/>
          <w:sz w:val="17"/>
        </w:rPr>
      </w:pPr>
      <w:r>
        <w:rPr>
          <w:rFonts w:ascii="Franklin Gothic Book" w:hAnsi="Franklin Gothic Book"/>
          <w:sz w:val="17"/>
        </w:rPr>
        <w:t>Fonte: Elaborazioni MEF su dati ISTAT e Banca d’Italia.</w:t>
      </w:r>
    </w:p>
    <w:p>
      <w:pPr>
        <w:pStyle w:val="BodyText"/>
        <w:spacing w:line="30" w:lineRule="exact"/>
        <w:ind w:left="249"/>
        <w:rPr>
          <w:rFonts w:ascii="Franklin Gothic Book"/>
          <w:sz w:val="3"/>
        </w:rPr>
      </w:pPr>
      <w:r>
        <w:rPr>
          <w:rFonts w:ascii="Franklin Gothic Book"/>
          <w:position w:val="0"/>
          <w:sz w:val="3"/>
        </w:rPr>
        <w:pict>
          <v:group style="width:411.8pt;height:1.45pt;mso-position-horizontal-relative:char;mso-position-vertical-relative:line" coordorigin="0,0" coordsize="8236,29">
            <v:line style="position:absolute" from="0,14" to="8236,14" stroked="true" strokeweight="1.44pt" strokecolor="#086d44">
              <v:stroke dashstyle="solid"/>
            </v:line>
          </v:group>
        </w:pict>
      </w:r>
      <w:r>
        <w:rPr>
          <w:rFonts w:ascii="Franklin Gothic Book"/>
          <w:position w:val="0"/>
          <w:sz w:val="3"/>
        </w:rPr>
      </w:r>
    </w:p>
    <w:p>
      <w:pPr>
        <w:pStyle w:val="BodyText"/>
        <w:rPr>
          <w:rFonts w:ascii="Franklin Gothic Book"/>
          <w:sz w:val="20"/>
        </w:rPr>
      </w:pPr>
    </w:p>
    <w:p>
      <w:pPr>
        <w:pStyle w:val="BodyText"/>
        <w:spacing w:before="8"/>
        <w:rPr>
          <w:rFonts w:ascii="Franklin Gothic Book"/>
          <w:sz w:val="13"/>
        </w:rPr>
      </w:pPr>
      <w:r>
        <w:rPr/>
        <w:pict>
          <v:group style="position:absolute;margin-left:93.599998pt;margin-top:9.782109pt;width:21.4pt;height:2.15pt;mso-position-horizontal-relative:page;mso-position-vertical-relative:paragraph;z-index:-251476992;mso-wrap-distance-left:0;mso-wrap-distance-right:0" coordorigin="1872,196" coordsize="428,43">
            <v:line style="position:absolute" from="1872,216" to="2299,216" stroked="true" strokeweight="2.050pt" strokecolor="#aaaaaa">
              <v:stroke dashstyle="solid"/>
            </v:line>
            <v:rect style="position:absolute;left:1872;top:197;width:5;height:5" filled="true" fillcolor="#9f9f9f" stroked="false">
              <v:fill type="solid"/>
            </v:rect>
            <v:rect style="position:absolute;left:1872;top:197;width:5;height:5" filled="true" fillcolor="#9f9f9f" stroked="false">
              <v:fill type="solid"/>
            </v:rect>
            <v:line style="position:absolute" from="1877,200" to="2295,200" stroked="true" strokeweight=".23999pt" strokecolor="#9f9f9f">
              <v:stroke dashstyle="solid"/>
            </v:line>
            <v:rect style="position:absolute;left:2294;top:197;width:5;height:5" filled="true" fillcolor="#e2e2e2" stroked="false">
              <v:fill type="solid"/>
            </v:rect>
            <v:rect style="position:absolute;left:2294;top:197;width:5;height:5" filled="true" fillcolor="#9f9f9f" stroked="false">
              <v:fill type="solid"/>
            </v:rect>
            <v:rect style="position:absolute;left:1872;top:202;width:5;height:32" filled="true" fillcolor="#9f9f9f" stroked="false">
              <v:fill type="solid"/>
            </v:rect>
            <v:rect style="position:absolute;left:2294;top:202;width:5;height:32" filled="true" fillcolor="#e2e2e2" stroked="false">
              <v:fill type="solid"/>
            </v:rect>
            <v:rect style="position:absolute;left:1872;top:233;width:5;height:5" filled="true" fillcolor="#9f9f9f" stroked="false">
              <v:fill type="solid"/>
            </v:rect>
            <v:rect style="position:absolute;left:1872;top:233;width:5;height:5" filled="true" fillcolor="#e2e2e2" stroked="false">
              <v:fill type="solid"/>
            </v:rect>
            <v:line style="position:absolute" from="1877,236" to="2295,236" stroked="true" strokeweight=".23999pt" strokecolor="#e2e2e2">
              <v:stroke dashstyle="solid"/>
            </v:line>
            <v:rect style="position:absolute;left:2294;top:233;width:5;height:5" filled="true" fillcolor="#e2e2e2" stroked="false">
              <v:fill type="solid"/>
            </v:rect>
            <v:rect style="position:absolute;left:2294;top:233;width:5;height:5" filled="true" fillcolor="#e2e2e2" stroked="false">
              <v:fill type="solid"/>
            </v:rect>
            <w10:wrap type="topAndBottom"/>
          </v:group>
        </w:pict>
      </w:r>
    </w:p>
    <w:p>
      <w:pPr>
        <w:spacing w:before="20"/>
        <w:ind w:left="732" w:right="0" w:firstLine="0"/>
        <w:jc w:val="left"/>
        <w:rPr>
          <w:sz w:val="16"/>
        </w:rPr>
      </w:pPr>
      <w:r>
        <w:rPr>
          <w:position w:val="6"/>
          <w:sz w:val="10"/>
        </w:rPr>
        <w:t>46 </w:t>
      </w:r>
      <w:r>
        <w:rPr>
          <w:sz w:val="16"/>
        </w:rPr>
        <w:t>Eventuali imprecisioni derivano dagli arrotondamenti.</w:t>
      </w:r>
    </w:p>
    <w:p>
      <w:pPr>
        <w:spacing w:after="0"/>
        <w:jc w:val="left"/>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4"/>
        <w:rPr>
          <w:sz w:val="24"/>
        </w:rPr>
      </w:pPr>
    </w:p>
    <w:p>
      <w:pPr>
        <w:pStyle w:val="Heading2"/>
        <w:numPr>
          <w:ilvl w:val="1"/>
          <w:numId w:val="2"/>
        </w:numPr>
        <w:tabs>
          <w:tab w:pos="1669" w:val="left" w:leader="none"/>
        </w:tabs>
        <w:spacing w:line="240" w:lineRule="auto" w:before="99" w:after="0"/>
        <w:ind w:left="1668" w:right="0" w:hanging="541"/>
        <w:jc w:val="left"/>
      </w:pPr>
      <w:r>
        <w:rPr>
          <w:color w:val="086D44"/>
        </w:rPr>
        <w:t>LA REGOLA DEL DEBITO E GLI ALTRI FATTORI</w:t>
      </w:r>
      <w:r>
        <w:rPr>
          <w:color w:val="086D44"/>
          <w:spacing w:val="-4"/>
        </w:rPr>
        <w:t> </w:t>
      </w:r>
      <w:r>
        <w:rPr>
          <w:color w:val="086D44"/>
        </w:rPr>
        <w:t>RILEVANTI</w:t>
      </w:r>
    </w:p>
    <w:p>
      <w:pPr>
        <w:pStyle w:val="BodyText"/>
        <w:spacing w:before="9"/>
        <w:rPr>
          <w:rFonts w:ascii="Franklin Gothic Heavy"/>
          <w:b/>
        </w:rPr>
      </w:pPr>
    </w:p>
    <w:p>
      <w:pPr>
        <w:pStyle w:val="BodyText"/>
        <w:spacing w:line="252" w:lineRule="auto"/>
        <w:ind w:left="1128" w:right="1413" w:firstLine="453"/>
        <w:jc w:val="both"/>
      </w:pPr>
      <w:r>
        <w:rPr/>
        <w:t>La disciplina fiscale europea prevede che il rapporto tra il debito pubblico e il PIL non debba superare il 60 per cento. Gli stati membri che si trovano al di sopra di</w:t>
      </w:r>
      <w:r>
        <w:rPr>
          <w:spacing w:val="-12"/>
        </w:rPr>
        <w:t> </w:t>
      </w:r>
      <w:r>
        <w:rPr/>
        <w:t>questa</w:t>
      </w:r>
      <w:r>
        <w:rPr>
          <w:spacing w:val="-12"/>
        </w:rPr>
        <w:t> </w:t>
      </w:r>
      <w:r>
        <w:rPr/>
        <w:t>soglia</w:t>
      </w:r>
      <w:r>
        <w:rPr>
          <w:spacing w:val="-12"/>
        </w:rPr>
        <w:t> </w:t>
      </w:r>
      <w:r>
        <w:rPr/>
        <w:t>sono</w:t>
      </w:r>
      <w:r>
        <w:rPr>
          <w:spacing w:val="-11"/>
        </w:rPr>
        <w:t> </w:t>
      </w:r>
      <w:r>
        <w:rPr/>
        <w:t>chiamati</w:t>
      </w:r>
      <w:r>
        <w:rPr>
          <w:spacing w:val="-12"/>
        </w:rPr>
        <w:t> </w:t>
      </w:r>
      <w:r>
        <w:rPr/>
        <w:t>a</w:t>
      </w:r>
      <w:r>
        <w:rPr>
          <w:spacing w:val="-12"/>
        </w:rPr>
        <w:t> </w:t>
      </w:r>
      <w:r>
        <w:rPr/>
        <w:t>intraprendere</w:t>
      </w:r>
      <w:r>
        <w:rPr>
          <w:spacing w:val="-11"/>
        </w:rPr>
        <w:t> </w:t>
      </w:r>
      <w:r>
        <w:rPr/>
        <w:t>un</w:t>
      </w:r>
      <w:r>
        <w:rPr>
          <w:spacing w:val="-12"/>
        </w:rPr>
        <w:t> </w:t>
      </w:r>
      <w:r>
        <w:rPr/>
        <w:t>percorso</w:t>
      </w:r>
      <w:r>
        <w:rPr>
          <w:spacing w:val="-12"/>
        </w:rPr>
        <w:t> </w:t>
      </w:r>
      <w:r>
        <w:rPr/>
        <w:t>di</w:t>
      </w:r>
      <w:r>
        <w:rPr>
          <w:spacing w:val="-14"/>
        </w:rPr>
        <w:t> </w:t>
      </w:r>
      <w:r>
        <w:rPr/>
        <w:t>riduzione</w:t>
      </w:r>
      <w:r>
        <w:rPr>
          <w:spacing w:val="-12"/>
        </w:rPr>
        <w:t> </w:t>
      </w:r>
      <w:r>
        <w:rPr/>
        <w:t>graduale</w:t>
      </w:r>
      <w:r>
        <w:rPr>
          <w:spacing w:val="-12"/>
        </w:rPr>
        <w:t> </w:t>
      </w:r>
      <w:r>
        <w:rPr/>
        <w:t>del debito pubblico secondo una regola, introdotta dal cosiddetto </w:t>
      </w:r>
      <w:r>
        <w:rPr>
          <w:i/>
        </w:rPr>
        <w:t>Six Pack, </w:t>
      </w:r>
      <w:r>
        <w:rPr/>
        <w:t>e recepita nell'ordinamento italiano attraverso la legge di attuazione del principio costituzionale dell’equilibrio di bilancio (L. 243/2012)</w:t>
      </w:r>
      <w:r>
        <w:rPr>
          <w:spacing w:val="-26"/>
        </w:rPr>
        <w:t> </w:t>
      </w:r>
      <w:r>
        <w:rPr>
          <w:vertAlign w:val="superscript"/>
        </w:rPr>
        <w:t>47</w:t>
      </w:r>
      <w:r>
        <w:rPr>
          <w:vertAlign w:val="baseline"/>
        </w:rPr>
        <w:t>.</w:t>
      </w:r>
    </w:p>
    <w:p>
      <w:pPr>
        <w:pStyle w:val="BodyText"/>
        <w:spacing w:line="252" w:lineRule="auto" w:before="1"/>
        <w:ind w:left="1128" w:right="1412" w:firstLine="453"/>
        <w:jc w:val="both"/>
      </w:pPr>
      <w:r>
        <w:rPr/>
        <w:t>In una situazione di debito pubblico superiore al 60 per cento del PIL e in mancanza</w:t>
      </w:r>
      <w:r>
        <w:rPr>
          <w:spacing w:val="-10"/>
        </w:rPr>
        <w:t> </w:t>
      </w:r>
      <w:r>
        <w:rPr/>
        <w:t>di</w:t>
      </w:r>
      <w:r>
        <w:rPr>
          <w:spacing w:val="-10"/>
        </w:rPr>
        <w:t> </w:t>
      </w:r>
      <w:r>
        <w:rPr/>
        <w:t>una</w:t>
      </w:r>
      <w:r>
        <w:rPr>
          <w:spacing w:val="-10"/>
        </w:rPr>
        <w:t> </w:t>
      </w:r>
      <w:r>
        <w:rPr/>
        <w:t>sua</w:t>
      </w:r>
      <w:r>
        <w:rPr>
          <w:spacing w:val="-9"/>
        </w:rPr>
        <w:t> </w:t>
      </w:r>
      <w:r>
        <w:rPr/>
        <w:t>diminuzione</w:t>
      </w:r>
      <w:r>
        <w:rPr>
          <w:spacing w:val="-10"/>
        </w:rPr>
        <w:t> </w:t>
      </w:r>
      <w:r>
        <w:rPr/>
        <w:t>ad</w:t>
      </w:r>
      <w:r>
        <w:rPr>
          <w:spacing w:val="-10"/>
        </w:rPr>
        <w:t> </w:t>
      </w:r>
      <w:r>
        <w:rPr/>
        <w:t>un</w:t>
      </w:r>
      <w:r>
        <w:rPr>
          <w:spacing w:val="-10"/>
        </w:rPr>
        <w:t> </w:t>
      </w:r>
      <w:r>
        <w:rPr/>
        <w:t>ritmo</w:t>
      </w:r>
      <w:r>
        <w:rPr>
          <w:spacing w:val="-10"/>
        </w:rPr>
        <w:t> </w:t>
      </w:r>
      <w:r>
        <w:rPr/>
        <w:t>soddisfacente,</w:t>
      </w:r>
      <w:r>
        <w:rPr>
          <w:spacing w:val="-10"/>
        </w:rPr>
        <w:t> </w:t>
      </w:r>
      <w:r>
        <w:rPr/>
        <w:t>la</w:t>
      </w:r>
      <w:r>
        <w:rPr>
          <w:spacing w:val="-10"/>
        </w:rPr>
        <w:t> </w:t>
      </w:r>
      <w:r>
        <w:rPr/>
        <w:t>Commissione</w:t>
      </w:r>
      <w:r>
        <w:rPr>
          <w:spacing w:val="-10"/>
        </w:rPr>
        <w:t> </w:t>
      </w:r>
      <w:r>
        <w:rPr/>
        <w:t>valuta se non vi siano fattori rilevanti</w:t>
      </w:r>
      <w:r>
        <w:rPr>
          <w:rFonts w:ascii="Franklin Gothic Book" w:hAnsi="Franklin Gothic Book"/>
          <w:position w:val="5"/>
          <w:sz w:val="13"/>
        </w:rPr>
        <w:t>48 </w:t>
      </w:r>
      <w:r>
        <w:rPr/>
        <w:t>a giustificare la momentanea deviazione dal percorso di riduzione, a norma dell'art. 126, par. 3 del Trattato sul Funzionamento dell’Unione Europea</w:t>
      </w:r>
      <w:r>
        <w:rPr>
          <w:spacing w:val="-3"/>
        </w:rPr>
        <w:t> </w:t>
      </w:r>
      <w:r>
        <w:rPr/>
        <w:t>(TFUE).</w:t>
      </w:r>
    </w:p>
    <w:p>
      <w:pPr>
        <w:pStyle w:val="BodyText"/>
        <w:spacing w:line="252" w:lineRule="auto"/>
        <w:ind w:left="1128" w:right="1413" w:firstLine="453"/>
        <w:jc w:val="both"/>
      </w:pPr>
      <w:r>
        <w:rPr/>
        <w:t>Da quando l’Italia è soggetta all’applicazione integrale della regola numerica di riduzione del debito pubblico, la dinamica del debito italiano è stato analizzato in dettaglio dalla Commissione Europea prestando attenzione alle ragioni dei governi italiani che ne hanno giustificato di volta in volta l’evoluzione. La Commissione tiene in gran conto il rispetto del braccio preventivo del Patto di Stabilità e Crescita e l’adozione di riforme strutturali importanti. Nell’esperienza italiana questi sono sempre stati fattori determinanti per scongiurare l’apertura di una procedura di infrazione per debito eccessivo</w:t>
      </w:r>
      <w:r>
        <w:rPr>
          <w:vertAlign w:val="superscript"/>
        </w:rPr>
        <w:t>49</w:t>
      </w:r>
      <w:r>
        <w:rPr>
          <w:vertAlign w:val="baseline"/>
        </w:rPr>
        <w:t>.</w:t>
      </w:r>
    </w:p>
    <w:p>
      <w:pPr>
        <w:pStyle w:val="BodyText"/>
        <w:spacing w:line="252" w:lineRule="auto" w:before="1"/>
        <w:ind w:left="1128" w:right="1410" w:firstLine="453"/>
        <w:jc w:val="both"/>
      </w:pPr>
      <w:r>
        <w:rPr/>
        <w:t>Allo stesso modo nel 2019 vi è stato un intenso dialogo con la Commissione Europea</w:t>
      </w:r>
      <w:r>
        <w:rPr>
          <w:spacing w:val="-10"/>
        </w:rPr>
        <w:t> </w:t>
      </w:r>
      <w:r>
        <w:rPr/>
        <w:t>a</w:t>
      </w:r>
      <w:r>
        <w:rPr>
          <w:spacing w:val="-9"/>
        </w:rPr>
        <w:t> </w:t>
      </w:r>
      <w:r>
        <w:rPr/>
        <w:t>causa</w:t>
      </w:r>
      <w:r>
        <w:rPr>
          <w:spacing w:val="-9"/>
        </w:rPr>
        <w:t> </w:t>
      </w:r>
      <w:r>
        <w:rPr/>
        <w:t>del</w:t>
      </w:r>
      <w:r>
        <w:rPr>
          <w:spacing w:val="-9"/>
        </w:rPr>
        <w:t> </w:t>
      </w:r>
      <w:r>
        <w:rPr/>
        <w:t>mancato</w:t>
      </w:r>
      <w:r>
        <w:rPr>
          <w:spacing w:val="-10"/>
        </w:rPr>
        <w:t> </w:t>
      </w:r>
      <w:r>
        <w:rPr/>
        <w:t>rispetto</w:t>
      </w:r>
      <w:r>
        <w:rPr>
          <w:spacing w:val="-11"/>
        </w:rPr>
        <w:t> </w:t>
      </w:r>
      <w:r>
        <w:rPr>
          <w:i/>
        </w:rPr>
        <w:t>prima</w:t>
      </w:r>
      <w:r>
        <w:rPr>
          <w:i/>
          <w:spacing w:val="-9"/>
        </w:rPr>
        <w:t> </w:t>
      </w:r>
      <w:r>
        <w:rPr>
          <w:i/>
        </w:rPr>
        <w:t>facie</w:t>
      </w:r>
      <w:r>
        <w:rPr>
          <w:i/>
          <w:spacing w:val="-7"/>
        </w:rPr>
        <w:t> </w:t>
      </w:r>
      <w:r>
        <w:rPr/>
        <w:t>della</w:t>
      </w:r>
      <w:r>
        <w:rPr>
          <w:spacing w:val="-9"/>
        </w:rPr>
        <w:t> </w:t>
      </w:r>
      <w:r>
        <w:rPr/>
        <w:t>regola</w:t>
      </w:r>
      <w:r>
        <w:rPr>
          <w:spacing w:val="-10"/>
        </w:rPr>
        <w:t> </w:t>
      </w:r>
      <w:r>
        <w:rPr/>
        <w:t>del</w:t>
      </w:r>
      <w:r>
        <w:rPr>
          <w:spacing w:val="-10"/>
        </w:rPr>
        <w:t> </w:t>
      </w:r>
      <w:r>
        <w:rPr/>
        <w:t>debito</w:t>
      </w:r>
      <w:r>
        <w:rPr>
          <w:spacing w:val="-12"/>
        </w:rPr>
        <w:t> </w:t>
      </w:r>
      <w:r>
        <w:rPr/>
        <w:t>per</w:t>
      </w:r>
      <w:r>
        <w:rPr>
          <w:spacing w:val="-8"/>
        </w:rPr>
        <w:t> </w:t>
      </w:r>
      <w:r>
        <w:rPr/>
        <w:t>l’anno 2018. Di seguito alcuni dei passaggi cruciali del dialogo intercorso tra il Governo Italiano e la Commissione in merito a tale procedura. Il 5 giugno la Commissione Europea ha pubblicato i documenti del cosiddetto Pacchetto di primavera previsto dal</w:t>
      </w:r>
      <w:r>
        <w:rPr>
          <w:spacing w:val="-8"/>
        </w:rPr>
        <w:t> </w:t>
      </w:r>
      <w:r>
        <w:rPr/>
        <w:t>ciclo</w:t>
      </w:r>
      <w:r>
        <w:rPr>
          <w:spacing w:val="-8"/>
        </w:rPr>
        <w:t> </w:t>
      </w:r>
      <w:r>
        <w:rPr/>
        <w:t>di</w:t>
      </w:r>
      <w:r>
        <w:rPr>
          <w:spacing w:val="-8"/>
        </w:rPr>
        <w:t> </w:t>
      </w:r>
      <w:r>
        <w:rPr/>
        <w:t>programmazione</w:t>
      </w:r>
      <w:r>
        <w:rPr>
          <w:spacing w:val="-7"/>
        </w:rPr>
        <w:t> </w:t>
      </w:r>
      <w:r>
        <w:rPr/>
        <w:t>comunitario,</w:t>
      </w:r>
      <w:r>
        <w:rPr>
          <w:spacing w:val="-7"/>
        </w:rPr>
        <w:t> </w:t>
      </w:r>
      <w:r>
        <w:rPr/>
        <w:t>che</w:t>
      </w:r>
      <w:r>
        <w:rPr>
          <w:spacing w:val="-8"/>
        </w:rPr>
        <w:t> </w:t>
      </w:r>
      <w:r>
        <w:rPr/>
        <w:t>includeva</w:t>
      </w:r>
      <w:r>
        <w:rPr>
          <w:spacing w:val="-7"/>
        </w:rPr>
        <w:t> </w:t>
      </w:r>
      <w:r>
        <w:rPr/>
        <w:t>il</w:t>
      </w:r>
      <w:r>
        <w:rPr>
          <w:spacing w:val="-8"/>
        </w:rPr>
        <w:t> </w:t>
      </w:r>
      <w:r>
        <w:rPr/>
        <w:t>Rapporto</w:t>
      </w:r>
      <w:r>
        <w:rPr>
          <w:spacing w:val="-9"/>
        </w:rPr>
        <w:t> </w:t>
      </w:r>
      <w:r>
        <w:rPr/>
        <w:t>sull’osservanza delle regole di bilancio alla luce dell’Art. 126 c.3 del TFUE. Nella Relazione la Commissione rilevava il mancato rispetto del parametro di riduzione del debito nel 2018 che passava da 131,4 del 2017 a 132,2 per cento del PIL, nonché negli anni di previsione 2019 e 2020. Determinanti risultavano gli scostamenti dal percorso di avvicinamento all’OMT ritenuti significativi sia nella valutazione </w:t>
      </w:r>
      <w:r>
        <w:rPr>
          <w:i/>
        </w:rPr>
        <w:t>ex post </w:t>
      </w:r>
      <w:r>
        <w:rPr/>
        <w:t>del 2018 sia in quella </w:t>
      </w:r>
      <w:r>
        <w:rPr>
          <w:i/>
        </w:rPr>
        <w:t>ex ante </w:t>
      </w:r>
      <w:r>
        <w:rPr/>
        <w:t>del 2019. In particolare, una variazione del saldo strutturale stimata dalla Commissione per il 2018 evidenziava un peggioramento di 0,1 per cento del PIL, con uno scostamento di 0,4 punti percentuali rispetto al percorso raccomandato verso l’OMT, mentre per il 2019 il peggioramento del disavanzo strutturale</w:t>
      </w:r>
      <w:r>
        <w:rPr>
          <w:spacing w:val="21"/>
        </w:rPr>
        <w:t> </w:t>
      </w:r>
      <w:r>
        <w:rPr/>
        <w:t>era</w:t>
      </w:r>
      <w:r>
        <w:rPr>
          <w:spacing w:val="22"/>
        </w:rPr>
        <w:t> </w:t>
      </w:r>
      <w:r>
        <w:rPr/>
        <w:t>stimato</w:t>
      </w:r>
      <w:r>
        <w:rPr>
          <w:spacing w:val="23"/>
        </w:rPr>
        <w:t> </w:t>
      </w:r>
      <w:r>
        <w:rPr/>
        <w:t>di</w:t>
      </w:r>
      <w:r>
        <w:rPr>
          <w:spacing w:val="21"/>
        </w:rPr>
        <w:t> </w:t>
      </w:r>
      <w:r>
        <w:rPr/>
        <w:t>0,2</w:t>
      </w:r>
      <w:r>
        <w:rPr>
          <w:spacing w:val="22"/>
        </w:rPr>
        <w:t> </w:t>
      </w:r>
      <w:r>
        <w:rPr/>
        <w:t>per</w:t>
      </w:r>
      <w:r>
        <w:rPr>
          <w:spacing w:val="20"/>
        </w:rPr>
        <w:t> </w:t>
      </w:r>
      <w:r>
        <w:rPr/>
        <w:t>cento</w:t>
      </w:r>
      <w:r>
        <w:rPr>
          <w:spacing w:val="20"/>
        </w:rPr>
        <w:t> </w:t>
      </w:r>
      <w:r>
        <w:rPr/>
        <w:t>del</w:t>
      </w:r>
      <w:r>
        <w:rPr>
          <w:spacing w:val="22"/>
        </w:rPr>
        <w:t> </w:t>
      </w:r>
      <w:r>
        <w:rPr/>
        <w:t>PIL,</w:t>
      </w:r>
      <w:r>
        <w:rPr>
          <w:spacing w:val="23"/>
        </w:rPr>
        <w:t> </w:t>
      </w:r>
      <w:r>
        <w:rPr/>
        <w:t>con</w:t>
      </w:r>
      <w:r>
        <w:rPr>
          <w:spacing w:val="21"/>
        </w:rPr>
        <w:t> </w:t>
      </w:r>
      <w:r>
        <w:rPr/>
        <w:t>una</w:t>
      </w:r>
      <w:r>
        <w:rPr>
          <w:spacing w:val="21"/>
        </w:rPr>
        <w:t> </w:t>
      </w:r>
      <w:r>
        <w:rPr/>
        <w:t>deviazione</w:t>
      </w:r>
      <w:r>
        <w:rPr>
          <w:spacing w:val="21"/>
        </w:rPr>
        <w:t> </w:t>
      </w:r>
      <w:r>
        <w:rPr/>
        <w:t>di</w:t>
      </w:r>
      <w:r>
        <w:rPr>
          <w:spacing w:val="20"/>
        </w:rPr>
        <w:t> </w:t>
      </w:r>
      <w:r>
        <w:rPr/>
        <w:t>0,3</w:t>
      </w:r>
      <w:r>
        <w:rPr>
          <w:spacing w:val="22"/>
        </w:rPr>
        <w:t> </w:t>
      </w:r>
      <w:r>
        <w:rPr/>
        <w:t>punti</w:t>
      </w:r>
    </w:p>
    <w:p>
      <w:pPr>
        <w:pStyle w:val="BodyText"/>
        <w:rPr>
          <w:sz w:val="20"/>
        </w:rPr>
      </w:pPr>
    </w:p>
    <w:p>
      <w:pPr>
        <w:pStyle w:val="BodyText"/>
        <w:spacing w:before="6"/>
        <w:rPr>
          <w:sz w:val="12"/>
        </w:rPr>
      </w:pPr>
      <w:r>
        <w:rPr/>
        <w:pict>
          <v:group style="position:absolute;margin-left:136.100006pt;margin-top:9.233545pt;width:21.4pt;height:2.1pt;mso-position-horizontal-relative:page;mso-position-vertical-relative:paragraph;z-index:-251471872;mso-wrap-distance-left:0;mso-wrap-distance-right:0" coordorigin="2722,185" coordsize="428,42">
            <v:line style="position:absolute" from="2722,205" to="3149,205" stroked="true" strokeweight="2pt" strokecolor="#aaaaaa">
              <v:stroke dashstyle="solid"/>
            </v:line>
            <v:rect style="position:absolute;left:2722;top:185;width:5;height:5" filled="true" fillcolor="#9f9f9f" stroked="false">
              <v:fill type="solid"/>
            </v:rect>
            <v:rect style="position:absolute;left:2722;top:185;width:5;height:5" filled="true" fillcolor="#9f9f9f" stroked="false">
              <v:fill type="solid"/>
            </v:rect>
            <v:line style="position:absolute" from="2727,188" to="3144,188" stroked="true" strokeweight=".24005pt" strokecolor="#9f9f9f">
              <v:stroke dashstyle="solid"/>
            </v:line>
            <v:rect style="position:absolute;left:3144;top:185;width:5;height:5" filled="true" fillcolor="#e2e2e2" stroked="false">
              <v:fill type="solid"/>
            </v:rect>
            <v:rect style="position:absolute;left:3144;top:185;width:5;height:5" filled="true" fillcolor="#9f9f9f" stroked="false">
              <v:fill type="solid"/>
            </v:rect>
            <v:rect style="position:absolute;left:2722;top:190;width:5;height:32" filled="true" fillcolor="#9f9f9f" stroked="false">
              <v:fill type="solid"/>
            </v:rect>
            <v:rect style="position:absolute;left:3144;top:190;width:5;height:32" filled="true" fillcolor="#e2e2e2" stroked="false">
              <v:fill type="solid"/>
            </v:rect>
            <v:rect style="position:absolute;left:2722;top:221;width:5;height:5" filled="true" fillcolor="#9f9f9f" stroked="false">
              <v:fill type="solid"/>
            </v:rect>
            <v:rect style="position:absolute;left:2722;top:221;width:5;height:5" filled="true" fillcolor="#e2e2e2" stroked="false">
              <v:fill type="solid"/>
            </v:rect>
            <v:line style="position:absolute" from="2727,224" to="3144,224" stroked="true" strokeweight=".23999pt" strokecolor="#e2e2e2">
              <v:stroke dashstyle="solid"/>
            </v:line>
            <v:rect style="position:absolute;left:3144;top:221;width:5;height:5" filled="true" fillcolor="#e2e2e2" stroked="false">
              <v:fill type="solid"/>
            </v:rect>
            <v:rect style="position:absolute;left:3144;top:221;width:5;height:5" filled="true" fillcolor="#e2e2e2" stroked="false">
              <v:fill type="solid"/>
            </v:rect>
            <w10:wrap type="topAndBottom"/>
          </v:group>
        </w:pict>
      </w:r>
    </w:p>
    <w:p>
      <w:pPr>
        <w:spacing w:line="240" w:lineRule="auto" w:before="20"/>
        <w:ind w:left="1128" w:right="1417" w:firstLine="453"/>
        <w:jc w:val="both"/>
        <w:rPr>
          <w:sz w:val="16"/>
        </w:rPr>
      </w:pPr>
      <w:r>
        <w:rPr>
          <w:position w:val="6"/>
          <w:sz w:val="10"/>
        </w:rPr>
        <w:t>47 </w:t>
      </w:r>
      <w:r>
        <w:rPr>
          <w:sz w:val="16"/>
        </w:rPr>
        <w:t>La regola del debito prevede che la parte di debito in eccesso rispetto al valore di riferimento del 60 per cento del PIL sia ridotta su base annua di 1/20 della media dei tre anni antecedenti a quello in corso (criterio retrospettivo) o nei due anni successivi a quello di riferimento (criterio prospettico), e che la violazione del parametro di riferimento non sia dovuta alle condizioni avverse del ciclo economico. Per maggiori dettagli si rimanda al Focus " La regola del debito e il rapporto sui fattori rilevanti" presente nel DEF 2019.</w:t>
      </w:r>
    </w:p>
    <w:p>
      <w:pPr>
        <w:spacing w:line="240" w:lineRule="auto" w:before="0"/>
        <w:ind w:left="1128" w:right="1412" w:firstLine="453"/>
        <w:jc w:val="both"/>
        <w:rPr>
          <w:sz w:val="16"/>
        </w:rPr>
      </w:pPr>
      <w:r>
        <w:rPr>
          <w:position w:val="6"/>
          <w:sz w:val="10"/>
        </w:rPr>
        <w:t>48 </w:t>
      </w:r>
      <w:r>
        <w:rPr>
          <w:sz w:val="16"/>
        </w:rPr>
        <w:t>La normativa europea stabilisce, che la Commissione possa desistere dall’aprire una procedura per disavanzi eccessivi tenendo conto dell’esistenza di fattori rilevanti quali: le condizioni economiche di medio- termine, l’aderenza alle regole dettate dal patto di stabilità e crescita, la dinamica e la sostenibilità del debito pubblico nel medio periodo. Inoltre, ciascuno Stato membro può proporre al Consiglio e alla Commissione degli specifici fattori rilevanti a giustificazione della deviazione dal rispetto delle regole.</w:t>
      </w:r>
    </w:p>
    <w:p>
      <w:pPr>
        <w:spacing w:line="242" w:lineRule="auto" w:before="0"/>
        <w:ind w:left="1128" w:right="1419" w:firstLine="453"/>
        <w:jc w:val="both"/>
        <w:rPr>
          <w:sz w:val="16"/>
        </w:rPr>
      </w:pPr>
      <w:r>
        <w:rPr>
          <w:position w:val="6"/>
          <w:sz w:val="10"/>
        </w:rPr>
        <w:t>49 </w:t>
      </w:r>
      <w:r>
        <w:rPr>
          <w:sz w:val="16"/>
        </w:rPr>
        <w:t>Per una sintesi si veda il Focus “Il dialogo con la Commissione Europea sul Documento Programmatico di Bilancio 2019” nel DEF 2019.</w:t>
      </w:r>
    </w:p>
    <w:p>
      <w:pPr>
        <w:spacing w:after="0" w:line="242" w:lineRule="auto"/>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278" w:right="2261"/>
        <w:jc w:val="both"/>
      </w:pPr>
      <w:r>
        <w:rPr/>
        <w:t>percentuali. Per il 2020 la Commissione stimava un deficit nominale superiore al 3 per cento del PIL, dovuto alla disattivazione delle clausole di salvaguardia sull’IVA come annunciato dal Governo e Parlamento.</w:t>
      </w:r>
    </w:p>
    <w:p>
      <w:pPr>
        <w:pStyle w:val="BodyText"/>
        <w:spacing w:line="252" w:lineRule="auto"/>
        <w:ind w:left="278" w:right="2261" w:firstLine="453"/>
        <w:jc w:val="both"/>
      </w:pPr>
      <w:r>
        <w:rPr/>
        <w:t>Nella Relazione venivano inoltre osservati limitati progressi nell’attuazione delle raccomandazioni specifiche per l’Italia formulate dalla Commissione nel 2018</w:t>
      </w:r>
      <w:r>
        <w:rPr>
          <w:vertAlign w:val="superscript"/>
        </w:rPr>
        <w:t>50</w:t>
      </w:r>
      <w:r>
        <w:rPr>
          <w:vertAlign w:val="baseline"/>
        </w:rPr>
        <w:t>, nonché la revoca parziale di alcune riforme precedentemente adottate. La Commissione concludeva quindi che fosse giustificata l’apertura di una procedura per deficit eccessivo motivata dal mancato rispetto della regola di riduzione del debito per l’anno 2018. La Relazione è stata approvata dal Comitato di Economia e Finanza del Consiglio Europeo l’11 giugno come previsto dal Trattato. In tale sede, il Consiglio invitava l’Italia ad attuare tutte le misure necessarie a garantire il rispetto del Patto di Stabilità e Crescita, esortandola a contribuire con nuovi elementi utili all’avanzamento della procedura.</w:t>
      </w:r>
    </w:p>
    <w:p>
      <w:pPr>
        <w:pStyle w:val="BodyText"/>
        <w:spacing w:line="252" w:lineRule="auto" w:before="1"/>
        <w:ind w:left="278" w:right="2261" w:firstLine="453"/>
        <w:jc w:val="both"/>
      </w:pPr>
      <w:r>
        <w:rPr/>
        <w:t>Il 1 luglio 2019 il Governo Italiano ha approvato un pacchetto di misure composto</w:t>
      </w:r>
      <w:r>
        <w:rPr>
          <w:spacing w:val="-13"/>
        </w:rPr>
        <w:t> </w:t>
      </w:r>
      <w:r>
        <w:rPr/>
        <w:t>dal</w:t>
      </w:r>
      <w:r>
        <w:rPr>
          <w:spacing w:val="-12"/>
        </w:rPr>
        <w:t> </w:t>
      </w:r>
      <w:r>
        <w:rPr/>
        <w:t>D.L.</w:t>
      </w:r>
      <w:r>
        <w:rPr>
          <w:spacing w:val="-11"/>
        </w:rPr>
        <w:t> </w:t>
      </w:r>
      <w:r>
        <w:rPr/>
        <w:t>61/2019</w:t>
      </w:r>
      <w:r>
        <w:rPr>
          <w:spacing w:val="-12"/>
        </w:rPr>
        <w:t> </w:t>
      </w:r>
      <w:r>
        <w:rPr/>
        <w:t>e</w:t>
      </w:r>
      <w:r>
        <w:rPr>
          <w:spacing w:val="-11"/>
        </w:rPr>
        <w:t> </w:t>
      </w:r>
      <w:r>
        <w:rPr/>
        <w:t>dal</w:t>
      </w:r>
      <w:r>
        <w:rPr>
          <w:spacing w:val="-12"/>
        </w:rPr>
        <w:t> </w:t>
      </w:r>
      <w:r>
        <w:rPr/>
        <w:t>disegno</w:t>
      </w:r>
      <w:r>
        <w:rPr>
          <w:spacing w:val="-12"/>
        </w:rPr>
        <w:t> </w:t>
      </w:r>
      <w:r>
        <w:rPr/>
        <w:t>di</w:t>
      </w:r>
      <w:r>
        <w:rPr>
          <w:spacing w:val="-12"/>
        </w:rPr>
        <w:t> </w:t>
      </w:r>
      <w:r>
        <w:rPr/>
        <w:t>legge</w:t>
      </w:r>
      <w:r>
        <w:rPr>
          <w:spacing w:val="-15"/>
        </w:rPr>
        <w:t> </w:t>
      </w:r>
      <w:r>
        <w:rPr/>
        <w:t>di</w:t>
      </w:r>
      <w:r>
        <w:rPr>
          <w:spacing w:val="-12"/>
        </w:rPr>
        <w:t> </w:t>
      </w:r>
      <w:r>
        <w:rPr/>
        <w:t>assestamento</w:t>
      </w:r>
      <w:r>
        <w:rPr>
          <w:spacing w:val="-12"/>
        </w:rPr>
        <w:t> </w:t>
      </w:r>
      <w:r>
        <w:rPr/>
        <w:t>del</w:t>
      </w:r>
      <w:r>
        <w:rPr>
          <w:spacing w:val="-12"/>
        </w:rPr>
        <w:t> </w:t>
      </w:r>
      <w:r>
        <w:rPr/>
        <w:t>bilancio</w:t>
      </w:r>
      <w:r>
        <w:rPr>
          <w:spacing w:val="-12"/>
        </w:rPr>
        <w:t> </w:t>
      </w:r>
      <w:r>
        <w:rPr/>
        <w:t>2019. Come ricordato nel paragrafo III.1, tale pacchetto comportava un miglioramento dell’indebitamento netto di 7,6 miliardi. Allo stesso tempo, il disegno di legge di assestamento</w:t>
      </w:r>
      <w:r>
        <w:rPr>
          <w:spacing w:val="-14"/>
        </w:rPr>
        <w:t> </w:t>
      </w:r>
      <w:r>
        <w:rPr/>
        <w:t>di</w:t>
      </w:r>
      <w:r>
        <w:rPr>
          <w:spacing w:val="-13"/>
        </w:rPr>
        <w:t> </w:t>
      </w:r>
      <w:r>
        <w:rPr/>
        <w:t>bilancio</w:t>
      </w:r>
      <w:r>
        <w:rPr>
          <w:spacing w:val="-13"/>
        </w:rPr>
        <w:t> </w:t>
      </w:r>
      <w:r>
        <w:rPr/>
        <w:t>ha</w:t>
      </w:r>
      <w:r>
        <w:rPr>
          <w:spacing w:val="-14"/>
        </w:rPr>
        <w:t> </w:t>
      </w:r>
      <w:r>
        <w:rPr/>
        <w:t>aggiornato</w:t>
      </w:r>
      <w:r>
        <w:rPr>
          <w:spacing w:val="-13"/>
        </w:rPr>
        <w:t> </w:t>
      </w:r>
      <w:r>
        <w:rPr/>
        <w:t>le</w:t>
      </w:r>
      <w:r>
        <w:rPr>
          <w:spacing w:val="-12"/>
        </w:rPr>
        <w:t> </w:t>
      </w:r>
      <w:r>
        <w:rPr/>
        <w:t>stime</w:t>
      </w:r>
      <w:r>
        <w:rPr>
          <w:spacing w:val="-13"/>
        </w:rPr>
        <w:t> </w:t>
      </w:r>
      <w:r>
        <w:rPr/>
        <w:t>di</w:t>
      </w:r>
      <w:r>
        <w:rPr>
          <w:spacing w:val="-14"/>
        </w:rPr>
        <w:t> </w:t>
      </w:r>
      <w:r>
        <w:rPr/>
        <w:t>finanza</w:t>
      </w:r>
      <w:r>
        <w:rPr>
          <w:spacing w:val="-13"/>
        </w:rPr>
        <w:t> </w:t>
      </w:r>
      <w:r>
        <w:rPr/>
        <w:t>pubblica,</w:t>
      </w:r>
      <w:r>
        <w:rPr>
          <w:spacing w:val="-12"/>
        </w:rPr>
        <w:t> </w:t>
      </w:r>
      <w:r>
        <w:rPr/>
        <w:t>dando</w:t>
      </w:r>
      <w:r>
        <w:rPr>
          <w:spacing w:val="-13"/>
        </w:rPr>
        <w:t> </w:t>
      </w:r>
      <w:r>
        <w:rPr/>
        <w:t>evidenza di</w:t>
      </w:r>
      <w:r>
        <w:rPr>
          <w:spacing w:val="-16"/>
        </w:rPr>
        <w:t> </w:t>
      </w:r>
      <w:r>
        <w:rPr/>
        <w:t>un</w:t>
      </w:r>
      <w:r>
        <w:rPr>
          <w:spacing w:val="-15"/>
        </w:rPr>
        <w:t> </w:t>
      </w:r>
      <w:r>
        <w:rPr/>
        <w:t>miglioramento</w:t>
      </w:r>
      <w:r>
        <w:rPr>
          <w:spacing w:val="-14"/>
        </w:rPr>
        <w:t> </w:t>
      </w:r>
      <w:r>
        <w:rPr/>
        <w:t>dei</w:t>
      </w:r>
      <w:r>
        <w:rPr>
          <w:spacing w:val="-12"/>
        </w:rPr>
        <w:t> </w:t>
      </w:r>
      <w:r>
        <w:rPr/>
        <w:t>saldi</w:t>
      </w:r>
      <w:r>
        <w:rPr>
          <w:spacing w:val="-14"/>
        </w:rPr>
        <w:t> </w:t>
      </w:r>
      <w:r>
        <w:rPr/>
        <w:t>rispetto</w:t>
      </w:r>
      <w:r>
        <w:rPr>
          <w:spacing w:val="-14"/>
        </w:rPr>
        <w:t> </w:t>
      </w:r>
      <w:r>
        <w:rPr/>
        <w:t>alle</w:t>
      </w:r>
      <w:r>
        <w:rPr>
          <w:spacing w:val="-14"/>
        </w:rPr>
        <w:t> </w:t>
      </w:r>
      <w:r>
        <w:rPr/>
        <w:t>previsioni</w:t>
      </w:r>
      <w:r>
        <w:rPr>
          <w:spacing w:val="-15"/>
        </w:rPr>
        <w:t> </w:t>
      </w:r>
      <w:r>
        <w:rPr/>
        <w:t>contenute</w:t>
      </w:r>
      <w:r>
        <w:rPr>
          <w:spacing w:val="-14"/>
        </w:rPr>
        <w:t> </w:t>
      </w:r>
      <w:r>
        <w:rPr/>
        <w:t>nel</w:t>
      </w:r>
      <w:r>
        <w:rPr>
          <w:spacing w:val="-14"/>
        </w:rPr>
        <w:t> </w:t>
      </w:r>
      <w:r>
        <w:rPr/>
        <w:t>DEF</w:t>
      </w:r>
      <w:r>
        <w:rPr>
          <w:spacing w:val="-14"/>
        </w:rPr>
        <w:t> </w:t>
      </w:r>
      <w:r>
        <w:rPr/>
        <w:t>2019.</w:t>
      </w:r>
      <w:r>
        <w:rPr>
          <w:spacing w:val="-13"/>
        </w:rPr>
        <w:t> </w:t>
      </w:r>
      <w:r>
        <w:rPr/>
        <w:t>Grazie al pacchetto di luglio, il deficit nominale per il 2019 stimato dalla Commissione Europea</w:t>
      </w:r>
      <w:r>
        <w:rPr>
          <w:spacing w:val="-7"/>
        </w:rPr>
        <w:t> </w:t>
      </w:r>
      <w:r>
        <w:rPr/>
        <w:t>si</w:t>
      </w:r>
      <w:r>
        <w:rPr>
          <w:spacing w:val="-7"/>
        </w:rPr>
        <w:t> </w:t>
      </w:r>
      <w:r>
        <w:rPr/>
        <w:t>attestava</w:t>
      </w:r>
      <w:r>
        <w:rPr>
          <w:spacing w:val="-7"/>
        </w:rPr>
        <w:t> </w:t>
      </w:r>
      <w:r>
        <w:rPr/>
        <w:t>a</w:t>
      </w:r>
      <w:r>
        <w:rPr>
          <w:spacing w:val="-7"/>
        </w:rPr>
        <w:t> </w:t>
      </w:r>
      <w:r>
        <w:rPr/>
        <w:t>2,04</w:t>
      </w:r>
      <w:r>
        <w:rPr>
          <w:spacing w:val="-7"/>
        </w:rPr>
        <w:t> </w:t>
      </w:r>
      <w:r>
        <w:rPr/>
        <w:t>per</w:t>
      </w:r>
      <w:r>
        <w:rPr>
          <w:spacing w:val="-6"/>
        </w:rPr>
        <w:t> </w:t>
      </w:r>
      <w:r>
        <w:rPr/>
        <w:t>cento</w:t>
      </w:r>
      <w:r>
        <w:rPr>
          <w:spacing w:val="-6"/>
        </w:rPr>
        <w:t> </w:t>
      </w:r>
      <w:r>
        <w:rPr/>
        <w:t>del</w:t>
      </w:r>
      <w:r>
        <w:rPr>
          <w:spacing w:val="-7"/>
        </w:rPr>
        <w:t> </w:t>
      </w:r>
      <w:r>
        <w:rPr/>
        <w:t>PIL,</w:t>
      </w:r>
      <w:r>
        <w:rPr>
          <w:spacing w:val="-8"/>
        </w:rPr>
        <w:t> </w:t>
      </w:r>
      <w:r>
        <w:rPr/>
        <w:t>rispettando</w:t>
      </w:r>
      <w:r>
        <w:rPr>
          <w:spacing w:val="-7"/>
        </w:rPr>
        <w:t> </w:t>
      </w:r>
      <w:r>
        <w:rPr/>
        <w:t>così</w:t>
      </w:r>
      <w:r>
        <w:rPr>
          <w:spacing w:val="-7"/>
        </w:rPr>
        <w:t> </w:t>
      </w:r>
      <w:r>
        <w:rPr/>
        <w:t>il</w:t>
      </w:r>
      <w:r>
        <w:rPr>
          <w:spacing w:val="-7"/>
        </w:rPr>
        <w:t> </w:t>
      </w:r>
      <w:r>
        <w:rPr/>
        <w:t>target</w:t>
      </w:r>
      <w:r>
        <w:rPr>
          <w:spacing w:val="-7"/>
        </w:rPr>
        <w:t> </w:t>
      </w:r>
      <w:r>
        <w:rPr/>
        <w:t>fissato</w:t>
      </w:r>
      <w:r>
        <w:rPr>
          <w:spacing w:val="-7"/>
        </w:rPr>
        <w:t> </w:t>
      </w:r>
      <w:r>
        <w:rPr/>
        <w:t>dalla Legge di Stabilità 2019 pur in una condizione macroeconomica peggiore rispetto a quella</w:t>
      </w:r>
      <w:r>
        <w:rPr>
          <w:spacing w:val="-11"/>
        </w:rPr>
        <w:t> </w:t>
      </w:r>
      <w:r>
        <w:rPr/>
        <w:t>prevista</w:t>
      </w:r>
      <w:r>
        <w:rPr>
          <w:spacing w:val="-10"/>
        </w:rPr>
        <w:t> </w:t>
      </w:r>
      <w:r>
        <w:rPr/>
        <w:t>a</w:t>
      </w:r>
      <w:r>
        <w:rPr>
          <w:spacing w:val="-10"/>
        </w:rPr>
        <w:t> </w:t>
      </w:r>
      <w:r>
        <w:rPr/>
        <w:t>dicembre</w:t>
      </w:r>
      <w:r>
        <w:rPr>
          <w:spacing w:val="-9"/>
        </w:rPr>
        <w:t> </w:t>
      </w:r>
      <w:r>
        <w:rPr/>
        <w:t>2018.</w:t>
      </w:r>
      <w:r>
        <w:rPr>
          <w:spacing w:val="-12"/>
        </w:rPr>
        <w:t> </w:t>
      </w:r>
      <w:r>
        <w:rPr/>
        <w:t>Nella</w:t>
      </w:r>
      <w:r>
        <w:rPr>
          <w:spacing w:val="-11"/>
        </w:rPr>
        <w:t> </w:t>
      </w:r>
      <w:r>
        <w:rPr/>
        <w:t>sua</w:t>
      </w:r>
      <w:r>
        <w:rPr>
          <w:spacing w:val="-13"/>
        </w:rPr>
        <w:t> </w:t>
      </w:r>
      <w:r>
        <w:rPr/>
        <w:t>comunicazione</w:t>
      </w:r>
      <w:r>
        <w:rPr>
          <w:spacing w:val="-11"/>
        </w:rPr>
        <w:t> </w:t>
      </w:r>
      <w:r>
        <w:rPr/>
        <w:t>il</w:t>
      </w:r>
      <w:r>
        <w:rPr>
          <w:spacing w:val="-11"/>
        </w:rPr>
        <w:t> </w:t>
      </w:r>
      <w:r>
        <w:rPr/>
        <w:t>3</w:t>
      </w:r>
      <w:r>
        <w:rPr>
          <w:spacing w:val="-13"/>
        </w:rPr>
        <w:t> </w:t>
      </w:r>
      <w:r>
        <w:rPr/>
        <w:t>luglio</w:t>
      </w:r>
      <w:r>
        <w:rPr>
          <w:spacing w:val="-10"/>
        </w:rPr>
        <w:t> </w:t>
      </w:r>
      <w:r>
        <w:rPr/>
        <w:t>la</w:t>
      </w:r>
      <w:r>
        <w:rPr>
          <w:spacing w:val="-11"/>
        </w:rPr>
        <w:t> </w:t>
      </w:r>
      <w:r>
        <w:rPr/>
        <w:t>Commissione ha</w:t>
      </w:r>
      <w:r>
        <w:rPr>
          <w:spacing w:val="-6"/>
        </w:rPr>
        <w:t> </w:t>
      </w:r>
      <w:r>
        <w:rPr/>
        <w:t>riconosciuto</w:t>
      </w:r>
      <w:r>
        <w:rPr>
          <w:spacing w:val="-6"/>
        </w:rPr>
        <w:t> </w:t>
      </w:r>
      <w:r>
        <w:rPr/>
        <w:t>un</w:t>
      </w:r>
      <w:r>
        <w:rPr>
          <w:spacing w:val="-6"/>
        </w:rPr>
        <w:t> </w:t>
      </w:r>
      <w:r>
        <w:rPr/>
        <w:t>miglioramento</w:t>
      </w:r>
      <w:r>
        <w:rPr>
          <w:spacing w:val="-5"/>
        </w:rPr>
        <w:t> </w:t>
      </w:r>
      <w:r>
        <w:rPr/>
        <w:t>strutturale</w:t>
      </w:r>
      <w:r>
        <w:rPr>
          <w:spacing w:val="-6"/>
        </w:rPr>
        <w:t> </w:t>
      </w:r>
      <w:r>
        <w:rPr/>
        <w:t>di</w:t>
      </w:r>
      <w:r>
        <w:rPr>
          <w:spacing w:val="-4"/>
        </w:rPr>
        <w:t> </w:t>
      </w:r>
      <w:r>
        <w:rPr/>
        <w:t>0,2</w:t>
      </w:r>
      <w:r>
        <w:rPr>
          <w:spacing w:val="-5"/>
        </w:rPr>
        <w:t> </w:t>
      </w:r>
      <w:r>
        <w:rPr/>
        <w:t>punti</w:t>
      </w:r>
      <w:r>
        <w:rPr>
          <w:spacing w:val="-5"/>
        </w:rPr>
        <w:t> </w:t>
      </w:r>
      <w:r>
        <w:rPr/>
        <w:t>percentuali,</w:t>
      </w:r>
      <w:r>
        <w:rPr>
          <w:spacing w:val="-4"/>
        </w:rPr>
        <w:t> </w:t>
      </w:r>
      <w:r>
        <w:rPr/>
        <w:t>giudicando</w:t>
      </w:r>
      <w:r>
        <w:rPr>
          <w:spacing w:val="-7"/>
        </w:rPr>
        <w:t> </w:t>
      </w:r>
      <w:r>
        <w:rPr/>
        <w:t>il percorso</w:t>
      </w:r>
      <w:r>
        <w:rPr>
          <w:spacing w:val="-19"/>
        </w:rPr>
        <w:t> </w:t>
      </w:r>
      <w:r>
        <w:rPr/>
        <w:t>di</w:t>
      </w:r>
      <w:r>
        <w:rPr>
          <w:spacing w:val="-20"/>
        </w:rPr>
        <w:t> </w:t>
      </w:r>
      <w:r>
        <w:rPr/>
        <w:t>avvicinamento</w:t>
      </w:r>
      <w:r>
        <w:rPr>
          <w:spacing w:val="-19"/>
        </w:rPr>
        <w:t> </w:t>
      </w:r>
      <w:r>
        <w:rPr/>
        <w:t>all’OMT</w:t>
      </w:r>
      <w:r>
        <w:rPr>
          <w:spacing w:val="-20"/>
        </w:rPr>
        <w:t> </w:t>
      </w:r>
      <w:r>
        <w:rPr/>
        <w:t>rispettato</w:t>
      </w:r>
      <w:r>
        <w:rPr>
          <w:spacing w:val="-19"/>
        </w:rPr>
        <w:t> </w:t>
      </w:r>
      <w:r>
        <w:rPr/>
        <w:t>in</w:t>
      </w:r>
      <w:r>
        <w:rPr>
          <w:spacing w:val="-20"/>
        </w:rPr>
        <w:t> </w:t>
      </w:r>
      <w:r>
        <w:rPr/>
        <w:t>linea</w:t>
      </w:r>
      <w:r>
        <w:rPr>
          <w:spacing w:val="-19"/>
        </w:rPr>
        <w:t> </w:t>
      </w:r>
      <w:r>
        <w:rPr/>
        <w:t>di</w:t>
      </w:r>
      <w:r>
        <w:rPr>
          <w:spacing w:val="-20"/>
        </w:rPr>
        <w:t> </w:t>
      </w:r>
      <w:r>
        <w:rPr/>
        <w:t>massima</w:t>
      </w:r>
      <w:r>
        <w:rPr>
          <w:spacing w:val="-19"/>
        </w:rPr>
        <w:t> </w:t>
      </w:r>
      <w:r>
        <w:rPr/>
        <w:t>per</w:t>
      </w:r>
      <w:r>
        <w:rPr>
          <w:spacing w:val="-18"/>
        </w:rPr>
        <w:t> </w:t>
      </w:r>
      <w:r>
        <w:rPr/>
        <w:t>il</w:t>
      </w:r>
      <w:r>
        <w:rPr>
          <w:spacing w:val="-19"/>
        </w:rPr>
        <w:t> </w:t>
      </w:r>
      <w:r>
        <w:rPr/>
        <w:t>2019.</w:t>
      </w:r>
      <w:r>
        <w:rPr>
          <w:spacing w:val="-18"/>
        </w:rPr>
        <w:t> </w:t>
      </w:r>
      <w:r>
        <w:rPr/>
        <w:t>Inoltre, l’aggiustamento strutturale era ritenuto tale da compensare il peggioramento riscontrato nel 2018. Alla luce di ciò, la Commissione ha concluso che non avrebbe presentato</w:t>
      </w:r>
      <w:r>
        <w:rPr>
          <w:spacing w:val="-14"/>
        </w:rPr>
        <w:t> </w:t>
      </w:r>
      <w:r>
        <w:rPr/>
        <w:t>al</w:t>
      </w:r>
      <w:r>
        <w:rPr>
          <w:spacing w:val="-13"/>
        </w:rPr>
        <w:t> </w:t>
      </w:r>
      <w:r>
        <w:rPr/>
        <w:t>Consiglio</w:t>
      </w:r>
      <w:r>
        <w:rPr>
          <w:spacing w:val="-14"/>
        </w:rPr>
        <w:t> </w:t>
      </w:r>
      <w:r>
        <w:rPr/>
        <w:t>una</w:t>
      </w:r>
      <w:r>
        <w:rPr>
          <w:spacing w:val="-13"/>
        </w:rPr>
        <w:t> </w:t>
      </w:r>
      <w:r>
        <w:rPr/>
        <w:t>raccomandazione</w:t>
      </w:r>
      <w:r>
        <w:rPr>
          <w:spacing w:val="-14"/>
        </w:rPr>
        <w:t> </w:t>
      </w:r>
      <w:r>
        <w:rPr/>
        <w:t>di</w:t>
      </w:r>
      <w:r>
        <w:rPr>
          <w:spacing w:val="-13"/>
        </w:rPr>
        <w:t> </w:t>
      </w:r>
      <w:r>
        <w:rPr/>
        <w:t>apertura</w:t>
      </w:r>
      <w:r>
        <w:rPr>
          <w:spacing w:val="-13"/>
        </w:rPr>
        <w:t> </w:t>
      </w:r>
      <w:r>
        <w:rPr/>
        <w:t>di</w:t>
      </w:r>
      <w:r>
        <w:rPr>
          <w:spacing w:val="-14"/>
        </w:rPr>
        <w:t> </w:t>
      </w:r>
      <w:r>
        <w:rPr/>
        <w:t>una</w:t>
      </w:r>
      <w:r>
        <w:rPr>
          <w:spacing w:val="-15"/>
        </w:rPr>
        <w:t> </w:t>
      </w:r>
      <w:r>
        <w:rPr/>
        <w:t>procedura</w:t>
      </w:r>
      <w:r>
        <w:rPr>
          <w:spacing w:val="-12"/>
        </w:rPr>
        <w:t> </w:t>
      </w:r>
      <w:r>
        <w:rPr/>
        <w:t>di</w:t>
      </w:r>
      <w:r>
        <w:rPr>
          <w:spacing w:val="-14"/>
        </w:rPr>
        <w:t> </w:t>
      </w:r>
      <w:r>
        <w:rPr/>
        <w:t>deficit eccessivo nei confronti dell’Italia basata sul criterio del</w:t>
      </w:r>
      <w:r>
        <w:rPr>
          <w:spacing w:val="-12"/>
        </w:rPr>
        <w:t> </w:t>
      </w:r>
      <w:r>
        <w:rPr/>
        <w:t>debito</w:t>
      </w:r>
      <w:r>
        <w:rPr>
          <w:vertAlign w:val="superscript"/>
        </w:rPr>
        <w:t>51</w:t>
      </w:r>
      <w:r>
        <w:rPr>
          <w:vertAlign w:val="baseline"/>
        </w:rPr>
        <w:t>.</w:t>
      </w:r>
    </w:p>
    <w:p>
      <w:pPr>
        <w:pStyle w:val="BodyText"/>
        <w:spacing w:line="252" w:lineRule="auto"/>
        <w:ind w:left="278" w:right="2260" w:firstLine="453"/>
        <w:jc w:val="both"/>
      </w:pPr>
      <w:r>
        <w:rPr/>
        <w:t>Con</w:t>
      </w:r>
      <w:r>
        <w:rPr>
          <w:spacing w:val="-19"/>
        </w:rPr>
        <w:t> </w:t>
      </w:r>
      <w:r>
        <w:rPr/>
        <w:t>riferimento</w:t>
      </w:r>
      <w:r>
        <w:rPr>
          <w:spacing w:val="-19"/>
        </w:rPr>
        <w:t> </w:t>
      </w:r>
      <w:r>
        <w:rPr/>
        <w:t>alla</w:t>
      </w:r>
      <w:r>
        <w:rPr>
          <w:spacing w:val="-18"/>
        </w:rPr>
        <w:t> </w:t>
      </w:r>
      <w:r>
        <w:rPr/>
        <w:t>programmazione</w:t>
      </w:r>
      <w:r>
        <w:rPr>
          <w:spacing w:val="-19"/>
        </w:rPr>
        <w:t> </w:t>
      </w:r>
      <w:r>
        <w:rPr/>
        <w:t>finanziaria</w:t>
      </w:r>
      <w:r>
        <w:rPr>
          <w:spacing w:val="-20"/>
        </w:rPr>
        <w:t> </w:t>
      </w:r>
      <w:r>
        <w:rPr/>
        <w:t>contenuta</w:t>
      </w:r>
      <w:r>
        <w:rPr>
          <w:spacing w:val="-19"/>
        </w:rPr>
        <w:t> </w:t>
      </w:r>
      <w:r>
        <w:rPr/>
        <w:t>nella</w:t>
      </w:r>
      <w:r>
        <w:rPr>
          <w:spacing w:val="-18"/>
        </w:rPr>
        <w:t> </w:t>
      </w:r>
      <w:r>
        <w:rPr/>
        <w:t>presente</w:t>
      </w:r>
      <w:r>
        <w:rPr>
          <w:spacing w:val="-17"/>
        </w:rPr>
        <w:t> </w:t>
      </w:r>
      <w:r>
        <w:rPr/>
        <w:t>Nota di Aggiornamento, il Governo fa suo l’obbiettivo di assicurare la sostenibilità del debito pubblico. A partire dal 2020, il rapporto assume un profilo discendente, in coerenza con il miglioramento dei saldi nominali di bilancio e di una graduale normalizzazione del tasso di crescita nominale del</w:t>
      </w:r>
      <w:r>
        <w:rPr>
          <w:spacing w:val="-8"/>
        </w:rPr>
        <w:t> </w:t>
      </w:r>
      <w:r>
        <w:rPr/>
        <w:t>PIL.</w:t>
      </w:r>
    </w:p>
    <w:p>
      <w:pPr>
        <w:spacing w:line="252" w:lineRule="auto" w:before="1"/>
        <w:ind w:left="278" w:right="2261" w:firstLine="453"/>
        <w:jc w:val="both"/>
        <w:rPr>
          <w:sz w:val="22"/>
        </w:rPr>
      </w:pPr>
      <w:r>
        <w:rPr>
          <w:i/>
          <w:sz w:val="22"/>
        </w:rPr>
        <w:t>Prima facie</w:t>
      </w:r>
      <w:r>
        <w:rPr>
          <w:sz w:val="22"/>
        </w:rPr>
        <w:t>, l’Italia non rispetta la regola del debito in nessuna delle tre configurazioni (</w:t>
      </w:r>
      <w:r>
        <w:rPr>
          <w:i/>
          <w:sz w:val="22"/>
        </w:rPr>
        <w:t>backward looking, forward looking </w:t>
      </w:r>
      <w:r>
        <w:rPr>
          <w:sz w:val="22"/>
        </w:rPr>
        <w:t>e </w:t>
      </w:r>
      <w:r>
        <w:rPr>
          <w:i/>
          <w:sz w:val="22"/>
        </w:rPr>
        <w:t>cyclically adjusted</w:t>
      </w:r>
      <w:r>
        <w:rPr>
          <w:sz w:val="22"/>
        </w:rPr>
        <w:t>, così come definite dalle regole europee</w:t>
      </w:r>
      <w:r>
        <w:rPr>
          <w:sz w:val="22"/>
          <w:vertAlign w:val="superscript"/>
        </w:rPr>
        <w:t>52</w:t>
      </w:r>
      <w:r>
        <w:rPr>
          <w:sz w:val="22"/>
          <w:vertAlign w:val="baseline"/>
        </w:rPr>
        <w:t>). Tra esse, la più favorevole resta quella </w:t>
      </w:r>
      <w:r>
        <w:rPr>
          <w:i/>
          <w:sz w:val="22"/>
          <w:vertAlign w:val="baseline"/>
        </w:rPr>
        <w:t>forward </w:t>
      </w:r>
      <w:r>
        <w:rPr>
          <w:i/>
          <w:sz w:val="22"/>
          <w:vertAlign w:val="baseline"/>
        </w:rPr>
        <w:t>looking</w:t>
      </w:r>
      <w:r>
        <w:rPr>
          <w:sz w:val="22"/>
          <w:vertAlign w:val="baseline"/>
        </w:rPr>
        <w:t>. Nella prassi della sorveglianza europea, il rispetto della regola per l'anno in corso nella configurazione </w:t>
      </w:r>
      <w:r>
        <w:rPr>
          <w:i/>
          <w:sz w:val="22"/>
          <w:vertAlign w:val="baseline"/>
        </w:rPr>
        <w:t>forward-looking </w:t>
      </w:r>
      <w:r>
        <w:rPr>
          <w:sz w:val="22"/>
          <w:vertAlign w:val="baseline"/>
        </w:rPr>
        <w:t>è valutato sulla base della previsione</w:t>
      </w:r>
    </w:p>
    <w:p>
      <w:pPr>
        <w:pStyle w:val="BodyText"/>
        <w:rPr>
          <w:sz w:val="20"/>
        </w:rPr>
      </w:pPr>
    </w:p>
    <w:p>
      <w:pPr>
        <w:pStyle w:val="BodyText"/>
        <w:spacing w:before="8"/>
        <w:rPr>
          <w:sz w:val="20"/>
        </w:rPr>
      </w:pPr>
      <w:r>
        <w:rPr/>
        <w:pict>
          <v:group style="position:absolute;margin-left:93.599998pt;margin-top:14.01958pt;width:21.4pt;height:2.15pt;mso-position-horizontal-relative:page;mso-position-vertical-relative:paragraph;z-index:-251470848;mso-wrap-distance-left:0;mso-wrap-distance-right:0" coordorigin="1872,280" coordsize="428,43">
            <v:line style="position:absolute" from="1872,301" to="2299,301" stroked="true" strokeweight="2.050pt" strokecolor="#aaaaaa">
              <v:stroke dashstyle="solid"/>
            </v:line>
            <v:rect style="position:absolute;left:1872;top:282;width:5;height:5" filled="true" fillcolor="#9f9f9f" stroked="false">
              <v:fill type="solid"/>
            </v:rect>
            <v:rect style="position:absolute;left:1872;top:282;width:5;height:5" filled="true" fillcolor="#9f9f9f" stroked="false">
              <v:fill type="solid"/>
            </v:rect>
            <v:line style="position:absolute" from="1877,285" to="2295,285" stroked="true" strokeweight=".24005pt" strokecolor="#9f9f9f">
              <v:stroke dashstyle="solid"/>
            </v:line>
            <v:rect style="position:absolute;left:2294;top:282;width:5;height:5" filled="true" fillcolor="#e2e2e2" stroked="false">
              <v:fill type="solid"/>
            </v:rect>
            <v:rect style="position:absolute;left:2294;top:282;width:5;height:5" filled="true" fillcolor="#9f9f9f" stroked="false">
              <v:fill type="solid"/>
            </v:rect>
            <v:rect style="position:absolute;left:1872;top:287;width:5;height:32" filled="true" fillcolor="#9f9f9f" stroked="false">
              <v:fill type="solid"/>
            </v:rect>
            <v:rect style="position:absolute;left:2294;top:287;width:5;height:32" filled="true" fillcolor="#e2e2e2" stroked="false">
              <v:fill type="solid"/>
            </v:rect>
            <v:rect style="position:absolute;left:1872;top:318;width:5;height:5" filled="true" fillcolor="#9f9f9f" stroked="false">
              <v:fill type="solid"/>
            </v:rect>
            <v:rect style="position:absolute;left:1872;top:318;width:5;height:5" filled="true" fillcolor="#e2e2e2" stroked="false">
              <v:fill type="solid"/>
            </v:rect>
            <v:line style="position:absolute" from="1877,321" to="2295,321" stroked="true" strokeweight=".23999pt" strokecolor="#e2e2e2">
              <v:stroke dashstyle="solid"/>
            </v:line>
            <v:rect style="position:absolute;left:2294;top:318;width:5;height:5" filled="true" fillcolor="#e2e2e2" stroked="false">
              <v:fill type="solid"/>
            </v:rect>
            <v:rect style="position:absolute;left:2294;top:318;width:5;height:5" filled="true" fillcolor="#e2e2e2" stroked="false">
              <v:fill type="solid"/>
            </v:rect>
            <w10:wrap type="topAndBottom"/>
          </v:group>
        </w:pict>
      </w:r>
    </w:p>
    <w:p>
      <w:pPr>
        <w:spacing w:line="240" w:lineRule="auto" w:before="18"/>
        <w:ind w:left="278" w:right="2263" w:firstLine="453"/>
        <w:jc w:val="both"/>
        <w:rPr>
          <w:sz w:val="16"/>
        </w:rPr>
      </w:pPr>
      <w:r>
        <w:rPr>
          <w:position w:val="6"/>
          <w:sz w:val="10"/>
        </w:rPr>
        <w:t>50 </w:t>
      </w:r>
      <w:r>
        <w:rPr>
          <w:sz w:val="16"/>
        </w:rPr>
        <w:t>Le raccomandazioni del Consiglio dell’Unione Europea per il 2019 suggerivano all’Italia di adeguarsi al percorso di avvicinamento all’OMT. All’indomani della presentazione del Documento Programmatico di Bilancio 2019 il Governo Italiano si era impegnato a conseguire una variazione nulla del saldo strutturale di bilancio. Per una</w:t>
      </w:r>
      <w:r>
        <w:rPr>
          <w:spacing w:val="-7"/>
          <w:sz w:val="16"/>
        </w:rPr>
        <w:t> </w:t>
      </w:r>
      <w:r>
        <w:rPr>
          <w:sz w:val="16"/>
        </w:rPr>
        <w:t>sintesi</w:t>
      </w:r>
      <w:r>
        <w:rPr>
          <w:spacing w:val="-7"/>
          <w:sz w:val="16"/>
        </w:rPr>
        <w:t> </w:t>
      </w:r>
      <w:r>
        <w:rPr>
          <w:sz w:val="16"/>
        </w:rPr>
        <w:t>si</w:t>
      </w:r>
      <w:r>
        <w:rPr>
          <w:spacing w:val="-8"/>
          <w:sz w:val="16"/>
        </w:rPr>
        <w:t> </w:t>
      </w:r>
      <w:r>
        <w:rPr>
          <w:sz w:val="16"/>
        </w:rPr>
        <w:t>veda</w:t>
      </w:r>
      <w:r>
        <w:rPr>
          <w:spacing w:val="-7"/>
          <w:sz w:val="16"/>
        </w:rPr>
        <w:t> </w:t>
      </w:r>
      <w:r>
        <w:rPr>
          <w:sz w:val="16"/>
        </w:rPr>
        <w:t>il</w:t>
      </w:r>
      <w:r>
        <w:rPr>
          <w:spacing w:val="-6"/>
          <w:sz w:val="16"/>
        </w:rPr>
        <w:t> </w:t>
      </w:r>
      <w:r>
        <w:rPr>
          <w:sz w:val="16"/>
        </w:rPr>
        <w:t>Focus</w:t>
      </w:r>
      <w:r>
        <w:rPr>
          <w:spacing w:val="-7"/>
          <w:sz w:val="16"/>
        </w:rPr>
        <w:t> </w:t>
      </w:r>
      <w:r>
        <w:rPr>
          <w:sz w:val="16"/>
        </w:rPr>
        <w:t>“Il</w:t>
      </w:r>
      <w:r>
        <w:rPr>
          <w:spacing w:val="-6"/>
          <w:sz w:val="16"/>
        </w:rPr>
        <w:t> </w:t>
      </w:r>
      <w:r>
        <w:rPr>
          <w:sz w:val="16"/>
        </w:rPr>
        <w:t>dialogo</w:t>
      </w:r>
      <w:r>
        <w:rPr>
          <w:spacing w:val="-6"/>
          <w:sz w:val="16"/>
        </w:rPr>
        <w:t> </w:t>
      </w:r>
      <w:r>
        <w:rPr>
          <w:sz w:val="16"/>
        </w:rPr>
        <w:t>con</w:t>
      </w:r>
      <w:r>
        <w:rPr>
          <w:spacing w:val="-6"/>
          <w:sz w:val="16"/>
        </w:rPr>
        <w:t> </w:t>
      </w:r>
      <w:r>
        <w:rPr>
          <w:sz w:val="16"/>
        </w:rPr>
        <w:t>la</w:t>
      </w:r>
      <w:r>
        <w:rPr>
          <w:spacing w:val="-7"/>
          <w:sz w:val="16"/>
        </w:rPr>
        <w:t> </w:t>
      </w:r>
      <w:r>
        <w:rPr>
          <w:sz w:val="16"/>
        </w:rPr>
        <w:t>Commissione</w:t>
      </w:r>
      <w:r>
        <w:rPr>
          <w:spacing w:val="-6"/>
          <w:sz w:val="16"/>
        </w:rPr>
        <w:t> </w:t>
      </w:r>
      <w:r>
        <w:rPr>
          <w:sz w:val="16"/>
        </w:rPr>
        <w:t>Europea</w:t>
      </w:r>
      <w:r>
        <w:rPr>
          <w:spacing w:val="-7"/>
          <w:sz w:val="16"/>
        </w:rPr>
        <w:t> </w:t>
      </w:r>
      <w:r>
        <w:rPr>
          <w:sz w:val="16"/>
        </w:rPr>
        <w:t>sul</w:t>
      </w:r>
      <w:r>
        <w:rPr>
          <w:spacing w:val="-6"/>
          <w:sz w:val="16"/>
        </w:rPr>
        <w:t> </w:t>
      </w:r>
      <w:r>
        <w:rPr>
          <w:sz w:val="16"/>
        </w:rPr>
        <w:t>Documento</w:t>
      </w:r>
      <w:r>
        <w:rPr>
          <w:spacing w:val="-6"/>
          <w:sz w:val="16"/>
        </w:rPr>
        <w:t> </w:t>
      </w:r>
      <w:r>
        <w:rPr>
          <w:sz w:val="16"/>
        </w:rPr>
        <w:t>Programmatico</w:t>
      </w:r>
      <w:r>
        <w:rPr>
          <w:spacing w:val="-6"/>
          <w:sz w:val="16"/>
        </w:rPr>
        <w:t> </w:t>
      </w:r>
      <w:r>
        <w:rPr>
          <w:sz w:val="16"/>
        </w:rPr>
        <w:t>di</w:t>
      </w:r>
      <w:r>
        <w:rPr>
          <w:spacing w:val="-7"/>
          <w:sz w:val="16"/>
        </w:rPr>
        <w:t> </w:t>
      </w:r>
      <w:r>
        <w:rPr>
          <w:sz w:val="16"/>
        </w:rPr>
        <w:t>Bilancio</w:t>
      </w:r>
      <w:r>
        <w:rPr>
          <w:spacing w:val="-6"/>
          <w:sz w:val="16"/>
        </w:rPr>
        <w:t> </w:t>
      </w:r>
      <w:r>
        <w:rPr>
          <w:sz w:val="16"/>
        </w:rPr>
        <w:t>2019” nel DEF</w:t>
      </w:r>
      <w:r>
        <w:rPr>
          <w:spacing w:val="-2"/>
          <w:sz w:val="16"/>
        </w:rPr>
        <w:t> </w:t>
      </w:r>
      <w:r>
        <w:rPr>
          <w:sz w:val="16"/>
        </w:rPr>
        <w:t>2019</w:t>
      </w:r>
    </w:p>
    <w:p>
      <w:pPr>
        <w:spacing w:line="242" w:lineRule="auto" w:before="0"/>
        <w:ind w:left="278" w:right="2269" w:firstLine="453"/>
        <w:jc w:val="both"/>
        <w:rPr>
          <w:sz w:val="16"/>
        </w:rPr>
      </w:pPr>
      <w:r>
        <w:rPr>
          <w:position w:val="6"/>
          <w:sz w:val="10"/>
        </w:rPr>
        <w:t>51 </w:t>
      </w:r>
      <w:r>
        <w:rPr>
          <w:sz w:val="16"/>
        </w:rPr>
        <w:t>Communication from the Commission to the Council on the Spring 2019 round of fiscal surveillance for Italy, COM(2019) 351 final.</w:t>
      </w:r>
    </w:p>
    <w:p>
      <w:pPr>
        <w:spacing w:line="183" w:lineRule="exact" w:before="0"/>
        <w:ind w:left="732" w:right="0" w:firstLine="0"/>
        <w:jc w:val="both"/>
        <w:rPr>
          <w:sz w:val="16"/>
        </w:rPr>
      </w:pPr>
      <w:r>
        <w:rPr>
          <w:position w:val="6"/>
          <w:sz w:val="10"/>
        </w:rPr>
        <w:t>52 </w:t>
      </w:r>
      <w:r>
        <w:rPr>
          <w:sz w:val="16"/>
        </w:rPr>
        <w:t>Per maggiori dettagli, si veda la pubblicazione annuale della Commissione Europea, Vademecum on the</w:t>
      </w:r>
    </w:p>
    <w:p>
      <w:pPr>
        <w:spacing w:before="0"/>
        <w:ind w:left="278" w:right="5018" w:firstLine="0"/>
        <w:jc w:val="both"/>
        <w:rPr>
          <w:sz w:val="16"/>
        </w:rPr>
      </w:pPr>
      <w:r>
        <w:rPr>
          <w:sz w:val="16"/>
        </w:rPr>
        <w:t>Stability and Growth Pact, 2019 Edition: </w:t>
      </w:r>
      <w:hyperlink r:id="rId75">
        <w:r>
          <w:rPr>
            <w:color w:val="006247"/>
            <w:sz w:val="16"/>
            <w:u w:val="single" w:color="006247"/>
          </w:rPr>
          <w:t>https://ec.europa.eu/info/sites/info/files/economy-finance/ip101_en.pdf</w:t>
        </w:r>
      </w:hyperlink>
      <w:r>
        <w:rPr>
          <w:sz w:val="16"/>
        </w:rPr>
        <w:t>.</w:t>
      </w:r>
    </w:p>
    <w:p>
      <w:pPr>
        <w:spacing w:after="0"/>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1128" w:right="1411"/>
        <w:jc w:val="both"/>
      </w:pPr>
      <w:r>
        <w:rPr/>
        <w:t>del rapporto debito/PIL del 2021, che risulta pari a 133,4 per cento del PIL nello scenario programmatico. In tale configurazione, la regola del debito richiederebbe un rapporto debito/PIL pari al 128 per cento nel 2021, con un gap di 5,4 punti percentuali (si veda Tav. III.8).</w:t>
      </w:r>
    </w:p>
    <w:p>
      <w:pPr>
        <w:pStyle w:val="BodyText"/>
        <w:spacing w:line="252" w:lineRule="auto"/>
        <w:ind w:left="1128" w:right="1410" w:firstLine="453"/>
        <w:jc w:val="both"/>
      </w:pPr>
      <w:r>
        <w:rPr/>
        <w:pict>
          <v:line style="position:absolute;mso-position-horizontal-relative:page;mso-position-vertical-relative:paragraph;z-index:-266160128" from="412.149994pt,155.798599pt" to="412.149994pt,236.318599pt" stroked="true" strokeweight=".47998pt" strokecolor="#000000">
            <v:stroke dashstyle="solid"/>
            <w10:wrap type="none"/>
          </v:line>
        </w:pict>
      </w:r>
      <w:r>
        <w:rPr/>
        <w:t>Il</w:t>
      </w:r>
      <w:r>
        <w:rPr>
          <w:spacing w:val="-8"/>
        </w:rPr>
        <w:t> </w:t>
      </w:r>
      <w:r>
        <w:rPr/>
        <w:t>dato</w:t>
      </w:r>
      <w:r>
        <w:rPr>
          <w:spacing w:val="-7"/>
        </w:rPr>
        <w:t> </w:t>
      </w:r>
      <w:r>
        <w:rPr/>
        <w:t>di</w:t>
      </w:r>
      <w:r>
        <w:rPr>
          <w:spacing w:val="-10"/>
        </w:rPr>
        <w:t> </w:t>
      </w:r>
      <w:r>
        <w:rPr/>
        <w:t>fondo</w:t>
      </w:r>
      <w:r>
        <w:rPr>
          <w:spacing w:val="-7"/>
        </w:rPr>
        <w:t> </w:t>
      </w:r>
      <w:r>
        <w:rPr/>
        <w:t>è</w:t>
      </w:r>
      <w:r>
        <w:rPr>
          <w:spacing w:val="-9"/>
        </w:rPr>
        <w:t> </w:t>
      </w:r>
      <w:r>
        <w:rPr/>
        <w:t>che</w:t>
      </w:r>
      <w:r>
        <w:rPr>
          <w:spacing w:val="-9"/>
        </w:rPr>
        <w:t> </w:t>
      </w:r>
      <w:r>
        <w:rPr/>
        <w:t>continua</w:t>
      </w:r>
      <w:r>
        <w:rPr>
          <w:spacing w:val="-8"/>
        </w:rPr>
        <w:t> </w:t>
      </w:r>
      <w:r>
        <w:rPr/>
        <w:t>la</w:t>
      </w:r>
      <w:r>
        <w:rPr>
          <w:spacing w:val="-8"/>
        </w:rPr>
        <w:t> </w:t>
      </w:r>
      <w:r>
        <w:rPr/>
        <w:t>difficoltà</w:t>
      </w:r>
      <w:r>
        <w:rPr>
          <w:spacing w:val="-7"/>
        </w:rPr>
        <w:t> </w:t>
      </w:r>
      <w:r>
        <w:rPr/>
        <w:t>di</w:t>
      </w:r>
      <w:r>
        <w:rPr>
          <w:spacing w:val="-7"/>
        </w:rPr>
        <w:t> </w:t>
      </w:r>
      <w:r>
        <w:rPr/>
        <w:t>rispettare</w:t>
      </w:r>
      <w:r>
        <w:rPr>
          <w:spacing w:val="-6"/>
        </w:rPr>
        <w:t> </w:t>
      </w:r>
      <w:r>
        <w:rPr/>
        <w:t>il</w:t>
      </w:r>
      <w:r>
        <w:rPr>
          <w:spacing w:val="-7"/>
        </w:rPr>
        <w:t> </w:t>
      </w:r>
      <w:r>
        <w:rPr/>
        <w:t>sentiero</w:t>
      </w:r>
      <w:r>
        <w:rPr>
          <w:spacing w:val="-8"/>
        </w:rPr>
        <w:t> </w:t>
      </w:r>
      <w:r>
        <w:rPr/>
        <w:t>di</w:t>
      </w:r>
      <w:r>
        <w:rPr>
          <w:spacing w:val="-10"/>
        </w:rPr>
        <w:t> </w:t>
      </w:r>
      <w:r>
        <w:rPr/>
        <w:t>riduzione del debito pubblico come prescritto dalla disciplina europea. Ostano la flebile crescita nominale e i parametri di convergenza troppo rigidi sia in termini di obbiettivo finale (60 per cento del rapporto debito/PIL) sia in termini temporali (venti anni). Resta in piedi un rilevante problema di policy secondo il quale il conseguimento di un avanzo primario di bilancio tale da riportare il rapporto debito/PIL su un percorso discendente non deve impedire l'utilizzo di risorse per rafforzare la crescita</w:t>
      </w:r>
      <w:r>
        <w:rPr>
          <w:spacing w:val="-5"/>
        </w:rPr>
        <w:t> </w:t>
      </w:r>
      <w:r>
        <w:rPr/>
        <w:t>economica.</w:t>
      </w:r>
    </w:p>
    <w:p>
      <w:pPr>
        <w:pStyle w:val="BodyText"/>
        <w:rPr>
          <w:sz w:val="24"/>
        </w:rPr>
      </w:pPr>
    </w:p>
    <w:tbl>
      <w:tblPr>
        <w:tblW w:w="0" w:type="auto"/>
        <w:jc w:val="left"/>
        <w:tblInd w:w="1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41"/>
        <w:gridCol w:w="695"/>
        <w:gridCol w:w="1049"/>
        <w:gridCol w:w="855"/>
        <w:gridCol w:w="423"/>
        <w:gridCol w:w="1076"/>
        <w:gridCol w:w="595"/>
      </w:tblGrid>
      <w:tr>
        <w:trPr>
          <w:trHeight w:val="453" w:hRule="atLeast"/>
        </w:trPr>
        <w:tc>
          <w:tcPr>
            <w:tcW w:w="8234" w:type="dxa"/>
            <w:gridSpan w:val="7"/>
            <w:shd w:val="clear" w:color="auto" w:fill="086D44"/>
          </w:tcPr>
          <w:p>
            <w:pPr>
              <w:pStyle w:val="TableParagraph"/>
              <w:spacing w:line="242" w:lineRule="auto" w:before="17"/>
              <w:ind w:left="82" w:right="76"/>
              <w:jc w:val="left"/>
              <w:rPr>
                <w:rFonts w:ascii="Franklin Gothic Heavy"/>
                <w:b/>
                <w:sz w:val="17"/>
              </w:rPr>
            </w:pPr>
            <w:r>
              <w:rPr>
                <w:rFonts w:ascii="Franklin Gothic Heavy"/>
                <w:b/>
                <w:color w:val="EFEFEF"/>
                <w:sz w:val="17"/>
              </w:rPr>
              <w:t>TAVOLA III.8: RISPETTO DELLA REGOLA DEL DEBITO: CRITERIO FORWARD LOOKING E DEBITO CORRETTO PER IL CICLO</w:t>
            </w:r>
          </w:p>
        </w:tc>
      </w:tr>
      <w:tr>
        <w:trPr>
          <w:trHeight w:val="227" w:hRule="atLeast"/>
        </w:trPr>
        <w:tc>
          <w:tcPr>
            <w:tcW w:w="3541" w:type="dxa"/>
          </w:tcPr>
          <w:p>
            <w:pPr>
              <w:pStyle w:val="TableParagraph"/>
              <w:jc w:val="left"/>
              <w:rPr>
                <w:rFonts w:ascii="Times New Roman"/>
                <w:sz w:val="16"/>
              </w:rPr>
            </w:pPr>
          </w:p>
        </w:tc>
        <w:tc>
          <w:tcPr>
            <w:tcW w:w="695" w:type="dxa"/>
            <w:tcBorders>
              <w:bottom w:val="single" w:sz="4" w:space="0" w:color="000000"/>
            </w:tcBorders>
          </w:tcPr>
          <w:p>
            <w:pPr>
              <w:pStyle w:val="TableParagraph"/>
              <w:jc w:val="left"/>
              <w:rPr>
                <w:rFonts w:ascii="Times New Roman"/>
                <w:sz w:val="16"/>
              </w:rPr>
            </w:pPr>
          </w:p>
        </w:tc>
        <w:tc>
          <w:tcPr>
            <w:tcW w:w="1049" w:type="dxa"/>
            <w:tcBorders>
              <w:bottom w:val="single" w:sz="4" w:space="0" w:color="000000"/>
            </w:tcBorders>
          </w:tcPr>
          <w:p>
            <w:pPr>
              <w:pStyle w:val="TableParagraph"/>
              <w:jc w:val="left"/>
              <w:rPr>
                <w:rFonts w:ascii="Times New Roman"/>
                <w:sz w:val="16"/>
              </w:rPr>
            </w:pPr>
          </w:p>
        </w:tc>
        <w:tc>
          <w:tcPr>
            <w:tcW w:w="855" w:type="dxa"/>
            <w:tcBorders>
              <w:bottom w:val="single" w:sz="4" w:space="0" w:color="000000"/>
            </w:tcBorders>
          </w:tcPr>
          <w:p>
            <w:pPr>
              <w:pStyle w:val="TableParagraph"/>
              <w:ind w:left="286"/>
              <w:jc w:val="left"/>
              <w:rPr>
                <w:sz w:val="17"/>
              </w:rPr>
            </w:pPr>
            <w:r>
              <w:rPr>
                <w:sz w:val="17"/>
              </w:rPr>
              <w:t>Scenari</w:t>
            </w:r>
          </w:p>
        </w:tc>
        <w:tc>
          <w:tcPr>
            <w:tcW w:w="423" w:type="dxa"/>
            <w:tcBorders>
              <w:bottom w:val="single" w:sz="4" w:space="0" w:color="000000"/>
            </w:tcBorders>
          </w:tcPr>
          <w:p>
            <w:pPr>
              <w:pStyle w:val="TableParagraph"/>
              <w:ind w:left="-27"/>
              <w:jc w:val="left"/>
              <w:rPr>
                <w:sz w:val="17"/>
              </w:rPr>
            </w:pPr>
            <w:r>
              <w:rPr>
                <w:w w:val="100"/>
                <w:sz w:val="17"/>
              </w:rPr>
              <w:t>o</w:t>
            </w:r>
          </w:p>
        </w:tc>
        <w:tc>
          <w:tcPr>
            <w:tcW w:w="1076" w:type="dxa"/>
            <w:tcBorders>
              <w:bottom w:val="single" w:sz="4" w:space="0" w:color="000000"/>
            </w:tcBorders>
          </w:tcPr>
          <w:p>
            <w:pPr>
              <w:pStyle w:val="TableParagraph"/>
              <w:jc w:val="left"/>
              <w:rPr>
                <w:rFonts w:ascii="Times New Roman"/>
                <w:sz w:val="16"/>
              </w:rPr>
            </w:pPr>
          </w:p>
        </w:tc>
        <w:tc>
          <w:tcPr>
            <w:tcW w:w="595" w:type="dxa"/>
            <w:tcBorders>
              <w:bottom w:val="single" w:sz="4" w:space="0" w:color="000000"/>
            </w:tcBorders>
          </w:tcPr>
          <w:p>
            <w:pPr>
              <w:pStyle w:val="TableParagraph"/>
              <w:jc w:val="left"/>
              <w:rPr>
                <w:rFonts w:ascii="Times New Roman"/>
                <w:sz w:val="16"/>
              </w:rPr>
            </w:pPr>
          </w:p>
        </w:tc>
      </w:tr>
      <w:tr>
        <w:trPr>
          <w:trHeight w:val="225" w:hRule="atLeast"/>
        </w:trPr>
        <w:tc>
          <w:tcPr>
            <w:tcW w:w="3541" w:type="dxa"/>
          </w:tcPr>
          <w:p>
            <w:pPr>
              <w:pStyle w:val="TableParagraph"/>
              <w:jc w:val="left"/>
              <w:rPr>
                <w:rFonts w:ascii="Times New Roman"/>
                <w:sz w:val="16"/>
              </w:rPr>
            </w:pPr>
          </w:p>
        </w:tc>
        <w:tc>
          <w:tcPr>
            <w:tcW w:w="695" w:type="dxa"/>
            <w:tcBorders>
              <w:top w:val="single" w:sz="4" w:space="0" w:color="000000"/>
              <w:bottom w:val="single" w:sz="4" w:space="0" w:color="000000"/>
            </w:tcBorders>
          </w:tcPr>
          <w:p>
            <w:pPr>
              <w:pStyle w:val="TableParagraph"/>
              <w:jc w:val="left"/>
              <w:rPr>
                <w:rFonts w:ascii="Times New Roman"/>
                <w:sz w:val="16"/>
              </w:rPr>
            </w:pPr>
          </w:p>
        </w:tc>
        <w:tc>
          <w:tcPr>
            <w:tcW w:w="1049" w:type="dxa"/>
            <w:tcBorders>
              <w:top w:val="single" w:sz="4" w:space="0" w:color="000000"/>
              <w:bottom w:val="single" w:sz="4" w:space="0" w:color="000000"/>
            </w:tcBorders>
          </w:tcPr>
          <w:p>
            <w:pPr>
              <w:pStyle w:val="TableParagraph"/>
              <w:ind w:right="86"/>
              <w:rPr>
                <w:sz w:val="17"/>
              </w:rPr>
            </w:pPr>
            <w:r>
              <w:rPr>
                <w:sz w:val="17"/>
              </w:rPr>
              <w:t>Tendenziale</w:t>
            </w:r>
          </w:p>
        </w:tc>
        <w:tc>
          <w:tcPr>
            <w:tcW w:w="855" w:type="dxa"/>
            <w:tcBorders>
              <w:top w:val="single" w:sz="4" w:space="0" w:color="000000"/>
              <w:bottom w:val="single" w:sz="4" w:space="0" w:color="000000"/>
            </w:tcBorders>
          </w:tcPr>
          <w:p>
            <w:pPr>
              <w:pStyle w:val="TableParagraph"/>
              <w:jc w:val="left"/>
              <w:rPr>
                <w:rFonts w:ascii="Times New Roman"/>
                <w:sz w:val="16"/>
              </w:rPr>
            </w:pPr>
          </w:p>
        </w:tc>
        <w:tc>
          <w:tcPr>
            <w:tcW w:w="423" w:type="dxa"/>
            <w:tcBorders>
              <w:top w:val="single" w:sz="4" w:space="0" w:color="000000"/>
              <w:bottom w:val="single" w:sz="4" w:space="0" w:color="000000"/>
            </w:tcBorders>
          </w:tcPr>
          <w:p>
            <w:pPr>
              <w:pStyle w:val="TableParagraph"/>
              <w:jc w:val="left"/>
              <w:rPr>
                <w:rFonts w:ascii="Times New Roman"/>
                <w:sz w:val="16"/>
              </w:rPr>
            </w:pPr>
          </w:p>
        </w:tc>
        <w:tc>
          <w:tcPr>
            <w:tcW w:w="1076" w:type="dxa"/>
            <w:tcBorders>
              <w:top w:val="single" w:sz="4" w:space="0" w:color="000000"/>
              <w:bottom w:val="single" w:sz="4" w:space="0" w:color="000000"/>
            </w:tcBorders>
          </w:tcPr>
          <w:p>
            <w:pPr>
              <w:pStyle w:val="TableParagraph"/>
              <w:ind w:right="-29"/>
              <w:jc w:val="center"/>
              <w:rPr>
                <w:sz w:val="17"/>
              </w:rPr>
            </w:pPr>
            <w:r>
              <w:rPr>
                <w:sz w:val="17"/>
              </w:rPr>
              <w:t>Programmatico</w:t>
            </w:r>
          </w:p>
        </w:tc>
        <w:tc>
          <w:tcPr>
            <w:tcW w:w="595" w:type="dxa"/>
            <w:tcBorders>
              <w:top w:val="single" w:sz="4" w:space="0" w:color="000000"/>
              <w:bottom w:val="single" w:sz="4" w:space="0" w:color="000000"/>
            </w:tcBorders>
          </w:tcPr>
          <w:p>
            <w:pPr>
              <w:pStyle w:val="TableParagraph"/>
              <w:jc w:val="left"/>
              <w:rPr>
                <w:rFonts w:ascii="Times New Roman"/>
                <w:sz w:val="16"/>
              </w:rPr>
            </w:pPr>
          </w:p>
        </w:tc>
      </w:tr>
      <w:tr>
        <w:trPr>
          <w:trHeight w:val="227" w:hRule="atLeast"/>
        </w:trPr>
        <w:tc>
          <w:tcPr>
            <w:tcW w:w="3541" w:type="dxa"/>
            <w:tcBorders>
              <w:bottom w:val="single" w:sz="4" w:space="0" w:color="000000"/>
            </w:tcBorders>
          </w:tcPr>
          <w:p>
            <w:pPr>
              <w:pStyle w:val="TableParagraph"/>
              <w:jc w:val="left"/>
              <w:rPr>
                <w:rFonts w:ascii="Times New Roman"/>
                <w:sz w:val="16"/>
              </w:rPr>
            </w:pPr>
          </w:p>
        </w:tc>
        <w:tc>
          <w:tcPr>
            <w:tcW w:w="695" w:type="dxa"/>
            <w:tcBorders>
              <w:top w:val="single" w:sz="4" w:space="0" w:color="000000"/>
              <w:bottom w:val="single" w:sz="4" w:space="0" w:color="000000"/>
            </w:tcBorders>
          </w:tcPr>
          <w:p>
            <w:pPr>
              <w:pStyle w:val="TableParagraph"/>
              <w:spacing w:before="12"/>
              <w:ind w:right="91"/>
              <w:rPr>
                <w:sz w:val="17"/>
              </w:rPr>
            </w:pPr>
            <w:r>
              <w:rPr>
                <w:sz w:val="17"/>
              </w:rPr>
              <w:t>2018</w:t>
            </w:r>
          </w:p>
        </w:tc>
        <w:tc>
          <w:tcPr>
            <w:tcW w:w="1049" w:type="dxa"/>
            <w:tcBorders>
              <w:top w:val="single" w:sz="4" w:space="0" w:color="000000"/>
              <w:bottom w:val="single" w:sz="4" w:space="0" w:color="000000"/>
            </w:tcBorders>
          </w:tcPr>
          <w:p>
            <w:pPr>
              <w:pStyle w:val="TableParagraph"/>
              <w:spacing w:before="12"/>
              <w:ind w:left="318"/>
              <w:jc w:val="left"/>
              <w:rPr>
                <w:sz w:val="17"/>
              </w:rPr>
            </w:pPr>
            <w:r>
              <w:rPr>
                <w:sz w:val="17"/>
              </w:rPr>
              <w:t>2019</w:t>
            </w:r>
          </w:p>
        </w:tc>
        <w:tc>
          <w:tcPr>
            <w:tcW w:w="855" w:type="dxa"/>
            <w:tcBorders>
              <w:top w:val="single" w:sz="4" w:space="0" w:color="000000"/>
              <w:bottom w:val="single" w:sz="4" w:space="0" w:color="000000"/>
            </w:tcBorders>
          </w:tcPr>
          <w:p>
            <w:pPr>
              <w:pStyle w:val="TableParagraph"/>
              <w:spacing w:before="12"/>
              <w:ind w:left="90"/>
              <w:jc w:val="left"/>
              <w:rPr>
                <w:sz w:val="17"/>
              </w:rPr>
            </w:pPr>
            <w:r>
              <w:rPr>
                <w:sz w:val="17"/>
              </w:rPr>
              <w:t>2020</w:t>
            </w:r>
          </w:p>
        </w:tc>
        <w:tc>
          <w:tcPr>
            <w:tcW w:w="423" w:type="dxa"/>
            <w:tcBorders>
              <w:top w:val="single" w:sz="4" w:space="0" w:color="000000"/>
              <w:bottom w:val="single" w:sz="4" w:space="0" w:color="000000"/>
            </w:tcBorders>
          </w:tcPr>
          <w:p>
            <w:pPr>
              <w:pStyle w:val="TableParagraph"/>
              <w:spacing w:before="12"/>
              <w:ind w:left="22"/>
              <w:jc w:val="left"/>
              <w:rPr>
                <w:sz w:val="17"/>
              </w:rPr>
            </w:pPr>
            <w:r>
              <w:rPr>
                <w:sz w:val="17"/>
              </w:rPr>
              <w:t>2018</w:t>
            </w:r>
          </w:p>
        </w:tc>
        <w:tc>
          <w:tcPr>
            <w:tcW w:w="1076" w:type="dxa"/>
            <w:tcBorders>
              <w:top w:val="single" w:sz="4" w:space="0" w:color="000000"/>
              <w:bottom w:val="single" w:sz="4" w:space="0" w:color="000000"/>
            </w:tcBorders>
          </w:tcPr>
          <w:p>
            <w:pPr>
              <w:pStyle w:val="TableParagraph"/>
              <w:spacing w:before="12"/>
              <w:ind w:left="307" w:right="286"/>
              <w:jc w:val="center"/>
              <w:rPr>
                <w:sz w:val="17"/>
              </w:rPr>
            </w:pPr>
            <w:r>
              <w:rPr>
                <w:sz w:val="17"/>
              </w:rPr>
              <w:t>2019</w:t>
            </w:r>
          </w:p>
        </w:tc>
        <w:tc>
          <w:tcPr>
            <w:tcW w:w="595" w:type="dxa"/>
            <w:tcBorders>
              <w:top w:val="single" w:sz="4" w:space="0" w:color="000000"/>
              <w:bottom w:val="single" w:sz="4" w:space="0" w:color="000000"/>
            </w:tcBorders>
          </w:tcPr>
          <w:p>
            <w:pPr>
              <w:pStyle w:val="TableParagraph"/>
              <w:spacing w:before="12"/>
              <w:ind w:right="150"/>
              <w:jc w:val="center"/>
              <w:rPr>
                <w:sz w:val="17"/>
              </w:rPr>
            </w:pPr>
            <w:r>
              <w:rPr>
                <w:sz w:val="17"/>
              </w:rPr>
              <w:t>2020</w:t>
            </w:r>
          </w:p>
        </w:tc>
      </w:tr>
      <w:tr>
        <w:trPr>
          <w:trHeight w:val="246" w:hRule="atLeast"/>
        </w:trPr>
        <w:tc>
          <w:tcPr>
            <w:tcW w:w="3541" w:type="dxa"/>
            <w:tcBorders>
              <w:top w:val="single" w:sz="4" w:space="0" w:color="000000"/>
            </w:tcBorders>
          </w:tcPr>
          <w:p>
            <w:pPr>
              <w:pStyle w:val="TableParagraph"/>
              <w:spacing w:before="19"/>
              <w:ind w:left="82"/>
              <w:jc w:val="left"/>
              <w:rPr>
                <w:sz w:val="17"/>
              </w:rPr>
            </w:pPr>
            <w:r>
              <w:rPr>
                <w:sz w:val="17"/>
              </w:rPr>
              <w:t>Debito nell'anno t+2 (% del PIL)</w:t>
            </w:r>
          </w:p>
        </w:tc>
        <w:tc>
          <w:tcPr>
            <w:tcW w:w="695" w:type="dxa"/>
            <w:tcBorders>
              <w:top w:val="single" w:sz="4" w:space="0" w:color="000000"/>
            </w:tcBorders>
          </w:tcPr>
          <w:p>
            <w:pPr>
              <w:pStyle w:val="TableParagraph"/>
              <w:spacing w:before="19"/>
              <w:ind w:right="161"/>
              <w:rPr>
                <w:sz w:val="17"/>
              </w:rPr>
            </w:pPr>
            <w:r>
              <w:rPr>
                <w:sz w:val="17"/>
              </w:rPr>
              <w:t>134,1</w:t>
            </w:r>
          </w:p>
        </w:tc>
        <w:tc>
          <w:tcPr>
            <w:tcW w:w="1049" w:type="dxa"/>
            <w:tcBorders>
              <w:top w:val="single" w:sz="4" w:space="0" w:color="000000"/>
            </w:tcBorders>
          </w:tcPr>
          <w:p>
            <w:pPr>
              <w:pStyle w:val="TableParagraph"/>
              <w:spacing w:before="19"/>
              <w:ind w:right="163"/>
              <w:rPr>
                <w:sz w:val="17"/>
              </w:rPr>
            </w:pPr>
            <w:r>
              <w:rPr>
                <w:sz w:val="17"/>
              </w:rPr>
              <w:t>132,5</w:t>
            </w:r>
          </w:p>
        </w:tc>
        <w:tc>
          <w:tcPr>
            <w:tcW w:w="855" w:type="dxa"/>
            <w:tcBorders>
              <w:top w:val="single" w:sz="4" w:space="0" w:color="000000"/>
            </w:tcBorders>
          </w:tcPr>
          <w:p>
            <w:pPr>
              <w:pStyle w:val="TableParagraph"/>
              <w:spacing w:before="19"/>
              <w:ind w:left="140"/>
              <w:jc w:val="left"/>
              <w:rPr>
                <w:sz w:val="17"/>
              </w:rPr>
            </w:pPr>
            <w:r>
              <w:rPr>
                <w:sz w:val="17"/>
              </w:rPr>
              <w:t>130,4</w:t>
            </w:r>
          </w:p>
        </w:tc>
        <w:tc>
          <w:tcPr>
            <w:tcW w:w="423" w:type="dxa"/>
            <w:tcBorders>
              <w:top w:val="single" w:sz="4" w:space="0" w:color="000000"/>
            </w:tcBorders>
          </w:tcPr>
          <w:p>
            <w:pPr>
              <w:pStyle w:val="TableParagraph"/>
              <w:spacing w:before="19"/>
              <w:ind w:right="-29"/>
              <w:jc w:val="left"/>
              <w:rPr>
                <w:sz w:val="17"/>
              </w:rPr>
            </w:pPr>
            <w:r>
              <w:rPr>
                <w:sz w:val="17"/>
              </w:rPr>
              <w:t>135,2</w:t>
            </w:r>
          </w:p>
        </w:tc>
        <w:tc>
          <w:tcPr>
            <w:tcW w:w="1076" w:type="dxa"/>
            <w:tcBorders>
              <w:top w:val="single" w:sz="4" w:space="0" w:color="000000"/>
            </w:tcBorders>
          </w:tcPr>
          <w:p>
            <w:pPr>
              <w:pStyle w:val="TableParagraph"/>
              <w:spacing w:before="19"/>
              <w:ind w:left="307" w:right="286"/>
              <w:jc w:val="center"/>
              <w:rPr>
                <w:sz w:val="17"/>
              </w:rPr>
            </w:pPr>
            <w:r>
              <w:rPr>
                <w:sz w:val="17"/>
              </w:rPr>
              <w:t>133,4</w:t>
            </w:r>
          </w:p>
        </w:tc>
        <w:tc>
          <w:tcPr>
            <w:tcW w:w="595" w:type="dxa"/>
            <w:tcBorders>
              <w:top w:val="single" w:sz="4" w:space="0" w:color="000000"/>
            </w:tcBorders>
          </w:tcPr>
          <w:p>
            <w:pPr>
              <w:pStyle w:val="TableParagraph"/>
              <w:spacing w:before="19"/>
              <w:ind w:right="150"/>
              <w:jc w:val="center"/>
              <w:rPr>
                <w:sz w:val="17"/>
              </w:rPr>
            </w:pPr>
            <w:r>
              <w:rPr>
                <w:sz w:val="17"/>
              </w:rPr>
              <w:t>131,4</w:t>
            </w:r>
          </w:p>
        </w:tc>
      </w:tr>
      <w:tr>
        <w:trPr>
          <w:trHeight w:val="453" w:hRule="atLeast"/>
        </w:trPr>
        <w:tc>
          <w:tcPr>
            <w:tcW w:w="3541" w:type="dxa"/>
          </w:tcPr>
          <w:p>
            <w:pPr>
              <w:pStyle w:val="TableParagraph"/>
              <w:spacing w:before="34"/>
              <w:ind w:left="82" w:right="387"/>
              <w:jc w:val="left"/>
              <w:rPr>
                <w:sz w:val="17"/>
              </w:rPr>
            </w:pPr>
            <w:r>
              <w:rPr>
                <w:sz w:val="17"/>
              </w:rPr>
              <w:t>Gap rispetto al benchmark forward looking (% del PIL)</w:t>
            </w:r>
          </w:p>
        </w:tc>
        <w:tc>
          <w:tcPr>
            <w:tcW w:w="695" w:type="dxa"/>
          </w:tcPr>
          <w:p>
            <w:pPr>
              <w:pStyle w:val="TableParagraph"/>
              <w:spacing w:before="5"/>
              <w:jc w:val="left"/>
              <w:rPr>
                <w:rFonts w:ascii="Trebuchet MS"/>
                <w:sz w:val="19"/>
              </w:rPr>
            </w:pPr>
          </w:p>
          <w:p>
            <w:pPr>
              <w:pStyle w:val="TableParagraph"/>
              <w:spacing w:before="1"/>
              <w:ind w:left="187"/>
              <w:jc w:val="left"/>
              <w:rPr>
                <w:sz w:val="17"/>
              </w:rPr>
            </w:pPr>
            <w:r>
              <w:rPr>
                <w:sz w:val="17"/>
              </w:rPr>
              <w:t>6,4</w:t>
            </w:r>
          </w:p>
        </w:tc>
        <w:tc>
          <w:tcPr>
            <w:tcW w:w="1049" w:type="dxa"/>
          </w:tcPr>
          <w:p>
            <w:pPr>
              <w:pStyle w:val="TableParagraph"/>
              <w:spacing w:before="5"/>
              <w:jc w:val="left"/>
              <w:rPr>
                <w:rFonts w:ascii="Trebuchet MS"/>
                <w:sz w:val="19"/>
              </w:rPr>
            </w:pPr>
          </w:p>
          <w:p>
            <w:pPr>
              <w:pStyle w:val="TableParagraph"/>
              <w:spacing w:before="1"/>
              <w:ind w:left="539"/>
              <w:jc w:val="left"/>
              <w:rPr>
                <w:sz w:val="17"/>
              </w:rPr>
            </w:pPr>
            <w:r>
              <w:rPr>
                <w:sz w:val="17"/>
              </w:rPr>
              <w:t>4,9</w:t>
            </w:r>
          </w:p>
        </w:tc>
        <w:tc>
          <w:tcPr>
            <w:tcW w:w="855" w:type="dxa"/>
          </w:tcPr>
          <w:p>
            <w:pPr>
              <w:pStyle w:val="TableParagraph"/>
              <w:spacing w:before="5"/>
              <w:jc w:val="left"/>
              <w:rPr>
                <w:rFonts w:ascii="Trebuchet MS"/>
                <w:sz w:val="19"/>
              </w:rPr>
            </w:pPr>
          </w:p>
          <w:p>
            <w:pPr>
              <w:pStyle w:val="TableParagraph"/>
              <w:spacing w:before="1"/>
              <w:ind w:left="238"/>
              <w:jc w:val="left"/>
              <w:rPr>
                <w:sz w:val="17"/>
              </w:rPr>
            </w:pPr>
            <w:r>
              <w:rPr>
                <w:sz w:val="17"/>
              </w:rPr>
              <w:t>3,5</w:t>
            </w:r>
          </w:p>
        </w:tc>
        <w:tc>
          <w:tcPr>
            <w:tcW w:w="423" w:type="dxa"/>
          </w:tcPr>
          <w:p>
            <w:pPr>
              <w:pStyle w:val="TableParagraph"/>
              <w:spacing w:before="5"/>
              <w:jc w:val="left"/>
              <w:rPr>
                <w:rFonts w:ascii="Trebuchet MS"/>
                <w:sz w:val="19"/>
              </w:rPr>
            </w:pPr>
          </w:p>
          <w:p>
            <w:pPr>
              <w:pStyle w:val="TableParagraph"/>
              <w:spacing w:before="1"/>
              <w:ind w:left="99"/>
              <w:jc w:val="left"/>
              <w:rPr>
                <w:sz w:val="17"/>
              </w:rPr>
            </w:pPr>
            <w:r>
              <w:rPr>
                <w:sz w:val="17"/>
              </w:rPr>
              <w:t>7,5</w:t>
            </w:r>
          </w:p>
        </w:tc>
        <w:tc>
          <w:tcPr>
            <w:tcW w:w="1076" w:type="dxa"/>
          </w:tcPr>
          <w:p>
            <w:pPr>
              <w:pStyle w:val="TableParagraph"/>
              <w:spacing w:before="5"/>
              <w:jc w:val="left"/>
              <w:rPr>
                <w:rFonts w:ascii="Trebuchet MS"/>
                <w:sz w:val="19"/>
              </w:rPr>
            </w:pPr>
          </w:p>
          <w:p>
            <w:pPr>
              <w:pStyle w:val="TableParagraph"/>
              <w:spacing w:before="1"/>
              <w:ind w:left="304" w:right="286"/>
              <w:jc w:val="center"/>
              <w:rPr>
                <w:sz w:val="17"/>
              </w:rPr>
            </w:pPr>
            <w:r>
              <w:rPr>
                <w:sz w:val="17"/>
              </w:rPr>
              <w:t>5,4</w:t>
            </w:r>
          </w:p>
        </w:tc>
        <w:tc>
          <w:tcPr>
            <w:tcW w:w="595" w:type="dxa"/>
          </w:tcPr>
          <w:p>
            <w:pPr>
              <w:pStyle w:val="TableParagraph"/>
              <w:spacing w:before="5"/>
              <w:jc w:val="left"/>
              <w:rPr>
                <w:rFonts w:ascii="Trebuchet MS"/>
                <w:sz w:val="19"/>
              </w:rPr>
            </w:pPr>
          </w:p>
          <w:p>
            <w:pPr>
              <w:pStyle w:val="TableParagraph"/>
              <w:spacing w:before="1"/>
              <w:ind w:right="152"/>
              <w:jc w:val="center"/>
              <w:rPr>
                <w:sz w:val="17"/>
              </w:rPr>
            </w:pPr>
            <w:r>
              <w:rPr>
                <w:sz w:val="17"/>
              </w:rPr>
              <w:t>3,9</w:t>
            </w:r>
          </w:p>
        </w:tc>
      </w:tr>
      <w:tr>
        <w:trPr>
          <w:trHeight w:val="436" w:hRule="atLeast"/>
        </w:trPr>
        <w:tc>
          <w:tcPr>
            <w:tcW w:w="3541" w:type="dxa"/>
            <w:tcBorders>
              <w:bottom w:val="single" w:sz="12" w:space="0" w:color="086D44"/>
            </w:tcBorders>
          </w:tcPr>
          <w:p>
            <w:pPr>
              <w:pStyle w:val="TableParagraph"/>
              <w:spacing w:line="192" w:lineRule="exact" w:before="36"/>
              <w:ind w:left="82" w:right="501"/>
              <w:jc w:val="left"/>
              <w:rPr>
                <w:sz w:val="17"/>
              </w:rPr>
            </w:pPr>
            <w:r>
              <w:rPr>
                <w:sz w:val="17"/>
              </w:rPr>
              <w:t>Gap rispetto al debito corretto con il ciclo (% del PIL)</w:t>
            </w:r>
          </w:p>
        </w:tc>
        <w:tc>
          <w:tcPr>
            <w:tcW w:w="695" w:type="dxa"/>
            <w:tcBorders>
              <w:bottom w:val="single" w:sz="12" w:space="0" w:color="086D44"/>
            </w:tcBorders>
          </w:tcPr>
          <w:p>
            <w:pPr>
              <w:pStyle w:val="TableParagraph"/>
              <w:spacing w:before="5"/>
              <w:jc w:val="left"/>
              <w:rPr>
                <w:rFonts w:ascii="Trebuchet MS"/>
                <w:sz w:val="19"/>
              </w:rPr>
            </w:pPr>
          </w:p>
          <w:p>
            <w:pPr>
              <w:pStyle w:val="TableParagraph"/>
              <w:spacing w:line="190" w:lineRule="exact" w:before="1"/>
              <w:ind w:left="187"/>
              <w:jc w:val="left"/>
              <w:rPr>
                <w:sz w:val="17"/>
              </w:rPr>
            </w:pPr>
            <w:r>
              <w:rPr>
                <w:sz w:val="17"/>
              </w:rPr>
              <w:t>8,3</w:t>
            </w:r>
          </w:p>
        </w:tc>
        <w:tc>
          <w:tcPr>
            <w:tcW w:w="1049" w:type="dxa"/>
            <w:tcBorders>
              <w:bottom w:val="single" w:sz="12" w:space="0" w:color="086D44"/>
            </w:tcBorders>
          </w:tcPr>
          <w:p>
            <w:pPr>
              <w:pStyle w:val="TableParagraph"/>
              <w:spacing w:before="5"/>
              <w:jc w:val="left"/>
              <w:rPr>
                <w:rFonts w:ascii="Trebuchet MS"/>
                <w:sz w:val="19"/>
              </w:rPr>
            </w:pPr>
          </w:p>
          <w:p>
            <w:pPr>
              <w:pStyle w:val="TableParagraph"/>
              <w:spacing w:line="190" w:lineRule="exact" w:before="1"/>
              <w:ind w:left="539"/>
              <w:jc w:val="left"/>
              <w:rPr>
                <w:sz w:val="17"/>
              </w:rPr>
            </w:pPr>
            <w:r>
              <w:rPr>
                <w:sz w:val="17"/>
              </w:rPr>
              <w:t>7,6</w:t>
            </w:r>
          </w:p>
        </w:tc>
        <w:tc>
          <w:tcPr>
            <w:tcW w:w="855" w:type="dxa"/>
            <w:tcBorders>
              <w:bottom w:val="single" w:sz="12" w:space="0" w:color="086D44"/>
            </w:tcBorders>
          </w:tcPr>
          <w:p>
            <w:pPr>
              <w:pStyle w:val="TableParagraph"/>
              <w:spacing w:before="5"/>
              <w:jc w:val="left"/>
              <w:rPr>
                <w:rFonts w:ascii="Trebuchet MS"/>
                <w:sz w:val="19"/>
              </w:rPr>
            </w:pPr>
          </w:p>
          <w:p>
            <w:pPr>
              <w:pStyle w:val="TableParagraph"/>
              <w:spacing w:line="190" w:lineRule="exact" w:before="1"/>
              <w:ind w:left="238"/>
              <w:jc w:val="left"/>
              <w:rPr>
                <w:sz w:val="17"/>
              </w:rPr>
            </w:pPr>
            <w:r>
              <w:rPr>
                <w:sz w:val="17"/>
              </w:rPr>
              <w:t>3,5</w:t>
            </w:r>
          </w:p>
        </w:tc>
        <w:tc>
          <w:tcPr>
            <w:tcW w:w="423" w:type="dxa"/>
            <w:tcBorders>
              <w:bottom w:val="single" w:sz="12" w:space="0" w:color="086D44"/>
            </w:tcBorders>
          </w:tcPr>
          <w:p>
            <w:pPr>
              <w:pStyle w:val="TableParagraph"/>
              <w:spacing w:before="5"/>
              <w:jc w:val="left"/>
              <w:rPr>
                <w:rFonts w:ascii="Trebuchet MS"/>
                <w:sz w:val="19"/>
              </w:rPr>
            </w:pPr>
          </w:p>
          <w:p>
            <w:pPr>
              <w:pStyle w:val="TableParagraph"/>
              <w:spacing w:line="190" w:lineRule="exact" w:before="1"/>
              <w:ind w:left="99"/>
              <w:jc w:val="left"/>
              <w:rPr>
                <w:sz w:val="17"/>
              </w:rPr>
            </w:pPr>
            <w:r>
              <w:rPr>
                <w:sz w:val="17"/>
              </w:rPr>
              <w:t>8,4</w:t>
            </w:r>
          </w:p>
        </w:tc>
        <w:tc>
          <w:tcPr>
            <w:tcW w:w="1076" w:type="dxa"/>
            <w:tcBorders>
              <w:bottom w:val="single" w:sz="12" w:space="0" w:color="086D44"/>
            </w:tcBorders>
          </w:tcPr>
          <w:p>
            <w:pPr>
              <w:pStyle w:val="TableParagraph"/>
              <w:spacing w:before="5"/>
              <w:jc w:val="left"/>
              <w:rPr>
                <w:rFonts w:ascii="Trebuchet MS"/>
                <w:sz w:val="19"/>
              </w:rPr>
            </w:pPr>
          </w:p>
          <w:p>
            <w:pPr>
              <w:pStyle w:val="TableParagraph"/>
              <w:spacing w:line="190" w:lineRule="exact" w:before="1"/>
              <w:ind w:left="304" w:right="286"/>
              <w:jc w:val="center"/>
              <w:rPr>
                <w:sz w:val="17"/>
              </w:rPr>
            </w:pPr>
            <w:r>
              <w:rPr>
                <w:sz w:val="17"/>
              </w:rPr>
              <w:t>7,7</w:t>
            </w:r>
          </w:p>
        </w:tc>
        <w:tc>
          <w:tcPr>
            <w:tcW w:w="595" w:type="dxa"/>
            <w:tcBorders>
              <w:bottom w:val="single" w:sz="12" w:space="0" w:color="086D44"/>
            </w:tcBorders>
          </w:tcPr>
          <w:p>
            <w:pPr>
              <w:pStyle w:val="TableParagraph"/>
              <w:spacing w:before="5"/>
              <w:jc w:val="left"/>
              <w:rPr>
                <w:rFonts w:ascii="Trebuchet MS"/>
                <w:sz w:val="19"/>
              </w:rPr>
            </w:pPr>
          </w:p>
          <w:p>
            <w:pPr>
              <w:pStyle w:val="TableParagraph"/>
              <w:spacing w:line="190" w:lineRule="exact" w:before="1"/>
              <w:ind w:right="152"/>
              <w:jc w:val="center"/>
              <w:rPr>
                <w:sz w:val="17"/>
              </w:rPr>
            </w:pPr>
            <w:r>
              <w:rPr>
                <w:sz w:val="17"/>
              </w:rPr>
              <w:t>4,9</w:t>
            </w:r>
          </w:p>
        </w:tc>
      </w:tr>
    </w:tbl>
    <w:p>
      <w:pPr>
        <w:pStyle w:val="BodyText"/>
        <w:rPr>
          <w:sz w:val="26"/>
        </w:rPr>
      </w:pPr>
    </w:p>
    <w:p>
      <w:pPr>
        <w:pStyle w:val="Heading2"/>
        <w:numPr>
          <w:ilvl w:val="1"/>
          <w:numId w:val="2"/>
        </w:numPr>
        <w:tabs>
          <w:tab w:pos="1669" w:val="left" w:leader="none"/>
        </w:tabs>
        <w:spacing w:line="218" w:lineRule="auto" w:before="223" w:after="0"/>
        <w:ind w:left="1668" w:right="1651" w:hanging="540"/>
        <w:jc w:val="left"/>
      </w:pPr>
      <w:r>
        <w:rPr>
          <w:color w:val="086D44"/>
        </w:rPr>
        <w:t>PRINCIPALI PROVVEDIMENTI DI FINANZA PUBBLICA</w:t>
      </w:r>
      <w:r>
        <w:rPr>
          <w:color w:val="086D44"/>
          <w:spacing w:val="-28"/>
        </w:rPr>
        <w:t> </w:t>
      </w:r>
      <w:r>
        <w:rPr>
          <w:color w:val="086D44"/>
        </w:rPr>
        <w:t>ADOTTATI NEL</w:t>
      </w:r>
      <w:r>
        <w:rPr>
          <w:color w:val="086D44"/>
          <w:spacing w:val="-2"/>
        </w:rPr>
        <w:t> </w:t>
      </w:r>
      <w:r>
        <w:rPr>
          <w:color w:val="086D44"/>
        </w:rPr>
        <w:t>2019</w:t>
      </w:r>
    </w:p>
    <w:p>
      <w:pPr>
        <w:pStyle w:val="BodyText"/>
        <w:spacing w:before="2"/>
        <w:rPr>
          <w:rFonts w:ascii="Franklin Gothic Heavy"/>
          <w:b/>
          <w:sz w:val="23"/>
        </w:rPr>
      </w:pPr>
    </w:p>
    <w:p>
      <w:pPr>
        <w:pStyle w:val="BodyText"/>
        <w:spacing w:line="252" w:lineRule="auto"/>
        <w:ind w:left="1128" w:right="1411" w:firstLine="453"/>
        <w:jc w:val="both"/>
      </w:pPr>
      <w:r>
        <w:rPr/>
        <w:t>A partire dal mese di aprile 2019 sono stati adottati diversi provvedimenti con carattere di urgenza, che determinano effetti ulteriori rispetto a quanto già incorporato nelle stime del Documento di Economia e Finanza 2019. Tra questi, i principali</w:t>
      </w:r>
      <w:r>
        <w:rPr>
          <w:vertAlign w:val="superscript"/>
        </w:rPr>
        <w:t>53</w:t>
      </w:r>
      <w:r>
        <w:rPr>
          <w:vertAlign w:val="baseline"/>
        </w:rPr>
        <w:t> prevedono disposizioni volte a favorire la crescita economica e a dare impulso al sistema produttivo del Paese, attraverso disposizioni ordinamentali di semplificazione del quadro normativo in materia di contratti e di progettazione</w:t>
      </w:r>
      <w:r>
        <w:rPr>
          <w:spacing w:val="53"/>
          <w:vertAlign w:val="baseline"/>
        </w:rPr>
        <w:t> </w:t>
      </w:r>
      <w:r>
        <w:rPr>
          <w:vertAlign w:val="baseline"/>
        </w:rPr>
        <w:t>di</w:t>
      </w:r>
    </w:p>
    <w:p>
      <w:pPr>
        <w:pStyle w:val="BodyText"/>
        <w:rPr>
          <w:sz w:val="20"/>
        </w:rPr>
      </w:pPr>
    </w:p>
    <w:p>
      <w:pPr>
        <w:pStyle w:val="BodyText"/>
        <w:rPr>
          <w:sz w:val="20"/>
        </w:rPr>
      </w:pPr>
    </w:p>
    <w:p>
      <w:pPr>
        <w:pStyle w:val="BodyText"/>
        <w:rPr>
          <w:sz w:val="20"/>
        </w:rPr>
      </w:pPr>
    </w:p>
    <w:p>
      <w:pPr>
        <w:pStyle w:val="BodyText"/>
        <w:rPr>
          <w:sz w:val="14"/>
        </w:rPr>
      </w:pPr>
      <w:r>
        <w:rPr/>
        <w:pict>
          <v:group style="position:absolute;margin-left:136.100006pt;margin-top:10.100761pt;width:21.4pt;height:2.1pt;mso-position-horizontal-relative:page;mso-position-vertical-relative:paragraph;z-index:-251469824;mso-wrap-distance-left:0;mso-wrap-distance-right:0" coordorigin="2722,202" coordsize="428,42">
            <v:line style="position:absolute" from="2722,222" to="3149,222" stroked="true" strokeweight="2pt" strokecolor="#aaaaaa">
              <v:stroke dashstyle="solid"/>
            </v:line>
            <v:rect style="position:absolute;left:2722;top:203;width:5;height:5" filled="true" fillcolor="#9f9f9f" stroked="false">
              <v:fill type="solid"/>
            </v:rect>
            <v:rect style="position:absolute;left:2722;top:203;width:5;height:5" filled="true" fillcolor="#9f9f9f" stroked="false">
              <v:fill type="solid"/>
            </v:rect>
            <v:line style="position:absolute" from="2727,205" to="3144,205" stroked="true" strokeweight=".23999pt" strokecolor="#9f9f9f">
              <v:stroke dashstyle="solid"/>
            </v:line>
            <v:rect style="position:absolute;left:3144;top:203;width:5;height:5" filled="true" fillcolor="#e2e2e2" stroked="false">
              <v:fill type="solid"/>
            </v:rect>
            <v:rect style="position:absolute;left:3144;top:203;width:5;height:5" filled="true" fillcolor="#9f9f9f" stroked="false">
              <v:fill type="solid"/>
            </v:rect>
            <v:rect style="position:absolute;left:2722;top:207;width:5;height:32" filled="true" fillcolor="#9f9f9f" stroked="false">
              <v:fill type="solid"/>
            </v:rect>
            <v:rect style="position:absolute;left:3144;top:207;width:5;height:32" filled="true" fillcolor="#e2e2e2" stroked="false">
              <v:fill type="solid"/>
            </v:rect>
            <v:rect style="position:absolute;left:2722;top:239;width:5;height:5" filled="true" fillcolor="#9f9f9f" stroked="false">
              <v:fill type="solid"/>
            </v:rect>
            <v:rect style="position:absolute;left:2722;top:239;width:5;height:5" filled="true" fillcolor="#e2e2e2" stroked="false">
              <v:fill type="solid"/>
            </v:rect>
            <v:line style="position:absolute" from="2727,241" to="3144,241" stroked="true" strokeweight=".23999pt" strokecolor="#e2e2e2">
              <v:stroke dashstyle="solid"/>
            </v:line>
            <v:rect style="position:absolute;left:3144;top:239;width:5;height:5" filled="true" fillcolor="#e2e2e2" stroked="false">
              <v:fill type="solid"/>
            </v:rect>
            <v:rect style="position:absolute;left:3144;top:239;width:5;height:5" filled="true" fillcolor="#e2e2e2" stroked="false">
              <v:fill type="solid"/>
            </v:rect>
            <w10:wrap type="topAndBottom"/>
          </v:group>
        </w:pict>
      </w:r>
    </w:p>
    <w:p>
      <w:pPr>
        <w:spacing w:before="20"/>
        <w:ind w:left="1128" w:right="1411" w:firstLine="453"/>
        <w:jc w:val="both"/>
        <w:rPr>
          <w:sz w:val="16"/>
        </w:rPr>
      </w:pPr>
      <w:r>
        <w:rPr>
          <w:position w:val="6"/>
          <w:sz w:val="10"/>
        </w:rPr>
        <w:t>53 </w:t>
      </w:r>
      <w:r>
        <w:rPr>
          <w:sz w:val="16"/>
        </w:rPr>
        <w:t>Si tratta nello specifico del D.L. n. 32/2019 recante ‘Disposizioni urgenti per il rilancio del settore dei contratti pubblici, per l'accelerazione degli interventi infrastrutturali, di rigenerazione urbana e di ricostruzione a seguito di eventi sismici’, convertito con modificazioni dalla L. n. 55 del 14 giugno 2019 e del D.L. n. 34/2019, recante ‘Misure urgenti di crescita economica e per la risoluzione di specifiche situazioni di crisi’, convertito </w:t>
      </w:r>
      <w:r>
        <w:rPr>
          <w:spacing w:val="-3"/>
          <w:sz w:val="16"/>
        </w:rPr>
        <w:t>con </w:t>
      </w:r>
      <w:r>
        <w:rPr>
          <w:sz w:val="16"/>
        </w:rPr>
        <w:t>modificazioni</w:t>
      </w:r>
      <w:r>
        <w:rPr>
          <w:spacing w:val="-5"/>
          <w:sz w:val="16"/>
        </w:rPr>
        <w:t> </w:t>
      </w:r>
      <w:r>
        <w:rPr>
          <w:sz w:val="16"/>
        </w:rPr>
        <w:t>dalla</w:t>
      </w:r>
      <w:r>
        <w:rPr>
          <w:spacing w:val="-6"/>
          <w:sz w:val="16"/>
        </w:rPr>
        <w:t> </w:t>
      </w:r>
      <w:r>
        <w:rPr>
          <w:sz w:val="16"/>
        </w:rPr>
        <w:t>L.</w:t>
      </w:r>
      <w:r>
        <w:rPr>
          <w:spacing w:val="-3"/>
          <w:sz w:val="16"/>
        </w:rPr>
        <w:t> </w:t>
      </w:r>
      <w:r>
        <w:rPr>
          <w:sz w:val="16"/>
        </w:rPr>
        <w:t>n.</w:t>
      </w:r>
      <w:r>
        <w:rPr>
          <w:spacing w:val="-4"/>
          <w:sz w:val="16"/>
        </w:rPr>
        <w:t> </w:t>
      </w:r>
      <w:r>
        <w:rPr>
          <w:sz w:val="16"/>
        </w:rPr>
        <w:t>58</w:t>
      </w:r>
      <w:r>
        <w:rPr>
          <w:spacing w:val="-6"/>
          <w:sz w:val="16"/>
        </w:rPr>
        <w:t> </w:t>
      </w:r>
      <w:r>
        <w:rPr>
          <w:sz w:val="16"/>
        </w:rPr>
        <w:t>del</w:t>
      </w:r>
      <w:r>
        <w:rPr>
          <w:spacing w:val="-4"/>
          <w:sz w:val="16"/>
        </w:rPr>
        <w:t> </w:t>
      </w:r>
      <w:r>
        <w:rPr>
          <w:sz w:val="16"/>
        </w:rPr>
        <w:t>28</w:t>
      </w:r>
      <w:r>
        <w:rPr>
          <w:spacing w:val="-6"/>
          <w:sz w:val="16"/>
        </w:rPr>
        <w:t> </w:t>
      </w:r>
      <w:r>
        <w:rPr>
          <w:sz w:val="16"/>
        </w:rPr>
        <w:t>giugno</w:t>
      </w:r>
      <w:r>
        <w:rPr>
          <w:spacing w:val="-4"/>
          <w:sz w:val="16"/>
        </w:rPr>
        <w:t> </w:t>
      </w:r>
      <w:r>
        <w:rPr>
          <w:sz w:val="16"/>
        </w:rPr>
        <w:t>2019.</w:t>
      </w:r>
      <w:r>
        <w:rPr>
          <w:spacing w:val="-4"/>
          <w:sz w:val="16"/>
        </w:rPr>
        <w:t> </w:t>
      </w:r>
      <w:r>
        <w:rPr>
          <w:sz w:val="16"/>
        </w:rPr>
        <w:t>È</w:t>
      </w:r>
      <w:r>
        <w:rPr>
          <w:spacing w:val="-5"/>
          <w:sz w:val="16"/>
        </w:rPr>
        <w:t> </w:t>
      </w:r>
      <w:r>
        <w:rPr>
          <w:sz w:val="16"/>
        </w:rPr>
        <w:t>stato</w:t>
      </w:r>
      <w:r>
        <w:rPr>
          <w:spacing w:val="-4"/>
          <w:sz w:val="16"/>
        </w:rPr>
        <w:t> </w:t>
      </w:r>
      <w:r>
        <w:rPr>
          <w:sz w:val="16"/>
        </w:rPr>
        <w:t>inoltre</w:t>
      </w:r>
      <w:r>
        <w:rPr>
          <w:spacing w:val="-4"/>
          <w:sz w:val="16"/>
        </w:rPr>
        <w:t> </w:t>
      </w:r>
      <w:r>
        <w:rPr>
          <w:sz w:val="16"/>
        </w:rPr>
        <w:t>adottato</w:t>
      </w:r>
      <w:r>
        <w:rPr>
          <w:spacing w:val="-5"/>
          <w:sz w:val="16"/>
        </w:rPr>
        <w:t> </w:t>
      </w:r>
      <w:r>
        <w:rPr>
          <w:sz w:val="16"/>
        </w:rPr>
        <w:t>il</w:t>
      </w:r>
      <w:r>
        <w:rPr>
          <w:spacing w:val="-4"/>
          <w:sz w:val="16"/>
        </w:rPr>
        <w:t> </w:t>
      </w:r>
      <w:r>
        <w:rPr>
          <w:sz w:val="16"/>
        </w:rPr>
        <w:t>D.L.</w:t>
      </w:r>
      <w:r>
        <w:rPr>
          <w:spacing w:val="-6"/>
          <w:sz w:val="16"/>
        </w:rPr>
        <w:t> </w:t>
      </w:r>
      <w:r>
        <w:rPr>
          <w:sz w:val="16"/>
        </w:rPr>
        <w:t>n.</w:t>
      </w:r>
      <w:r>
        <w:rPr>
          <w:spacing w:val="-3"/>
          <w:sz w:val="16"/>
        </w:rPr>
        <w:t> </w:t>
      </w:r>
      <w:r>
        <w:rPr>
          <w:sz w:val="16"/>
        </w:rPr>
        <w:t>61/2019,</w:t>
      </w:r>
      <w:r>
        <w:rPr>
          <w:spacing w:val="-4"/>
          <w:sz w:val="16"/>
        </w:rPr>
        <w:t> </w:t>
      </w:r>
      <w:r>
        <w:rPr>
          <w:sz w:val="16"/>
        </w:rPr>
        <w:t>recante</w:t>
      </w:r>
      <w:r>
        <w:rPr>
          <w:spacing w:val="-4"/>
          <w:sz w:val="16"/>
        </w:rPr>
        <w:t> </w:t>
      </w:r>
      <w:r>
        <w:rPr>
          <w:sz w:val="16"/>
        </w:rPr>
        <w:t>‘Misure</w:t>
      </w:r>
      <w:r>
        <w:rPr>
          <w:spacing w:val="-3"/>
          <w:sz w:val="16"/>
        </w:rPr>
        <w:t> </w:t>
      </w:r>
      <w:r>
        <w:rPr>
          <w:sz w:val="16"/>
        </w:rPr>
        <w:t>urgenti in materia di miglioramento dei saldi di finanza pubblica’, convertito dalla L. n. 85 del 1 agosto 2019. Tra gli altri provvedimenti</w:t>
      </w:r>
      <w:r>
        <w:rPr>
          <w:spacing w:val="-5"/>
          <w:sz w:val="16"/>
        </w:rPr>
        <w:t> </w:t>
      </w:r>
      <w:r>
        <w:rPr>
          <w:sz w:val="16"/>
        </w:rPr>
        <w:t>adottati</w:t>
      </w:r>
      <w:r>
        <w:rPr>
          <w:spacing w:val="-5"/>
          <w:sz w:val="16"/>
        </w:rPr>
        <w:t> </w:t>
      </w:r>
      <w:r>
        <w:rPr>
          <w:sz w:val="16"/>
        </w:rPr>
        <w:t>con</w:t>
      </w:r>
      <w:r>
        <w:rPr>
          <w:spacing w:val="-5"/>
          <w:sz w:val="16"/>
        </w:rPr>
        <w:t> </w:t>
      </w:r>
      <w:r>
        <w:rPr>
          <w:sz w:val="16"/>
        </w:rPr>
        <w:t>effetti</w:t>
      </w:r>
      <w:r>
        <w:rPr>
          <w:spacing w:val="-5"/>
          <w:sz w:val="16"/>
        </w:rPr>
        <w:t> </w:t>
      </w:r>
      <w:r>
        <w:rPr>
          <w:sz w:val="16"/>
        </w:rPr>
        <w:t>sostanzialmente</w:t>
      </w:r>
      <w:r>
        <w:rPr>
          <w:spacing w:val="-4"/>
          <w:sz w:val="16"/>
        </w:rPr>
        <w:t> </w:t>
      </w:r>
      <w:r>
        <w:rPr>
          <w:sz w:val="16"/>
        </w:rPr>
        <w:t>neutrali</w:t>
      </w:r>
      <w:r>
        <w:rPr>
          <w:spacing w:val="-4"/>
          <w:sz w:val="16"/>
        </w:rPr>
        <w:t> </w:t>
      </w:r>
      <w:r>
        <w:rPr>
          <w:sz w:val="16"/>
        </w:rPr>
        <w:t>sui</w:t>
      </w:r>
      <w:r>
        <w:rPr>
          <w:spacing w:val="-5"/>
          <w:sz w:val="16"/>
        </w:rPr>
        <w:t> </w:t>
      </w:r>
      <w:r>
        <w:rPr>
          <w:sz w:val="16"/>
        </w:rPr>
        <w:t>saldi</w:t>
      </w:r>
      <w:r>
        <w:rPr>
          <w:spacing w:val="-5"/>
          <w:sz w:val="16"/>
        </w:rPr>
        <w:t> </w:t>
      </w:r>
      <w:r>
        <w:rPr>
          <w:sz w:val="16"/>
        </w:rPr>
        <w:t>di</w:t>
      </w:r>
      <w:r>
        <w:rPr>
          <w:spacing w:val="-5"/>
          <w:sz w:val="16"/>
        </w:rPr>
        <w:t> </w:t>
      </w:r>
      <w:r>
        <w:rPr>
          <w:sz w:val="16"/>
        </w:rPr>
        <w:t>finanza</w:t>
      </w:r>
      <w:r>
        <w:rPr>
          <w:spacing w:val="-5"/>
          <w:sz w:val="16"/>
        </w:rPr>
        <w:t> </w:t>
      </w:r>
      <w:r>
        <w:rPr>
          <w:sz w:val="16"/>
        </w:rPr>
        <w:t>pubblica</w:t>
      </w:r>
      <w:r>
        <w:rPr>
          <w:spacing w:val="-6"/>
          <w:sz w:val="16"/>
        </w:rPr>
        <w:t> </w:t>
      </w:r>
      <w:r>
        <w:rPr>
          <w:sz w:val="16"/>
        </w:rPr>
        <w:t>si</w:t>
      </w:r>
      <w:r>
        <w:rPr>
          <w:spacing w:val="-4"/>
          <w:sz w:val="16"/>
        </w:rPr>
        <w:t> </w:t>
      </w:r>
      <w:r>
        <w:rPr>
          <w:sz w:val="16"/>
        </w:rPr>
        <w:t>ricordano</w:t>
      </w:r>
      <w:r>
        <w:rPr>
          <w:spacing w:val="-5"/>
          <w:sz w:val="16"/>
        </w:rPr>
        <w:t> </w:t>
      </w:r>
      <w:r>
        <w:rPr>
          <w:sz w:val="16"/>
        </w:rPr>
        <w:t>anche:</w:t>
      </w:r>
      <w:r>
        <w:rPr>
          <w:spacing w:val="-4"/>
          <w:sz w:val="16"/>
        </w:rPr>
        <w:t> </w:t>
      </w:r>
      <w:r>
        <w:rPr>
          <w:sz w:val="16"/>
        </w:rPr>
        <w:t>il</w:t>
      </w:r>
      <w:r>
        <w:rPr>
          <w:spacing w:val="-5"/>
          <w:sz w:val="16"/>
        </w:rPr>
        <w:t> </w:t>
      </w:r>
      <w:r>
        <w:rPr>
          <w:sz w:val="16"/>
        </w:rPr>
        <w:t>D.L.</w:t>
      </w:r>
    </w:p>
    <w:p>
      <w:pPr>
        <w:spacing w:line="240" w:lineRule="auto" w:before="0"/>
        <w:ind w:left="1128" w:right="1413" w:firstLine="0"/>
        <w:jc w:val="both"/>
        <w:rPr>
          <w:sz w:val="16"/>
        </w:rPr>
      </w:pPr>
      <w:r>
        <w:rPr>
          <w:sz w:val="16"/>
        </w:rPr>
        <w:t>n. 35/2019, recante ‘Misure emergenziali per il servizio sanitario della Regione Calabria e altre misure urgenti in materia sanitaria’, convertito con modificazioni dalla L. n. 60 del 25 giugno 2019; il D.L. n. 53/2019 recante ‘Disposizioni urgenti in materia di ordine e sicurezza pubblica’, convertito con modificazioni dalla L. n.77 dell’8 agosto 2019; il D.L. n. 59/2019 recante ‘Misure urgenti in materia di personale delle fondazioni lirico sinfoniche, di</w:t>
      </w:r>
      <w:r>
        <w:rPr>
          <w:spacing w:val="-5"/>
          <w:sz w:val="16"/>
        </w:rPr>
        <w:t> </w:t>
      </w:r>
      <w:r>
        <w:rPr>
          <w:sz w:val="16"/>
        </w:rPr>
        <w:t>sostegno</w:t>
      </w:r>
      <w:r>
        <w:rPr>
          <w:spacing w:val="-5"/>
          <w:sz w:val="16"/>
        </w:rPr>
        <w:t> </w:t>
      </w:r>
      <w:r>
        <w:rPr>
          <w:sz w:val="16"/>
        </w:rPr>
        <w:t>del</w:t>
      </w:r>
      <w:r>
        <w:rPr>
          <w:spacing w:val="-5"/>
          <w:sz w:val="16"/>
        </w:rPr>
        <w:t> </w:t>
      </w:r>
      <w:r>
        <w:rPr>
          <w:sz w:val="16"/>
        </w:rPr>
        <w:t>settore</w:t>
      </w:r>
      <w:r>
        <w:rPr>
          <w:spacing w:val="-3"/>
          <w:sz w:val="16"/>
        </w:rPr>
        <w:t> </w:t>
      </w:r>
      <w:r>
        <w:rPr>
          <w:sz w:val="16"/>
        </w:rPr>
        <w:t>del</w:t>
      </w:r>
      <w:r>
        <w:rPr>
          <w:spacing w:val="-5"/>
          <w:sz w:val="16"/>
        </w:rPr>
        <w:t> </w:t>
      </w:r>
      <w:r>
        <w:rPr>
          <w:sz w:val="16"/>
        </w:rPr>
        <w:t>cinema</w:t>
      </w:r>
      <w:r>
        <w:rPr>
          <w:spacing w:val="-6"/>
          <w:sz w:val="16"/>
        </w:rPr>
        <w:t> </w:t>
      </w:r>
      <w:r>
        <w:rPr>
          <w:sz w:val="16"/>
        </w:rPr>
        <w:t>e</w:t>
      </w:r>
      <w:r>
        <w:rPr>
          <w:spacing w:val="-4"/>
          <w:sz w:val="16"/>
        </w:rPr>
        <w:t> </w:t>
      </w:r>
      <w:r>
        <w:rPr>
          <w:sz w:val="16"/>
        </w:rPr>
        <w:t>audiovisivo</w:t>
      </w:r>
      <w:r>
        <w:rPr>
          <w:spacing w:val="-4"/>
          <w:sz w:val="16"/>
        </w:rPr>
        <w:t> </w:t>
      </w:r>
      <w:r>
        <w:rPr>
          <w:sz w:val="16"/>
        </w:rPr>
        <w:t>e</w:t>
      </w:r>
      <w:r>
        <w:rPr>
          <w:spacing w:val="-4"/>
          <w:sz w:val="16"/>
        </w:rPr>
        <w:t> </w:t>
      </w:r>
      <w:r>
        <w:rPr>
          <w:sz w:val="16"/>
        </w:rPr>
        <w:t>finanziamento</w:t>
      </w:r>
      <w:r>
        <w:rPr>
          <w:spacing w:val="-5"/>
          <w:sz w:val="16"/>
        </w:rPr>
        <w:t> </w:t>
      </w:r>
      <w:r>
        <w:rPr>
          <w:sz w:val="16"/>
        </w:rPr>
        <w:t>delle</w:t>
      </w:r>
      <w:r>
        <w:rPr>
          <w:spacing w:val="-3"/>
          <w:sz w:val="16"/>
        </w:rPr>
        <w:t> </w:t>
      </w:r>
      <w:r>
        <w:rPr>
          <w:sz w:val="16"/>
        </w:rPr>
        <w:t>attività</w:t>
      </w:r>
      <w:r>
        <w:rPr>
          <w:spacing w:val="-6"/>
          <w:sz w:val="16"/>
        </w:rPr>
        <w:t> </w:t>
      </w:r>
      <w:r>
        <w:rPr>
          <w:sz w:val="16"/>
        </w:rPr>
        <w:t>del</w:t>
      </w:r>
      <w:r>
        <w:rPr>
          <w:spacing w:val="-5"/>
          <w:sz w:val="16"/>
        </w:rPr>
        <w:t> </w:t>
      </w:r>
      <w:r>
        <w:rPr>
          <w:sz w:val="16"/>
        </w:rPr>
        <w:t>Ministero</w:t>
      </w:r>
      <w:r>
        <w:rPr>
          <w:spacing w:val="-5"/>
          <w:sz w:val="16"/>
        </w:rPr>
        <w:t> </w:t>
      </w:r>
      <w:r>
        <w:rPr>
          <w:sz w:val="16"/>
        </w:rPr>
        <w:t>per</w:t>
      </w:r>
      <w:r>
        <w:rPr>
          <w:spacing w:val="-4"/>
          <w:sz w:val="16"/>
        </w:rPr>
        <w:t> </w:t>
      </w:r>
      <w:r>
        <w:rPr>
          <w:sz w:val="16"/>
        </w:rPr>
        <w:t>i</w:t>
      </w:r>
      <w:r>
        <w:rPr>
          <w:spacing w:val="-5"/>
          <w:sz w:val="16"/>
        </w:rPr>
        <w:t> </w:t>
      </w:r>
      <w:r>
        <w:rPr>
          <w:sz w:val="16"/>
        </w:rPr>
        <w:t>beni</w:t>
      </w:r>
      <w:r>
        <w:rPr>
          <w:spacing w:val="-5"/>
          <w:sz w:val="16"/>
        </w:rPr>
        <w:t> </w:t>
      </w:r>
      <w:r>
        <w:rPr>
          <w:sz w:val="16"/>
        </w:rPr>
        <w:t>e</w:t>
      </w:r>
      <w:r>
        <w:rPr>
          <w:spacing w:val="-3"/>
          <w:sz w:val="16"/>
        </w:rPr>
        <w:t> </w:t>
      </w:r>
      <w:r>
        <w:rPr>
          <w:sz w:val="16"/>
        </w:rPr>
        <w:t>le</w:t>
      </w:r>
      <w:r>
        <w:rPr>
          <w:spacing w:val="-4"/>
          <w:sz w:val="16"/>
        </w:rPr>
        <w:t> </w:t>
      </w:r>
      <w:r>
        <w:rPr>
          <w:sz w:val="16"/>
        </w:rPr>
        <w:t>attività culturali, di credito d'imposta per investimenti pubblicitari nei settori editoriale, televisivo e radiofonico, di normativa antincendio negli edifici scolastici e per lo svolgimento della manifestazione UEFA Euro 2020, nonché misure a favore degli istituti superiori musicali e delle accademie di belle arti non statali’, convertito con modificazioni dalla L. n. 81 dell’8 agosto 2019 e il D.L. n. 101/2019 recante ‘Disposizioni urgenti per la tutela del lavoro e per la risoluzione di crisi</w:t>
      </w:r>
      <w:r>
        <w:rPr>
          <w:spacing w:val="-9"/>
          <w:sz w:val="16"/>
        </w:rPr>
        <w:t> </w:t>
      </w:r>
      <w:r>
        <w:rPr>
          <w:sz w:val="16"/>
        </w:rPr>
        <w:t>aziendali’.</w:t>
      </w:r>
    </w:p>
    <w:p>
      <w:pPr>
        <w:spacing w:after="0" w:line="240" w:lineRule="auto"/>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278" w:right="2264"/>
        <w:jc w:val="both"/>
      </w:pPr>
      <w:r>
        <w:rPr/>
        <w:t>opere pubbliche e misure di agevolazione fiscale e rilancio degli investimenti pubblici e privati.</w:t>
      </w:r>
    </w:p>
    <w:p>
      <w:pPr>
        <w:pStyle w:val="BodyText"/>
        <w:spacing w:line="252" w:lineRule="auto" w:before="2"/>
        <w:ind w:left="278" w:right="2263" w:firstLine="453"/>
        <w:jc w:val="both"/>
      </w:pPr>
      <w:r>
        <w:rPr/>
        <w:t>Complessivamente i provvedimenti considerati comportano una modesta ricomposizione delle voci di entrata e di spesa con effetti sostanzialmente trascurabili sul saldo del conto consolidato della PA nel periodo  2019-2022  (Tavola</w:t>
      </w:r>
      <w:r>
        <w:rPr>
          <w:spacing w:val="-2"/>
        </w:rPr>
        <w:t> </w:t>
      </w:r>
      <w:r>
        <w:rPr/>
        <w:t>III.9).</w:t>
      </w:r>
    </w:p>
    <w:p>
      <w:pPr>
        <w:pStyle w:val="BodyText"/>
        <w:spacing w:before="8" w:after="1"/>
        <w:rPr>
          <w:sz w:val="23"/>
        </w:rPr>
      </w:pPr>
    </w:p>
    <w:tbl>
      <w:tblPr>
        <w:tblW w:w="0" w:type="auto"/>
        <w:jc w:val="left"/>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1"/>
        <w:gridCol w:w="1180"/>
        <w:gridCol w:w="1020"/>
        <w:gridCol w:w="1020"/>
        <w:gridCol w:w="1020"/>
      </w:tblGrid>
      <w:tr>
        <w:trPr>
          <w:trHeight w:val="455" w:hRule="atLeast"/>
        </w:trPr>
        <w:tc>
          <w:tcPr>
            <w:tcW w:w="8261" w:type="dxa"/>
            <w:gridSpan w:val="5"/>
            <w:tcBorders>
              <w:bottom w:val="single" w:sz="8" w:space="0" w:color="000000"/>
            </w:tcBorders>
            <w:shd w:val="clear" w:color="auto" w:fill="086939"/>
          </w:tcPr>
          <w:p>
            <w:pPr>
              <w:pStyle w:val="TableParagraph"/>
              <w:spacing w:line="186" w:lineRule="exact" w:before="36"/>
              <w:ind w:left="98"/>
              <w:jc w:val="left"/>
              <w:rPr>
                <w:rFonts w:ascii="Franklin Gothic Heavy"/>
                <w:b/>
                <w:sz w:val="17"/>
              </w:rPr>
            </w:pPr>
            <w:r>
              <w:rPr>
                <w:rFonts w:ascii="Franklin Gothic Heavy"/>
                <w:b/>
                <w:color w:val="EFEFEF"/>
                <w:sz w:val="17"/>
              </w:rPr>
              <w:t>TAVOLA III.9: EFFETTI CUMULATI DEGLI ULTIMI PROVVEDIMENTI VARATI NEL 2019 SULL'INDEBITAMENTO</w:t>
            </w:r>
          </w:p>
          <w:p>
            <w:pPr>
              <w:pStyle w:val="TableParagraph"/>
              <w:spacing w:line="186" w:lineRule="exact"/>
              <w:ind w:left="98"/>
              <w:jc w:val="left"/>
              <w:rPr>
                <w:rFonts w:ascii="Franklin Gothic Heavy"/>
                <w:b/>
                <w:sz w:val="17"/>
              </w:rPr>
            </w:pPr>
            <w:r>
              <w:rPr>
                <w:rFonts w:ascii="Franklin Gothic Heavy"/>
                <w:b/>
                <w:color w:val="EFEFEF"/>
                <w:sz w:val="17"/>
              </w:rPr>
              <w:t>NETTO DELLA PA </w:t>
            </w:r>
            <w:r>
              <w:rPr>
                <w:rFonts w:ascii="Franklin Gothic Heavy"/>
                <w:b/>
                <w:color w:val="FFFFFF"/>
                <w:sz w:val="17"/>
              </w:rPr>
              <w:t>(valori in milioni; al lordo degli oneri riflessi)</w:t>
            </w:r>
          </w:p>
        </w:tc>
      </w:tr>
      <w:tr>
        <w:trPr>
          <w:trHeight w:val="282" w:hRule="atLeast"/>
        </w:trPr>
        <w:tc>
          <w:tcPr>
            <w:tcW w:w="4021" w:type="dxa"/>
            <w:tcBorders>
              <w:top w:val="single" w:sz="8" w:space="0" w:color="000000"/>
              <w:bottom w:val="single" w:sz="4" w:space="0" w:color="000000"/>
            </w:tcBorders>
          </w:tcPr>
          <w:p>
            <w:pPr>
              <w:pStyle w:val="TableParagraph"/>
              <w:jc w:val="left"/>
              <w:rPr>
                <w:rFonts w:ascii="Times New Roman"/>
                <w:sz w:val="18"/>
              </w:rPr>
            </w:pPr>
          </w:p>
        </w:tc>
        <w:tc>
          <w:tcPr>
            <w:tcW w:w="1180" w:type="dxa"/>
            <w:tcBorders>
              <w:top w:val="single" w:sz="8" w:space="0" w:color="000000"/>
              <w:bottom w:val="single" w:sz="4" w:space="0" w:color="000000"/>
            </w:tcBorders>
          </w:tcPr>
          <w:p>
            <w:pPr>
              <w:pStyle w:val="TableParagraph"/>
              <w:spacing w:before="38"/>
              <w:ind w:left="450" w:right="291"/>
              <w:jc w:val="center"/>
              <w:rPr>
                <w:sz w:val="17"/>
              </w:rPr>
            </w:pPr>
            <w:r>
              <w:rPr>
                <w:sz w:val="17"/>
              </w:rPr>
              <w:t>2019</w:t>
            </w:r>
          </w:p>
        </w:tc>
        <w:tc>
          <w:tcPr>
            <w:tcW w:w="1020" w:type="dxa"/>
            <w:tcBorders>
              <w:top w:val="single" w:sz="8" w:space="0" w:color="000000"/>
              <w:bottom w:val="single" w:sz="4" w:space="0" w:color="000000"/>
            </w:tcBorders>
          </w:tcPr>
          <w:p>
            <w:pPr>
              <w:pStyle w:val="TableParagraph"/>
              <w:spacing w:before="38"/>
              <w:ind w:left="290" w:right="290"/>
              <w:jc w:val="center"/>
              <w:rPr>
                <w:sz w:val="17"/>
              </w:rPr>
            </w:pPr>
            <w:r>
              <w:rPr>
                <w:sz w:val="17"/>
              </w:rPr>
              <w:t>2020</w:t>
            </w:r>
          </w:p>
        </w:tc>
        <w:tc>
          <w:tcPr>
            <w:tcW w:w="1020" w:type="dxa"/>
            <w:tcBorders>
              <w:top w:val="single" w:sz="8" w:space="0" w:color="000000"/>
              <w:bottom w:val="single" w:sz="4" w:space="0" w:color="000000"/>
            </w:tcBorders>
          </w:tcPr>
          <w:p>
            <w:pPr>
              <w:pStyle w:val="TableParagraph"/>
              <w:spacing w:before="38"/>
              <w:ind w:left="290" w:right="290"/>
              <w:jc w:val="center"/>
              <w:rPr>
                <w:sz w:val="17"/>
              </w:rPr>
            </w:pPr>
            <w:r>
              <w:rPr>
                <w:sz w:val="17"/>
              </w:rPr>
              <w:t>2021</w:t>
            </w:r>
          </w:p>
        </w:tc>
        <w:tc>
          <w:tcPr>
            <w:tcW w:w="1020" w:type="dxa"/>
            <w:tcBorders>
              <w:top w:val="single" w:sz="8" w:space="0" w:color="000000"/>
              <w:bottom w:val="single" w:sz="4" w:space="0" w:color="000000"/>
            </w:tcBorders>
          </w:tcPr>
          <w:p>
            <w:pPr>
              <w:pStyle w:val="TableParagraph"/>
              <w:spacing w:before="38"/>
              <w:ind w:left="290" w:right="289"/>
              <w:jc w:val="center"/>
              <w:rPr>
                <w:sz w:val="17"/>
              </w:rPr>
            </w:pPr>
            <w:r>
              <w:rPr>
                <w:sz w:val="17"/>
              </w:rPr>
              <w:t>2022</w:t>
            </w:r>
          </w:p>
        </w:tc>
      </w:tr>
      <w:tr>
        <w:trPr>
          <w:trHeight w:val="266" w:hRule="atLeast"/>
        </w:trPr>
        <w:tc>
          <w:tcPr>
            <w:tcW w:w="4021" w:type="dxa"/>
            <w:tcBorders>
              <w:top w:val="single" w:sz="4" w:space="0" w:color="000000"/>
            </w:tcBorders>
          </w:tcPr>
          <w:p>
            <w:pPr>
              <w:pStyle w:val="TableParagraph"/>
              <w:spacing w:before="28"/>
              <w:ind w:left="69"/>
              <w:jc w:val="left"/>
              <w:rPr>
                <w:sz w:val="17"/>
              </w:rPr>
            </w:pPr>
            <w:r>
              <w:rPr>
                <w:sz w:val="17"/>
              </w:rPr>
              <w:t>D.L. n. 32/2019 (convertito dalla L. n. 55/2019)</w:t>
            </w:r>
          </w:p>
        </w:tc>
        <w:tc>
          <w:tcPr>
            <w:tcW w:w="1180" w:type="dxa"/>
            <w:tcBorders>
              <w:top w:val="single" w:sz="4" w:space="0" w:color="000000"/>
            </w:tcBorders>
          </w:tcPr>
          <w:p>
            <w:pPr>
              <w:pStyle w:val="TableParagraph"/>
              <w:spacing w:before="28"/>
              <w:ind w:left="157"/>
              <w:jc w:val="center"/>
              <w:rPr>
                <w:sz w:val="17"/>
              </w:rPr>
            </w:pPr>
            <w:r>
              <w:rPr>
                <w:w w:val="100"/>
                <w:sz w:val="17"/>
              </w:rPr>
              <w:t>3</w:t>
            </w:r>
          </w:p>
        </w:tc>
        <w:tc>
          <w:tcPr>
            <w:tcW w:w="1020" w:type="dxa"/>
            <w:tcBorders>
              <w:top w:val="single" w:sz="4" w:space="0" w:color="000000"/>
            </w:tcBorders>
          </w:tcPr>
          <w:p>
            <w:pPr>
              <w:pStyle w:val="TableParagraph"/>
              <w:spacing w:before="28"/>
              <w:ind w:right="1"/>
              <w:jc w:val="center"/>
              <w:rPr>
                <w:sz w:val="17"/>
              </w:rPr>
            </w:pPr>
            <w:r>
              <w:rPr>
                <w:w w:val="100"/>
                <w:sz w:val="17"/>
              </w:rPr>
              <w:t>5</w:t>
            </w:r>
          </w:p>
        </w:tc>
        <w:tc>
          <w:tcPr>
            <w:tcW w:w="1020" w:type="dxa"/>
            <w:tcBorders>
              <w:top w:val="single" w:sz="4" w:space="0" w:color="000000"/>
            </w:tcBorders>
          </w:tcPr>
          <w:p>
            <w:pPr>
              <w:pStyle w:val="TableParagraph"/>
              <w:spacing w:before="28"/>
              <w:ind w:right="1"/>
              <w:jc w:val="center"/>
              <w:rPr>
                <w:sz w:val="17"/>
              </w:rPr>
            </w:pPr>
            <w:r>
              <w:rPr>
                <w:w w:val="100"/>
                <w:sz w:val="17"/>
              </w:rPr>
              <w:t>0</w:t>
            </w:r>
          </w:p>
        </w:tc>
        <w:tc>
          <w:tcPr>
            <w:tcW w:w="1020" w:type="dxa"/>
            <w:tcBorders>
              <w:top w:val="single" w:sz="4" w:space="0" w:color="000000"/>
            </w:tcBorders>
          </w:tcPr>
          <w:p>
            <w:pPr>
              <w:pStyle w:val="TableParagraph"/>
              <w:spacing w:before="28"/>
              <w:jc w:val="center"/>
              <w:rPr>
                <w:sz w:val="17"/>
              </w:rPr>
            </w:pPr>
            <w:r>
              <w:rPr>
                <w:w w:val="100"/>
                <w:sz w:val="17"/>
              </w:rPr>
              <w:t>0</w:t>
            </w:r>
          </w:p>
        </w:tc>
      </w:tr>
      <w:tr>
        <w:trPr>
          <w:trHeight w:val="425" w:hRule="atLeast"/>
        </w:trPr>
        <w:tc>
          <w:tcPr>
            <w:tcW w:w="4021" w:type="dxa"/>
          </w:tcPr>
          <w:p>
            <w:pPr>
              <w:pStyle w:val="TableParagraph"/>
              <w:spacing w:before="45"/>
              <w:ind w:left="69"/>
              <w:jc w:val="left"/>
              <w:rPr>
                <w:sz w:val="17"/>
              </w:rPr>
            </w:pPr>
            <w:r>
              <w:rPr>
                <w:sz w:val="17"/>
              </w:rPr>
              <w:t>D.L. n. 34/2019 (convertito dalla L. n. 58/2019)</w:t>
            </w:r>
          </w:p>
        </w:tc>
        <w:tc>
          <w:tcPr>
            <w:tcW w:w="1180" w:type="dxa"/>
          </w:tcPr>
          <w:p>
            <w:pPr>
              <w:pStyle w:val="TableParagraph"/>
              <w:spacing w:before="45"/>
              <w:ind w:left="157"/>
              <w:jc w:val="center"/>
              <w:rPr>
                <w:sz w:val="17"/>
              </w:rPr>
            </w:pPr>
            <w:r>
              <w:rPr>
                <w:w w:val="100"/>
                <w:sz w:val="17"/>
              </w:rPr>
              <w:t>3</w:t>
            </w:r>
          </w:p>
        </w:tc>
        <w:tc>
          <w:tcPr>
            <w:tcW w:w="1020" w:type="dxa"/>
          </w:tcPr>
          <w:p>
            <w:pPr>
              <w:pStyle w:val="TableParagraph"/>
              <w:spacing w:before="45"/>
              <w:ind w:right="1"/>
              <w:jc w:val="center"/>
              <w:rPr>
                <w:sz w:val="17"/>
              </w:rPr>
            </w:pPr>
            <w:r>
              <w:rPr>
                <w:w w:val="100"/>
                <w:sz w:val="17"/>
              </w:rPr>
              <w:t>2</w:t>
            </w:r>
          </w:p>
        </w:tc>
        <w:tc>
          <w:tcPr>
            <w:tcW w:w="1020" w:type="dxa"/>
          </w:tcPr>
          <w:p>
            <w:pPr>
              <w:pStyle w:val="TableParagraph"/>
              <w:spacing w:before="45"/>
              <w:ind w:right="1"/>
              <w:jc w:val="center"/>
              <w:rPr>
                <w:sz w:val="17"/>
              </w:rPr>
            </w:pPr>
            <w:r>
              <w:rPr>
                <w:w w:val="100"/>
                <w:sz w:val="17"/>
              </w:rPr>
              <w:t>1</w:t>
            </w:r>
          </w:p>
        </w:tc>
        <w:tc>
          <w:tcPr>
            <w:tcW w:w="1020" w:type="dxa"/>
          </w:tcPr>
          <w:p>
            <w:pPr>
              <w:pStyle w:val="TableParagraph"/>
              <w:spacing w:before="45"/>
              <w:jc w:val="center"/>
              <w:rPr>
                <w:sz w:val="17"/>
              </w:rPr>
            </w:pPr>
            <w:r>
              <w:rPr>
                <w:w w:val="100"/>
                <w:sz w:val="17"/>
              </w:rPr>
              <w:t>1</w:t>
            </w:r>
          </w:p>
        </w:tc>
      </w:tr>
      <w:tr>
        <w:trPr>
          <w:trHeight w:val="441" w:hRule="atLeast"/>
        </w:trPr>
        <w:tc>
          <w:tcPr>
            <w:tcW w:w="4021" w:type="dxa"/>
            <w:tcBorders>
              <w:bottom w:val="single" w:sz="4" w:space="0" w:color="000000"/>
            </w:tcBorders>
          </w:tcPr>
          <w:p>
            <w:pPr>
              <w:pStyle w:val="TableParagraph"/>
              <w:spacing w:before="1"/>
              <w:jc w:val="left"/>
              <w:rPr>
                <w:rFonts w:ascii="Trebuchet MS"/>
                <w:sz w:val="16"/>
              </w:rPr>
            </w:pPr>
          </w:p>
          <w:p>
            <w:pPr>
              <w:pStyle w:val="TableParagraph"/>
              <w:ind w:left="69"/>
              <w:jc w:val="left"/>
              <w:rPr>
                <w:sz w:val="17"/>
              </w:rPr>
            </w:pPr>
            <w:r>
              <w:rPr>
                <w:sz w:val="17"/>
              </w:rPr>
              <w:t>EFFETTI SULL’INDEBITAMENTO NETTO</w:t>
            </w:r>
          </w:p>
        </w:tc>
        <w:tc>
          <w:tcPr>
            <w:tcW w:w="1180" w:type="dxa"/>
            <w:tcBorders>
              <w:bottom w:val="single" w:sz="4" w:space="0" w:color="000000"/>
            </w:tcBorders>
          </w:tcPr>
          <w:p>
            <w:pPr>
              <w:pStyle w:val="TableParagraph"/>
              <w:spacing w:before="1"/>
              <w:jc w:val="left"/>
              <w:rPr>
                <w:rFonts w:ascii="Trebuchet MS"/>
                <w:sz w:val="16"/>
              </w:rPr>
            </w:pPr>
          </w:p>
          <w:p>
            <w:pPr>
              <w:pStyle w:val="TableParagraph"/>
              <w:ind w:left="157"/>
              <w:jc w:val="center"/>
              <w:rPr>
                <w:sz w:val="17"/>
              </w:rPr>
            </w:pPr>
            <w:r>
              <w:rPr>
                <w:w w:val="100"/>
                <w:sz w:val="17"/>
              </w:rPr>
              <w:t>6</w:t>
            </w:r>
          </w:p>
        </w:tc>
        <w:tc>
          <w:tcPr>
            <w:tcW w:w="1020" w:type="dxa"/>
            <w:tcBorders>
              <w:bottom w:val="single" w:sz="4" w:space="0" w:color="000000"/>
            </w:tcBorders>
          </w:tcPr>
          <w:p>
            <w:pPr>
              <w:pStyle w:val="TableParagraph"/>
              <w:spacing w:before="1"/>
              <w:jc w:val="left"/>
              <w:rPr>
                <w:rFonts w:ascii="Trebuchet MS"/>
                <w:sz w:val="16"/>
              </w:rPr>
            </w:pPr>
          </w:p>
          <w:p>
            <w:pPr>
              <w:pStyle w:val="TableParagraph"/>
              <w:ind w:right="1"/>
              <w:jc w:val="center"/>
              <w:rPr>
                <w:sz w:val="17"/>
              </w:rPr>
            </w:pPr>
            <w:r>
              <w:rPr>
                <w:w w:val="100"/>
                <w:sz w:val="17"/>
              </w:rPr>
              <w:t>7</w:t>
            </w:r>
          </w:p>
        </w:tc>
        <w:tc>
          <w:tcPr>
            <w:tcW w:w="1020" w:type="dxa"/>
            <w:tcBorders>
              <w:bottom w:val="single" w:sz="4" w:space="0" w:color="000000"/>
            </w:tcBorders>
          </w:tcPr>
          <w:p>
            <w:pPr>
              <w:pStyle w:val="TableParagraph"/>
              <w:spacing w:before="1"/>
              <w:jc w:val="left"/>
              <w:rPr>
                <w:rFonts w:ascii="Trebuchet MS"/>
                <w:sz w:val="16"/>
              </w:rPr>
            </w:pPr>
          </w:p>
          <w:p>
            <w:pPr>
              <w:pStyle w:val="TableParagraph"/>
              <w:ind w:right="1"/>
              <w:jc w:val="center"/>
              <w:rPr>
                <w:sz w:val="17"/>
              </w:rPr>
            </w:pPr>
            <w:r>
              <w:rPr>
                <w:w w:val="100"/>
                <w:sz w:val="17"/>
              </w:rPr>
              <w:t>1</w:t>
            </w:r>
          </w:p>
        </w:tc>
        <w:tc>
          <w:tcPr>
            <w:tcW w:w="1020" w:type="dxa"/>
            <w:tcBorders>
              <w:bottom w:val="single" w:sz="4" w:space="0" w:color="000000"/>
            </w:tcBorders>
          </w:tcPr>
          <w:p>
            <w:pPr>
              <w:pStyle w:val="TableParagraph"/>
              <w:spacing w:before="1"/>
              <w:jc w:val="left"/>
              <w:rPr>
                <w:rFonts w:ascii="Trebuchet MS"/>
                <w:sz w:val="16"/>
              </w:rPr>
            </w:pPr>
          </w:p>
          <w:p>
            <w:pPr>
              <w:pStyle w:val="TableParagraph"/>
              <w:jc w:val="center"/>
              <w:rPr>
                <w:sz w:val="17"/>
              </w:rPr>
            </w:pPr>
            <w:r>
              <w:rPr>
                <w:w w:val="100"/>
                <w:sz w:val="17"/>
              </w:rPr>
              <w:t>1</w:t>
            </w:r>
          </w:p>
        </w:tc>
      </w:tr>
      <w:tr>
        <w:trPr>
          <w:trHeight w:val="282" w:hRule="atLeast"/>
        </w:trPr>
        <w:tc>
          <w:tcPr>
            <w:tcW w:w="4021" w:type="dxa"/>
            <w:tcBorders>
              <w:top w:val="single" w:sz="4" w:space="0" w:color="000000"/>
              <w:bottom w:val="single" w:sz="8" w:space="0" w:color="000000"/>
            </w:tcBorders>
          </w:tcPr>
          <w:p>
            <w:pPr>
              <w:pStyle w:val="TableParagraph"/>
              <w:spacing w:before="28"/>
              <w:ind w:left="69"/>
              <w:jc w:val="left"/>
              <w:rPr>
                <w:i/>
                <w:sz w:val="17"/>
              </w:rPr>
            </w:pPr>
            <w:r>
              <w:rPr>
                <w:i/>
                <w:sz w:val="17"/>
              </w:rPr>
              <w:t>In % del PIL</w:t>
            </w:r>
          </w:p>
        </w:tc>
        <w:tc>
          <w:tcPr>
            <w:tcW w:w="1180" w:type="dxa"/>
            <w:tcBorders>
              <w:top w:val="single" w:sz="4" w:space="0" w:color="000000"/>
              <w:bottom w:val="single" w:sz="8" w:space="0" w:color="000000"/>
            </w:tcBorders>
          </w:tcPr>
          <w:p>
            <w:pPr>
              <w:pStyle w:val="TableParagraph"/>
              <w:spacing w:before="28"/>
              <w:ind w:left="157"/>
              <w:jc w:val="center"/>
              <w:rPr>
                <w:i/>
                <w:sz w:val="17"/>
              </w:rPr>
            </w:pPr>
            <w:r>
              <w:rPr>
                <w:i/>
                <w:w w:val="100"/>
                <w:sz w:val="17"/>
              </w:rPr>
              <w:t>0</w:t>
            </w:r>
          </w:p>
        </w:tc>
        <w:tc>
          <w:tcPr>
            <w:tcW w:w="1020" w:type="dxa"/>
            <w:tcBorders>
              <w:top w:val="single" w:sz="4" w:space="0" w:color="000000"/>
              <w:bottom w:val="single" w:sz="8" w:space="0" w:color="000000"/>
            </w:tcBorders>
          </w:tcPr>
          <w:p>
            <w:pPr>
              <w:pStyle w:val="TableParagraph"/>
              <w:spacing w:before="28"/>
              <w:ind w:right="1"/>
              <w:jc w:val="center"/>
              <w:rPr>
                <w:i/>
                <w:sz w:val="17"/>
              </w:rPr>
            </w:pPr>
            <w:r>
              <w:rPr>
                <w:i/>
                <w:w w:val="100"/>
                <w:sz w:val="17"/>
              </w:rPr>
              <w:t>0</w:t>
            </w:r>
          </w:p>
        </w:tc>
        <w:tc>
          <w:tcPr>
            <w:tcW w:w="1020" w:type="dxa"/>
            <w:tcBorders>
              <w:top w:val="single" w:sz="4" w:space="0" w:color="000000"/>
              <w:bottom w:val="single" w:sz="8" w:space="0" w:color="000000"/>
            </w:tcBorders>
          </w:tcPr>
          <w:p>
            <w:pPr>
              <w:pStyle w:val="TableParagraph"/>
              <w:spacing w:before="28"/>
              <w:ind w:right="1"/>
              <w:jc w:val="center"/>
              <w:rPr>
                <w:i/>
                <w:sz w:val="17"/>
              </w:rPr>
            </w:pPr>
            <w:r>
              <w:rPr>
                <w:i/>
                <w:w w:val="100"/>
                <w:sz w:val="17"/>
              </w:rPr>
              <w:t>0</w:t>
            </w:r>
          </w:p>
        </w:tc>
        <w:tc>
          <w:tcPr>
            <w:tcW w:w="1020" w:type="dxa"/>
            <w:tcBorders>
              <w:top w:val="single" w:sz="4" w:space="0" w:color="000000"/>
              <w:bottom w:val="single" w:sz="8" w:space="0" w:color="000000"/>
            </w:tcBorders>
          </w:tcPr>
          <w:p>
            <w:pPr>
              <w:pStyle w:val="TableParagraph"/>
              <w:spacing w:before="28"/>
              <w:jc w:val="center"/>
              <w:rPr>
                <w:i/>
                <w:sz w:val="17"/>
              </w:rPr>
            </w:pPr>
            <w:r>
              <w:rPr>
                <w:i/>
                <w:w w:val="100"/>
                <w:sz w:val="17"/>
              </w:rPr>
              <w:t>0</w:t>
            </w:r>
          </w:p>
        </w:tc>
      </w:tr>
    </w:tbl>
    <w:p>
      <w:pPr>
        <w:spacing w:before="7"/>
        <w:ind w:left="418" w:right="2393" w:firstLine="0"/>
        <w:jc w:val="left"/>
        <w:rPr>
          <w:rFonts w:ascii="Franklin Gothic Book" w:hAnsi="Franklin Gothic Book"/>
          <w:sz w:val="17"/>
        </w:rPr>
      </w:pPr>
      <w:r>
        <w:rPr/>
        <w:pict>
          <v:line style="position:absolute;mso-position-horizontal-relative:page;mso-position-vertical-relative:paragraph;z-index:-251467776;mso-wrap-distance-left:0;mso-wrap-distance-right:0" from="73.704002pt,23.020292pt" to="487.534002pt,23.020292pt" stroked="true" strokeweight="1.44pt" strokecolor="#086939">
            <v:stroke dashstyle="solid"/>
            <w10:wrap type="topAndBottom"/>
          </v:line>
        </w:pict>
      </w:r>
      <w:r>
        <w:rPr>
          <w:rFonts w:ascii="Franklin Gothic Book" w:hAnsi="Franklin Gothic Book"/>
          <w:sz w:val="17"/>
        </w:rPr>
        <w:t>Nota: Il rapporto al PIL è calcolato sulle previsioni del quadro tendenziale. Eventuali imprecisioni derivano da arrotondamenti.</w:t>
      </w:r>
    </w:p>
    <w:p>
      <w:pPr>
        <w:pStyle w:val="BodyText"/>
        <w:spacing w:before="11"/>
        <w:rPr>
          <w:rFonts w:ascii="Franklin Gothic Book"/>
          <w:sz w:val="11"/>
        </w:rPr>
      </w:pPr>
    </w:p>
    <w:p>
      <w:pPr>
        <w:pStyle w:val="BodyText"/>
        <w:spacing w:line="252" w:lineRule="auto" w:before="101"/>
        <w:ind w:left="278" w:right="2260" w:firstLine="453"/>
        <w:jc w:val="both"/>
      </w:pPr>
      <w:r>
        <w:rPr/>
        <w:t>Le</w:t>
      </w:r>
      <w:r>
        <w:rPr>
          <w:spacing w:val="-8"/>
        </w:rPr>
        <w:t> </w:t>
      </w:r>
      <w:r>
        <w:rPr/>
        <w:t>coperture</w:t>
      </w:r>
      <w:r>
        <w:rPr>
          <w:spacing w:val="-4"/>
        </w:rPr>
        <w:t> </w:t>
      </w:r>
      <w:r>
        <w:rPr/>
        <w:t>(maggiori</w:t>
      </w:r>
      <w:r>
        <w:rPr>
          <w:spacing w:val="-4"/>
        </w:rPr>
        <w:t> </w:t>
      </w:r>
      <w:r>
        <w:rPr/>
        <w:t>entrate</w:t>
      </w:r>
      <w:r>
        <w:rPr>
          <w:spacing w:val="-5"/>
        </w:rPr>
        <w:t> </w:t>
      </w:r>
      <w:r>
        <w:rPr/>
        <w:t>e</w:t>
      </w:r>
      <w:r>
        <w:rPr>
          <w:spacing w:val="-4"/>
        </w:rPr>
        <w:t> </w:t>
      </w:r>
      <w:r>
        <w:rPr/>
        <w:t>minori</w:t>
      </w:r>
      <w:r>
        <w:rPr>
          <w:spacing w:val="-5"/>
        </w:rPr>
        <w:t> </w:t>
      </w:r>
      <w:r>
        <w:rPr/>
        <w:t>spese)</w:t>
      </w:r>
      <w:r>
        <w:rPr>
          <w:spacing w:val="-4"/>
        </w:rPr>
        <w:t> </w:t>
      </w:r>
      <w:r>
        <w:rPr/>
        <w:t>ammontano</w:t>
      </w:r>
      <w:r>
        <w:rPr>
          <w:spacing w:val="-6"/>
        </w:rPr>
        <w:t> </w:t>
      </w:r>
      <w:r>
        <w:rPr/>
        <w:t>a</w:t>
      </w:r>
      <w:r>
        <w:rPr>
          <w:spacing w:val="-5"/>
        </w:rPr>
        <w:t> </w:t>
      </w:r>
      <w:r>
        <w:rPr/>
        <w:t>circa</w:t>
      </w:r>
      <w:r>
        <w:rPr>
          <w:spacing w:val="-5"/>
        </w:rPr>
        <w:t> </w:t>
      </w:r>
      <w:r>
        <w:rPr/>
        <w:t>0,8</w:t>
      </w:r>
      <w:r>
        <w:rPr>
          <w:spacing w:val="-6"/>
        </w:rPr>
        <w:t> </w:t>
      </w:r>
      <w:r>
        <w:rPr/>
        <w:t>miliardi nel</w:t>
      </w:r>
      <w:r>
        <w:rPr>
          <w:spacing w:val="-7"/>
        </w:rPr>
        <w:t> </w:t>
      </w:r>
      <w:r>
        <w:rPr/>
        <w:t>2019,</w:t>
      </w:r>
      <w:r>
        <w:rPr>
          <w:spacing w:val="-6"/>
        </w:rPr>
        <w:t> </w:t>
      </w:r>
      <w:r>
        <w:rPr/>
        <w:t>1,2</w:t>
      </w:r>
      <w:r>
        <w:rPr>
          <w:spacing w:val="-7"/>
        </w:rPr>
        <w:t> </w:t>
      </w:r>
      <w:r>
        <w:rPr/>
        <w:t>miliardi</w:t>
      </w:r>
      <w:r>
        <w:rPr>
          <w:spacing w:val="-6"/>
        </w:rPr>
        <w:t> </w:t>
      </w:r>
      <w:r>
        <w:rPr/>
        <w:t>nel</w:t>
      </w:r>
      <w:r>
        <w:rPr>
          <w:spacing w:val="-6"/>
        </w:rPr>
        <w:t> </w:t>
      </w:r>
      <w:r>
        <w:rPr/>
        <w:t>2020,</w:t>
      </w:r>
      <w:r>
        <w:rPr>
          <w:spacing w:val="-6"/>
        </w:rPr>
        <w:t> </w:t>
      </w:r>
      <w:r>
        <w:rPr/>
        <w:t>1,5</w:t>
      </w:r>
      <w:r>
        <w:rPr>
          <w:spacing w:val="-6"/>
        </w:rPr>
        <w:t> </w:t>
      </w:r>
      <w:r>
        <w:rPr/>
        <w:t>miliardi</w:t>
      </w:r>
      <w:r>
        <w:rPr>
          <w:spacing w:val="-7"/>
        </w:rPr>
        <w:t> </w:t>
      </w:r>
      <w:r>
        <w:rPr/>
        <w:t>nel</w:t>
      </w:r>
      <w:r>
        <w:rPr>
          <w:spacing w:val="-7"/>
        </w:rPr>
        <w:t> </w:t>
      </w:r>
      <w:r>
        <w:rPr/>
        <w:t>2021</w:t>
      </w:r>
      <w:r>
        <w:rPr>
          <w:spacing w:val="-6"/>
        </w:rPr>
        <w:t> </w:t>
      </w:r>
      <w:r>
        <w:rPr/>
        <w:t>e</w:t>
      </w:r>
      <w:r>
        <w:rPr>
          <w:spacing w:val="-7"/>
        </w:rPr>
        <w:t> </w:t>
      </w:r>
      <w:r>
        <w:rPr/>
        <w:t>1,2</w:t>
      </w:r>
      <w:r>
        <w:rPr>
          <w:spacing w:val="-7"/>
        </w:rPr>
        <w:t> </w:t>
      </w:r>
      <w:r>
        <w:rPr/>
        <w:t>miliardi</w:t>
      </w:r>
      <w:r>
        <w:rPr>
          <w:spacing w:val="-6"/>
        </w:rPr>
        <w:t> </w:t>
      </w:r>
      <w:r>
        <w:rPr/>
        <w:t>nel</w:t>
      </w:r>
      <w:r>
        <w:rPr>
          <w:spacing w:val="-7"/>
        </w:rPr>
        <w:t> </w:t>
      </w:r>
      <w:r>
        <w:rPr/>
        <w:t>2022</w:t>
      </w:r>
      <w:r>
        <w:rPr>
          <w:spacing w:val="-6"/>
        </w:rPr>
        <w:t> </w:t>
      </w:r>
      <w:r>
        <w:rPr/>
        <w:t>(Tavola III.10). Nel periodo considerato, circa il 77 per cento di tali risorse è ottenuto da misure sul versante delle uscite, mediante la riduzione di alcune spese del bilancio dello</w:t>
      </w:r>
      <w:r>
        <w:rPr>
          <w:spacing w:val="-2"/>
        </w:rPr>
        <w:t> </w:t>
      </w:r>
      <w:r>
        <w:rPr/>
        <w:t>Stato.</w:t>
      </w:r>
    </w:p>
    <w:p>
      <w:pPr>
        <w:pStyle w:val="BodyText"/>
        <w:spacing w:line="252" w:lineRule="auto"/>
        <w:ind w:left="278" w:right="2262" w:firstLine="453"/>
        <w:jc w:val="both"/>
      </w:pPr>
      <w:r>
        <w:rPr/>
        <w:t>Gli</w:t>
      </w:r>
      <w:r>
        <w:rPr>
          <w:spacing w:val="-14"/>
        </w:rPr>
        <w:t> </w:t>
      </w:r>
      <w:r>
        <w:rPr/>
        <w:t>interventi</w:t>
      </w:r>
      <w:r>
        <w:rPr>
          <w:spacing w:val="-13"/>
        </w:rPr>
        <w:t> </w:t>
      </w:r>
      <w:r>
        <w:rPr/>
        <w:t>adottati</w:t>
      </w:r>
      <w:r>
        <w:rPr>
          <w:spacing w:val="-13"/>
        </w:rPr>
        <w:t> </w:t>
      </w:r>
      <w:r>
        <w:rPr/>
        <w:t>(maggiori</w:t>
      </w:r>
      <w:r>
        <w:rPr>
          <w:spacing w:val="-12"/>
        </w:rPr>
        <w:t> </w:t>
      </w:r>
      <w:r>
        <w:rPr/>
        <w:t>spese</w:t>
      </w:r>
      <w:r>
        <w:rPr>
          <w:spacing w:val="-13"/>
        </w:rPr>
        <w:t> </w:t>
      </w:r>
      <w:r>
        <w:rPr/>
        <w:t>e</w:t>
      </w:r>
      <w:r>
        <w:rPr>
          <w:spacing w:val="-15"/>
        </w:rPr>
        <w:t> </w:t>
      </w:r>
      <w:r>
        <w:rPr/>
        <w:t>minori</w:t>
      </w:r>
      <w:r>
        <w:rPr>
          <w:spacing w:val="-14"/>
        </w:rPr>
        <w:t> </w:t>
      </w:r>
      <w:r>
        <w:rPr/>
        <w:t>entrate)</w:t>
      </w:r>
      <w:r>
        <w:rPr>
          <w:spacing w:val="-12"/>
        </w:rPr>
        <w:t> </w:t>
      </w:r>
      <w:r>
        <w:rPr/>
        <w:t>ammontano</w:t>
      </w:r>
      <w:r>
        <w:rPr>
          <w:spacing w:val="-14"/>
        </w:rPr>
        <w:t> </w:t>
      </w:r>
      <w:r>
        <w:rPr/>
        <w:t>a</w:t>
      </w:r>
      <w:r>
        <w:rPr>
          <w:spacing w:val="-13"/>
        </w:rPr>
        <w:t> </w:t>
      </w:r>
      <w:r>
        <w:rPr/>
        <w:t>circa</w:t>
      </w:r>
      <w:r>
        <w:rPr>
          <w:spacing w:val="-15"/>
        </w:rPr>
        <w:t> </w:t>
      </w:r>
      <w:r>
        <w:rPr/>
        <w:t>0,8 miliardi</w:t>
      </w:r>
      <w:r>
        <w:rPr>
          <w:spacing w:val="-9"/>
        </w:rPr>
        <w:t> </w:t>
      </w:r>
      <w:r>
        <w:rPr/>
        <w:t>nel</w:t>
      </w:r>
      <w:r>
        <w:rPr>
          <w:spacing w:val="-8"/>
        </w:rPr>
        <w:t> </w:t>
      </w:r>
      <w:r>
        <w:rPr/>
        <w:t>2019,</w:t>
      </w:r>
      <w:r>
        <w:rPr>
          <w:spacing w:val="-8"/>
        </w:rPr>
        <w:t> </w:t>
      </w:r>
      <w:r>
        <w:rPr/>
        <w:t>1,2</w:t>
      </w:r>
      <w:r>
        <w:rPr>
          <w:spacing w:val="-8"/>
        </w:rPr>
        <w:t> </w:t>
      </w:r>
      <w:r>
        <w:rPr/>
        <w:t>miliardi</w:t>
      </w:r>
      <w:r>
        <w:rPr>
          <w:spacing w:val="-9"/>
        </w:rPr>
        <w:t> </w:t>
      </w:r>
      <w:r>
        <w:rPr/>
        <w:t>nel</w:t>
      </w:r>
      <w:r>
        <w:rPr>
          <w:spacing w:val="-8"/>
        </w:rPr>
        <w:t> </w:t>
      </w:r>
      <w:r>
        <w:rPr/>
        <w:t>2020,</w:t>
      </w:r>
      <w:r>
        <w:rPr>
          <w:spacing w:val="-7"/>
        </w:rPr>
        <w:t> </w:t>
      </w:r>
      <w:r>
        <w:rPr/>
        <w:t>1,5</w:t>
      </w:r>
      <w:r>
        <w:rPr>
          <w:spacing w:val="-9"/>
        </w:rPr>
        <w:t> </w:t>
      </w:r>
      <w:r>
        <w:rPr/>
        <w:t>miliardi</w:t>
      </w:r>
      <w:r>
        <w:rPr>
          <w:spacing w:val="-8"/>
        </w:rPr>
        <w:t> </w:t>
      </w:r>
      <w:r>
        <w:rPr/>
        <w:t>nel</w:t>
      </w:r>
      <w:r>
        <w:rPr>
          <w:spacing w:val="-9"/>
        </w:rPr>
        <w:t> </w:t>
      </w:r>
      <w:r>
        <w:rPr/>
        <w:t>2021</w:t>
      </w:r>
      <w:r>
        <w:rPr>
          <w:spacing w:val="-8"/>
        </w:rPr>
        <w:t> </w:t>
      </w:r>
      <w:r>
        <w:rPr/>
        <w:t>e</w:t>
      </w:r>
      <w:r>
        <w:rPr>
          <w:spacing w:val="-9"/>
        </w:rPr>
        <w:t> </w:t>
      </w:r>
      <w:r>
        <w:rPr/>
        <w:t>1,2</w:t>
      </w:r>
      <w:r>
        <w:rPr>
          <w:spacing w:val="-8"/>
        </w:rPr>
        <w:t> </w:t>
      </w:r>
      <w:r>
        <w:rPr/>
        <w:t>miliardi</w:t>
      </w:r>
      <w:r>
        <w:rPr>
          <w:spacing w:val="-8"/>
        </w:rPr>
        <w:t> </w:t>
      </w:r>
      <w:r>
        <w:rPr/>
        <w:t>nel</w:t>
      </w:r>
      <w:r>
        <w:rPr>
          <w:spacing w:val="-9"/>
        </w:rPr>
        <w:t> </w:t>
      </w:r>
      <w:r>
        <w:rPr/>
        <w:t>2022 e riguardano per circa due terzi il finanziamento di spese con una prevalenza della componente di parte capitale rispetto a quella</w:t>
      </w:r>
      <w:r>
        <w:rPr>
          <w:spacing w:val="-10"/>
        </w:rPr>
        <w:t> </w:t>
      </w:r>
      <w:r>
        <w:rPr/>
        <w:t>corrente.</w:t>
      </w:r>
    </w:p>
    <w:p>
      <w:pPr>
        <w:pStyle w:val="BodyText"/>
        <w:rPr>
          <w:sz w:val="24"/>
        </w:rPr>
      </w:pPr>
    </w:p>
    <w:tbl>
      <w:tblPr>
        <w:tblW w:w="0" w:type="auto"/>
        <w:jc w:val="left"/>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25"/>
        <w:gridCol w:w="1822"/>
        <w:gridCol w:w="1090"/>
        <w:gridCol w:w="1090"/>
        <w:gridCol w:w="837"/>
      </w:tblGrid>
      <w:tr>
        <w:trPr>
          <w:trHeight w:val="453" w:hRule="atLeast"/>
        </w:trPr>
        <w:tc>
          <w:tcPr>
            <w:tcW w:w="8264" w:type="dxa"/>
            <w:gridSpan w:val="5"/>
            <w:shd w:val="clear" w:color="auto" w:fill="086939"/>
          </w:tcPr>
          <w:p>
            <w:pPr>
              <w:pStyle w:val="TableParagraph"/>
              <w:spacing w:line="186" w:lineRule="exact" w:before="36"/>
              <w:ind w:left="98"/>
              <w:jc w:val="left"/>
              <w:rPr>
                <w:rFonts w:ascii="Franklin Gothic Heavy"/>
                <w:b/>
                <w:sz w:val="17"/>
              </w:rPr>
            </w:pPr>
            <w:r>
              <w:rPr>
                <w:rFonts w:ascii="Franklin Gothic Heavy"/>
                <w:b/>
                <w:color w:val="EFEFEF"/>
                <w:sz w:val="17"/>
              </w:rPr>
              <w:t>TAVOLA III. 10: EFFETTI CUMULATI DEGLI ULTIMI PROVVEDIMENTI VARATI NEL 2019</w:t>
            </w:r>
          </w:p>
          <w:p>
            <w:pPr>
              <w:pStyle w:val="TableParagraph"/>
              <w:spacing w:line="186" w:lineRule="exact"/>
              <w:ind w:left="98"/>
              <w:jc w:val="left"/>
              <w:rPr>
                <w:rFonts w:ascii="Franklin Gothic Heavy"/>
                <w:b/>
                <w:sz w:val="17"/>
              </w:rPr>
            </w:pPr>
            <w:r>
              <w:rPr>
                <w:rFonts w:ascii="Franklin Gothic Heavy"/>
                <w:b/>
                <w:color w:val="EFEFEF"/>
                <w:sz w:val="17"/>
              </w:rPr>
              <w:t>SULL'INDEBITAMENTO NETTO DELLA P.A. </w:t>
            </w:r>
            <w:r>
              <w:rPr>
                <w:rFonts w:ascii="Franklin Gothic Heavy"/>
                <w:b/>
                <w:color w:val="FFFFFF"/>
                <w:sz w:val="17"/>
              </w:rPr>
              <w:t>(valori in milioni; al lordo degli oneri riflessi)</w:t>
            </w:r>
          </w:p>
        </w:tc>
      </w:tr>
      <w:tr>
        <w:trPr>
          <w:trHeight w:val="299" w:hRule="atLeast"/>
        </w:trPr>
        <w:tc>
          <w:tcPr>
            <w:tcW w:w="3425" w:type="dxa"/>
            <w:tcBorders>
              <w:bottom w:val="single" w:sz="4" w:space="0" w:color="000000"/>
            </w:tcBorders>
          </w:tcPr>
          <w:p>
            <w:pPr>
              <w:pStyle w:val="TableParagraph"/>
              <w:jc w:val="left"/>
              <w:rPr>
                <w:rFonts w:ascii="Times New Roman"/>
                <w:sz w:val="18"/>
              </w:rPr>
            </w:pPr>
          </w:p>
        </w:tc>
        <w:tc>
          <w:tcPr>
            <w:tcW w:w="1822" w:type="dxa"/>
            <w:tcBorders>
              <w:bottom w:val="single" w:sz="4" w:space="0" w:color="000000"/>
            </w:tcBorders>
          </w:tcPr>
          <w:p>
            <w:pPr>
              <w:pStyle w:val="TableParagraph"/>
              <w:spacing w:before="38"/>
              <w:ind w:right="323"/>
              <w:rPr>
                <w:sz w:val="17"/>
              </w:rPr>
            </w:pPr>
            <w:r>
              <w:rPr>
                <w:sz w:val="17"/>
              </w:rPr>
              <w:t>2019</w:t>
            </w:r>
          </w:p>
        </w:tc>
        <w:tc>
          <w:tcPr>
            <w:tcW w:w="1090" w:type="dxa"/>
            <w:tcBorders>
              <w:bottom w:val="single" w:sz="4" w:space="0" w:color="000000"/>
            </w:tcBorders>
          </w:tcPr>
          <w:p>
            <w:pPr>
              <w:pStyle w:val="TableParagraph"/>
              <w:spacing w:before="38"/>
              <w:ind w:right="323"/>
              <w:rPr>
                <w:sz w:val="17"/>
              </w:rPr>
            </w:pPr>
            <w:r>
              <w:rPr>
                <w:sz w:val="17"/>
              </w:rPr>
              <w:t>2020</w:t>
            </w:r>
          </w:p>
        </w:tc>
        <w:tc>
          <w:tcPr>
            <w:tcW w:w="1090" w:type="dxa"/>
            <w:tcBorders>
              <w:bottom w:val="single" w:sz="4" w:space="0" w:color="000000"/>
            </w:tcBorders>
          </w:tcPr>
          <w:p>
            <w:pPr>
              <w:pStyle w:val="TableParagraph"/>
              <w:spacing w:before="38"/>
              <w:ind w:right="323"/>
              <w:rPr>
                <w:sz w:val="17"/>
              </w:rPr>
            </w:pPr>
            <w:r>
              <w:rPr>
                <w:sz w:val="17"/>
              </w:rPr>
              <w:t>2021</w:t>
            </w:r>
          </w:p>
        </w:tc>
        <w:tc>
          <w:tcPr>
            <w:tcW w:w="837" w:type="dxa"/>
            <w:tcBorders>
              <w:bottom w:val="single" w:sz="4" w:space="0" w:color="000000"/>
            </w:tcBorders>
          </w:tcPr>
          <w:p>
            <w:pPr>
              <w:pStyle w:val="TableParagraph"/>
              <w:spacing w:before="38"/>
              <w:ind w:right="70"/>
              <w:rPr>
                <w:sz w:val="17"/>
              </w:rPr>
            </w:pPr>
            <w:r>
              <w:rPr>
                <w:sz w:val="17"/>
              </w:rPr>
              <w:t>2022</w:t>
            </w:r>
          </w:p>
        </w:tc>
      </w:tr>
      <w:tr>
        <w:trPr>
          <w:trHeight w:val="253" w:hRule="atLeast"/>
        </w:trPr>
        <w:tc>
          <w:tcPr>
            <w:tcW w:w="3425" w:type="dxa"/>
            <w:tcBorders>
              <w:top w:val="single" w:sz="4" w:space="0" w:color="000000"/>
            </w:tcBorders>
          </w:tcPr>
          <w:p>
            <w:pPr>
              <w:pStyle w:val="TableParagraph"/>
              <w:spacing w:before="21"/>
              <w:ind w:left="69"/>
              <w:jc w:val="left"/>
              <w:rPr>
                <w:sz w:val="17"/>
              </w:rPr>
            </w:pPr>
            <w:r>
              <w:rPr>
                <w:sz w:val="17"/>
              </w:rPr>
              <w:t>Coperture</w:t>
            </w:r>
          </w:p>
        </w:tc>
        <w:tc>
          <w:tcPr>
            <w:tcW w:w="1822" w:type="dxa"/>
            <w:tcBorders>
              <w:top w:val="single" w:sz="4" w:space="0" w:color="000000"/>
            </w:tcBorders>
          </w:tcPr>
          <w:p>
            <w:pPr>
              <w:pStyle w:val="TableParagraph"/>
              <w:spacing w:before="21"/>
              <w:ind w:right="322"/>
              <w:rPr>
                <w:sz w:val="17"/>
              </w:rPr>
            </w:pPr>
            <w:r>
              <w:rPr>
                <w:sz w:val="17"/>
              </w:rPr>
              <w:t>781</w:t>
            </w:r>
          </w:p>
        </w:tc>
        <w:tc>
          <w:tcPr>
            <w:tcW w:w="1090" w:type="dxa"/>
            <w:tcBorders>
              <w:top w:val="single" w:sz="4" w:space="0" w:color="000000"/>
            </w:tcBorders>
          </w:tcPr>
          <w:p>
            <w:pPr>
              <w:pStyle w:val="TableParagraph"/>
              <w:spacing w:before="21"/>
              <w:ind w:right="323"/>
              <w:rPr>
                <w:sz w:val="17"/>
              </w:rPr>
            </w:pPr>
            <w:r>
              <w:rPr>
                <w:sz w:val="17"/>
              </w:rPr>
              <w:t>1.223</w:t>
            </w:r>
          </w:p>
        </w:tc>
        <w:tc>
          <w:tcPr>
            <w:tcW w:w="1090" w:type="dxa"/>
            <w:tcBorders>
              <w:top w:val="single" w:sz="4" w:space="0" w:color="000000"/>
            </w:tcBorders>
          </w:tcPr>
          <w:p>
            <w:pPr>
              <w:pStyle w:val="TableParagraph"/>
              <w:spacing w:before="21"/>
              <w:ind w:right="323"/>
              <w:rPr>
                <w:sz w:val="17"/>
              </w:rPr>
            </w:pPr>
            <w:r>
              <w:rPr>
                <w:sz w:val="17"/>
              </w:rPr>
              <w:t>1.525</w:t>
            </w:r>
          </w:p>
        </w:tc>
        <w:tc>
          <w:tcPr>
            <w:tcW w:w="837" w:type="dxa"/>
            <w:tcBorders>
              <w:top w:val="single" w:sz="4" w:space="0" w:color="000000"/>
            </w:tcBorders>
          </w:tcPr>
          <w:p>
            <w:pPr>
              <w:pStyle w:val="TableParagraph"/>
              <w:spacing w:before="21"/>
              <w:ind w:right="70"/>
              <w:rPr>
                <w:sz w:val="17"/>
              </w:rPr>
            </w:pPr>
            <w:r>
              <w:rPr>
                <w:sz w:val="17"/>
              </w:rPr>
              <w:t>1.231</w:t>
            </w:r>
          </w:p>
        </w:tc>
      </w:tr>
      <w:tr>
        <w:trPr>
          <w:trHeight w:val="270" w:hRule="atLeast"/>
        </w:trPr>
        <w:tc>
          <w:tcPr>
            <w:tcW w:w="3425" w:type="dxa"/>
          </w:tcPr>
          <w:p>
            <w:pPr>
              <w:pStyle w:val="TableParagraph"/>
              <w:spacing w:before="39"/>
              <w:ind w:left="240"/>
              <w:jc w:val="left"/>
              <w:rPr>
                <w:sz w:val="17"/>
              </w:rPr>
            </w:pPr>
            <w:r>
              <w:rPr>
                <w:sz w:val="17"/>
              </w:rPr>
              <w:t>Maggiori entrate</w:t>
            </w:r>
          </w:p>
        </w:tc>
        <w:tc>
          <w:tcPr>
            <w:tcW w:w="1822" w:type="dxa"/>
          </w:tcPr>
          <w:p>
            <w:pPr>
              <w:pStyle w:val="TableParagraph"/>
              <w:spacing w:before="39"/>
              <w:ind w:right="325"/>
              <w:rPr>
                <w:sz w:val="17"/>
              </w:rPr>
            </w:pPr>
            <w:r>
              <w:rPr>
                <w:w w:val="100"/>
                <w:sz w:val="17"/>
              </w:rPr>
              <w:t>7</w:t>
            </w:r>
          </w:p>
        </w:tc>
        <w:tc>
          <w:tcPr>
            <w:tcW w:w="1090" w:type="dxa"/>
          </w:tcPr>
          <w:p>
            <w:pPr>
              <w:pStyle w:val="TableParagraph"/>
              <w:spacing w:before="39"/>
              <w:ind w:right="322"/>
              <w:rPr>
                <w:sz w:val="17"/>
              </w:rPr>
            </w:pPr>
            <w:r>
              <w:rPr>
                <w:sz w:val="17"/>
              </w:rPr>
              <w:t>366</w:t>
            </w:r>
          </w:p>
        </w:tc>
        <w:tc>
          <w:tcPr>
            <w:tcW w:w="1090" w:type="dxa"/>
          </w:tcPr>
          <w:p>
            <w:pPr>
              <w:pStyle w:val="TableParagraph"/>
              <w:spacing w:before="39"/>
              <w:ind w:right="322"/>
              <w:rPr>
                <w:sz w:val="17"/>
              </w:rPr>
            </w:pPr>
            <w:r>
              <w:rPr>
                <w:sz w:val="17"/>
              </w:rPr>
              <w:t>399</w:t>
            </w:r>
          </w:p>
        </w:tc>
        <w:tc>
          <w:tcPr>
            <w:tcW w:w="837" w:type="dxa"/>
          </w:tcPr>
          <w:p>
            <w:pPr>
              <w:pStyle w:val="TableParagraph"/>
              <w:spacing w:before="39"/>
              <w:ind w:right="69"/>
              <w:rPr>
                <w:sz w:val="17"/>
              </w:rPr>
            </w:pPr>
            <w:r>
              <w:rPr>
                <w:sz w:val="17"/>
              </w:rPr>
              <w:t>303</w:t>
            </w:r>
          </w:p>
        </w:tc>
      </w:tr>
      <w:tr>
        <w:trPr>
          <w:trHeight w:val="270" w:hRule="atLeast"/>
        </w:trPr>
        <w:tc>
          <w:tcPr>
            <w:tcW w:w="3425" w:type="dxa"/>
          </w:tcPr>
          <w:p>
            <w:pPr>
              <w:pStyle w:val="TableParagraph"/>
              <w:spacing w:before="38"/>
              <w:ind w:left="240"/>
              <w:jc w:val="left"/>
              <w:rPr>
                <w:sz w:val="17"/>
              </w:rPr>
            </w:pPr>
            <w:r>
              <w:rPr>
                <w:sz w:val="17"/>
              </w:rPr>
              <w:t>Minori spese</w:t>
            </w:r>
          </w:p>
        </w:tc>
        <w:tc>
          <w:tcPr>
            <w:tcW w:w="1822" w:type="dxa"/>
          </w:tcPr>
          <w:p>
            <w:pPr>
              <w:pStyle w:val="TableParagraph"/>
              <w:spacing w:before="38"/>
              <w:ind w:right="322"/>
              <w:rPr>
                <w:sz w:val="17"/>
              </w:rPr>
            </w:pPr>
            <w:r>
              <w:rPr>
                <w:sz w:val="17"/>
              </w:rPr>
              <w:t>774</w:t>
            </w:r>
          </w:p>
        </w:tc>
        <w:tc>
          <w:tcPr>
            <w:tcW w:w="1090" w:type="dxa"/>
          </w:tcPr>
          <w:p>
            <w:pPr>
              <w:pStyle w:val="TableParagraph"/>
              <w:spacing w:before="38"/>
              <w:ind w:right="322"/>
              <w:rPr>
                <w:sz w:val="17"/>
              </w:rPr>
            </w:pPr>
            <w:r>
              <w:rPr>
                <w:sz w:val="17"/>
              </w:rPr>
              <w:t>857</w:t>
            </w:r>
          </w:p>
        </w:tc>
        <w:tc>
          <w:tcPr>
            <w:tcW w:w="1090" w:type="dxa"/>
          </w:tcPr>
          <w:p>
            <w:pPr>
              <w:pStyle w:val="TableParagraph"/>
              <w:spacing w:before="38"/>
              <w:ind w:right="323"/>
              <w:rPr>
                <w:sz w:val="17"/>
              </w:rPr>
            </w:pPr>
            <w:r>
              <w:rPr>
                <w:sz w:val="17"/>
              </w:rPr>
              <w:t>1.126</w:t>
            </w:r>
          </w:p>
        </w:tc>
        <w:tc>
          <w:tcPr>
            <w:tcW w:w="837" w:type="dxa"/>
          </w:tcPr>
          <w:p>
            <w:pPr>
              <w:pStyle w:val="TableParagraph"/>
              <w:spacing w:before="38"/>
              <w:ind w:right="69"/>
              <w:rPr>
                <w:sz w:val="17"/>
              </w:rPr>
            </w:pPr>
            <w:r>
              <w:rPr>
                <w:sz w:val="17"/>
              </w:rPr>
              <w:t>928</w:t>
            </w:r>
          </w:p>
        </w:tc>
      </w:tr>
      <w:tr>
        <w:trPr>
          <w:trHeight w:val="270" w:hRule="atLeast"/>
        </w:trPr>
        <w:tc>
          <w:tcPr>
            <w:tcW w:w="3425" w:type="dxa"/>
          </w:tcPr>
          <w:p>
            <w:pPr>
              <w:pStyle w:val="TableParagraph"/>
              <w:spacing w:before="39"/>
              <w:ind w:left="580"/>
              <w:jc w:val="left"/>
              <w:rPr>
                <w:i/>
                <w:sz w:val="17"/>
              </w:rPr>
            </w:pPr>
            <w:r>
              <w:rPr>
                <w:i/>
                <w:sz w:val="17"/>
              </w:rPr>
              <w:t>- spese correnti</w:t>
            </w:r>
          </w:p>
        </w:tc>
        <w:tc>
          <w:tcPr>
            <w:tcW w:w="1822" w:type="dxa"/>
          </w:tcPr>
          <w:p>
            <w:pPr>
              <w:pStyle w:val="TableParagraph"/>
              <w:spacing w:before="39"/>
              <w:ind w:right="322"/>
              <w:rPr>
                <w:i/>
                <w:sz w:val="17"/>
              </w:rPr>
            </w:pPr>
            <w:r>
              <w:rPr>
                <w:i/>
                <w:sz w:val="17"/>
              </w:rPr>
              <w:t>374</w:t>
            </w:r>
          </w:p>
        </w:tc>
        <w:tc>
          <w:tcPr>
            <w:tcW w:w="1090" w:type="dxa"/>
          </w:tcPr>
          <w:p>
            <w:pPr>
              <w:pStyle w:val="TableParagraph"/>
              <w:spacing w:before="39"/>
              <w:ind w:right="322"/>
              <w:rPr>
                <w:i/>
                <w:sz w:val="17"/>
              </w:rPr>
            </w:pPr>
            <w:r>
              <w:rPr>
                <w:i/>
                <w:sz w:val="17"/>
              </w:rPr>
              <w:t>371</w:t>
            </w:r>
          </w:p>
        </w:tc>
        <w:tc>
          <w:tcPr>
            <w:tcW w:w="1090" w:type="dxa"/>
          </w:tcPr>
          <w:p>
            <w:pPr>
              <w:pStyle w:val="TableParagraph"/>
              <w:spacing w:before="39"/>
              <w:ind w:right="322"/>
              <w:rPr>
                <w:i/>
                <w:sz w:val="17"/>
              </w:rPr>
            </w:pPr>
            <w:r>
              <w:rPr>
                <w:i/>
                <w:sz w:val="17"/>
              </w:rPr>
              <w:t>583</w:t>
            </w:r>
          </w:p>
        </w:tc>
        <w:tc>
          <w:tcPr>
            <w:tcW w:w="837" w:type="dxa"/>
          </w:tcPr>
          <w:p>
            <w:pPr>
              <w:pStyle w:val="TableParagraph"/>
              <w:spacing w:before="39"/>
              <w:ind w:right="69"/>
              <w:rPr>
                <w:i/>
                <w:sz w:val="17"/>
              </w:rPr>
            </w:pPr>
            <w:r>
              <w:rPr>
                <w:i/>
                <w:sz w:val="17"/>
              </w:rPr>
              <w:t>439</w:t>
            </w:r>
          </w:p>
        </w:tc>
      </w:tr>
      <w:tr>
        <w:trPr>
          <w:trHeight w:val="270" w:hRule="atLeast"/>
        </w:trPr>
        <w:tc>
          <w:tcPr>
            <w:tcW w:w="3425" w:type="dxa"/>
          </w:tcPr>
          <w:p>
            <w:pPr>
              <w:pStyle w:val="TableParagraph"/>
              <w:spacing w:before="38"/>
              <w:ind w:right="1097"/>
              <w:rPr>
                <w:i/>
                <w:sz w:val="17"/>
              </w:rPr>
            </w:pPr>
            <w:r>
              <w:rPr>
                <w:i/>
                <w:sz w:val="17"/>
              </w:rPr>
              <w:t>- spese in conto capitale</w:t>
            </w:r>
          </w:p>
        </w:tc>
        <w:tc>
          <w:tcPr>
            <w:tcW w:w="1822" w:type="dxa"/>
          </w:tcPr>
          <w:p>
            <w:pPr>
              <w:pStyle w:val="TableParagraph"/>
              <w:spacing w:before="38"/>
              <w:ind w:right="322"/>
              <w:rPr>
                <w:i/>
                <w:sz w:val="17"/>
              </w:rPr>
            </w:pPr>
            <w:r>
              <w:rPr>
                <w:i/>
                <w:sz w:val="17"/>
              </w:rPr>
              <w:t>400</w:t>
            </w:r>
          </w:p>
        </w:tc>
        <w:tc>
          <w:tcPr>
            <w:tcW w:w="1090" w:type="dxa"/>
          </w:tcPr>
          <w:p>
            <w:pPr>
              <w:pStyle w:val="TableParagraph"/>
              <w:spacing w:before="38"/>
              <w:ind w:right="322"/>
              <w:rPr>
                <w:i/>
                <w:sz w:val="17"/>
              </w:rPr>
            </w:pPr>
            <w:r>
              <w:rPr>
                <w:i/>
                <w:sz w:val="17"/>
              </w:rPr>
              <w:t>486</w:t>
            </w:r>
          </w:p>
        </w:tc>
        <w:tc>
          <w:tcPr>
            <w:tcW w:w="1090" w:type="dxa"/>
          </w:tcPr>
          <w:p>
            <w:pPr>
              <w:pStyle w:val="TableParagraph"/>
              <w:spacing w:before="38"/>
              <w:ind w:right="322"/>
              <w:rPr>
                <w:i/>
                <w:sz w:val="17"/>
              </w:rPr>
            </w:pPr>
            <w:r>
              <w:rPr>
                <w:i/>
                <w:sz w:val="17"/>
              </w:rPr>
              <w:t>543</w:t>
            </w:r>
          </w:p>
        </w:tc>
        <w:tc>
          <w:tcPr>
            <w:tcW w:w="837" w:type="dxa"/>
          </w:tcPr>
          <w:p>
            <w:pPr>
              <w:pStyle w:val="TableParagraph"/>
              <w:spacing w:before="38"/>
              <w:ind w:right="69"/>
              <w:rPr>
                <w:i/>
                <w:sz w:val="17"/>
              </w:rPr>
            </w:pPr>
            <w:r>
              <w:rPr>
                <w:i/>
                <w:sz w:val="17"/>
              </w:rPr>
              <w:t>488</w:t>
            </w:r>
          </w:p>
        </w:tc>
      </w:tr>
      <w:tr>
        <w:trPr>
          <w:trHeight w:val="270" w:hRule="atLeast"/>
        </w:trPr>
        <w:tc>
          <w:tcPr>
            <w:tcW w:w="3425" w:type="dxa"/>
          </w:tcPr>
          <w:p>
            <w:pPr>
              <w:pStyle w:val="TableParagraph"/>
              <w:spacing w:before="39"/>
              <w:ind w:left="69"/>
              <w:jc w:val="left"/>
              <w:rPr>
                <w:sz w:val="17"/>
              </w:rPr>
            </w:pPr>
            <w:r>
              <w:rPr>
                <w:sz w:val="17"/>
              </w:rPr>
              <w:t>Interventi</w:t>
            </w:r>
          </w:p>
        </w:tc>
        <w:tc>
          <w:tcPr>
            <w:tcW w:w="1822" w:type="dxa"/>
          </w:tcPr>
          <w:p>
            <w:pPr>
              <w:pStyle w:val="TableParagraph"/>
              <w:spacing w:before="39"/>
              <w:ind w:right="322"/>
              <w:rPr>
                <w:i/>
                <w:sz w:val="17"/>
              </w:rPr>
            </w:pPr>
            <w:r>
              <w:rPr>
                <w:i/>
                <w:sz w:val="17"/>
              </w:rPr>
              <w:t>775</w:t>
            </w:r>
          </w:p>
        </w:tc>
        <w:tc>
          <w:tcPr>
            <w:tcW w:w="1090" w:type="dxa"/>
          </w:tcPr>
          <w:p>
            <w:pPr>
              <w:pStyle w:val="TableParagraph"/>
              <w:spacing w:before="39"/>
              <w:ind w:right="323"/>
              <w:rPr>
                <w:i/>
                <w:sz w:val="17"/>
              </w:rPr>
            </w:pPr>
            <w:r>
              <w:rPr>
                <w:i/>
                <w:sz w:val="17"/>
              </w:rPr>
              <w:t>1.216</w:t>
            </w:r>
          </w:p>
        </w:tc>
        <w:tc>
          <w:tcPr>
            <w:tcW w:w="1090" w:type="dxa"/>
          </w:tcPr>
          <w:p>
            <w:pPr>
              <w:pStyle w:val="TableParagraph"/>
              <w:spacing w:before="39"/>
              <w:ind w:right="323"/>
              <w:rPr>
                <w:i/>
                <w:sz w:val="17"/>
              </w:rPr>
            </w:pPr>
            <w:r>
              <w:rPr>
                <w:i/>
                <w:sz w:val="17"/>
              </w:rPr>
              <w:t>1.523</w:t>
            </w:r>
          </w:p>
        </w:tc>
        <w:tc>
          <w:tcPr>
            <w:tcW w:w="837" w:type="dxa"/>
          </w:tcPr>
          <w:p>
            <w:pPr>
              <w:pStyle w:val="TableParagraph"/>
              <w:spacing w:before="39"/>
              <w:ind w:right="70"/>
              <w:rPr>
                <w:i/>
                <w:sz w:val="17"/>
              </w:rPr>
            </w:pPr>
            <w:r>
              <w:rPr>
                <w:i/>
                <w:sz w:val="17"/>
              </w:rPr>
              <w:t>1.230</w:t>
            </w:r>
          </w:p>
        </w:tc>
      </w:tr>
      <w:tr>
        <w:trPr>
          <w:trHeight w:val="270" w:hRule="atLeast"/>
        </w:trPr>
        <w:tc>
          <w:tcPr>
            <w:tcW w:w="3425" w:type="dxa"/>
          </w:tcPr>
          <w:p>
            <w:pPr>
              <w:pStyle w:val="TableParagraph"/>
              <w:spacing w:before="38"/>
              <w:ind w:left="240"/>
              <w:jc w:val="left"/>
              <w:rPr>
                <w:sz w:val="17"/>
              </w:rPr>
            </w:pPr>
            <w:r>
              <w:rPr>
                <w:sz w:val="17"/>
              </w:rPr>
              <w:t>Minori entrate</w:t>
            </w:r>
          </w:p>
        </w:tc>
        <w:tc>
          <w:tcPr>
            <w:tcW w:w="1822" w:type="dxa"/>
          </w:tcPr>
          <w:p>
            <w:pPr>
              <w:pStyle w:val="TableParagraph"/>
              <w:spacing w:before="38"/>
              <w:ind w:right="322"/>
              <w:rPr>
                <w:i/>
                <w:sz w:val="17"/>
              </w:rPr>
            </w:pPr>
            <w:r>
              <w:rPr>
                <w:i/>
                <w:sz w:val="17"/>
              </w:rPr>
              <w:t>103</w:t>
            </w:r>
          </w:p>
        </w:tc>
        <w:tc>
          <w:tcPr>
            <w:tcW w:w="1090" w:type="dxa"/>
          </w:tcPr>
          <w:p>
            <w:pPr>
              <w:pStyle w:val="TableParagraph"/>
              <w:spacing w:before="38"/>
              <w:ind w:right="322"/>
              <w:rPr>
                <w:i/>
                <w:sz w:val="17"/>
              </w:rPr>
            </w:pPr>
            <w:r>
              <w:rPr>
                <w:i/>
                <w:sz w:val="17"/>
              </w:rPr>
              <w:t>439</w:t>
            </w:r>
          </w:p>
        </w:tc>
        <w:tc>
          <w:tcPr>
            <w:tcW w:w="1090" w:type="dxa"/>
          </w:tcPr>
          <w:p>
            <w:pPr>
              <w:pStyle w:val="TableParagraph"/>
              <w:spacing w:before="38"/>
              <w:ind w:right="322"/>
              <w:rPr>
                <w:i/>
                <w:sz w:val="17"/>
              </w:rPr>
            </w:pPr>
            <w:r>
              <w:rPr>
                <w:i/>
                <w:sz w:val="17"/>
              </w:rPr>
              <w:t>615</w:t>
            </w:r>
          </w:p>
        </w:tc>
        <w:tc>
          <w:tcPr>
            <w:tcW w:w="837" w:type="dxa"/>
          </w:tcPr>
          <w:p>
            <w:pPr>
              <w:pStyle w:val="TableParagraph"/>
              <w:spacing w:before="38"/>
              <w:ind w:right="69"/>
              <w:rPr>
                <w:i/>
                <w:sz w:val="17"/>
              </w:rPr>
            </w:pPr>
            <w:r>
              <w:rPr>
                <w:i/>
                <w:sz w:val="17"/>
              </w:rPr>
              <w:t>508</w:t>
            </w:r>
          </w:p>
        </w:tc>
      </w:tr>
      <w:tr>
        <w:trPr>
          <w:trHeight w:val="270" w:hRule="atLeast"/>
        </w:trPr>
        <w:tc>
          <w:tcPr>
            <w:tcW w:w="3425" w:type="dxa"/>
          </w:tcPr>
          <w:p>
            <w:pPr>
              <w:pStyle w:val="TableParagraph"/>
              <w:spacing w:before="39"/>
              <w:ind w:left="240"/>
              <w:jc w:val="left"/>
              <w:rPr>
                <w:sz w:val="17"/>
              </w:rPr>
            </w:pPr>
            <w:r>
              <w:rPr>
                <w:sz w:val="17"/>
              </w:rPr>
              <w:t>Maggiori spese</w:t>
            </w:r>
          </w:p>
        </w:tc>
        <w:tc>
          <w:tcPr>
            <w:tcW w:w="1822" w:type="dxa"/>
          </w:tcPr>
          <w:p>
            <w:pPr>
              <w:pStyle w:val="TableParagraph"/>
              <w:spacing w:before="39"/>
              <w:ind w:right="322"/>
              <w:rPr>
                <w:i/>
                <w:sz w:val="17"/>
              </w:rPr>
            </w:pPr>
            <w:r>
              <w:rPr>
                <w:i/>
                <w:sz w:val="17"/>
              </w:rPr>
              <w:t>672</w:t>
            </w:r>
          </w:p>
        </w:tc>
        <w:tc>
          <w:tcPr>
            <w:tcW w:w="1090" w:type="dxa"/>
          </w:tcPr>
          <w:p>
            <w:pPr>
              <w:pStyle w:val="TableParagraph"/>
              <w:spacing w:before="39"/>
              <w:ind w:right="322"/>
              <w:rPr>
                <w:i/>
                <w:sz w:val="17"/>
              </w:rPr>
            </w:pPr>
            <w:r>
              <w:rPr>
                <w:i/>
                <w:sz w:val="17"/>
              </w:rPr>
              <w:t>777</w:t>
            </w:r>
          </w:p>
        </w:tc>
        <w:tc>
          <w:tcPr>
            <w:tcW w:w="1090" w:type="dxa"/>
          </w:tcPr>
          <w:p>
            <w:pPr>
              <w:pStyle w:val="TableParagraph"/>
              <w:spacing w:before="39"/>
              <w:ind w:right="322"/>
              <w:rPr>
                <w:i/>
                <w:sz w:val="17"/>
              </w:rPr>
            </w:pPr>
            <w:r>
              <w:rPr>
                <w:i/>
                <w:sz w:val="17"/>
              </w:rPr>
              <w:t>908</w:t>
            </w:r>
          </w:p>
        </w:tc>
        <w:tc>
          <w:tcPr>
            <w:tcW w:w="837" w:type="dxa"/>
          </w:tcPr>
          <w:p>
            <w:pPr>
              <w:pStyle w:val="TableParagraph"/>
              <w:spacing w:before="39"/>
              <w:ind w:right="69"/>
              <w:rPr>
                <w:i/>
                <w:sz w:val="17"/>
              </w:rPr>
            </w:pPr>
            <w:r>
              <w:rPr>
                <w:i/>
                <w:sz w:val="17"/>
              </w:rPr>
              <w:t>722</w:t>
            </w:r>
          </w:p>
        </w:tc>
      </w:tr>
      <w:tr>
        <w:trPr>
          <w:trHeight w:val="270" w:hRule="atLeast"/>
        </w:trPr>
        <w:tc>
          <w:tcPr>
            <w:tcW w:w="3425" w:type="dxa"/>
          </w:tcPr>
          <w:p>
            <w:pPr>
              <w:pStyle w:val="TableParagraph"/>
              <w:spacing w:before="38"/>
              <w:ind w:left="580"/>
              <w:jc w:val="left"/>
              <w:rPr>
                <w:i/>
                <w:sz w:val="17"/>
              </w:rPr>
            </w:pPr>
            <w:r>
              <w:rPr>
                <w:i/>
                <w:sz w:val="17"/>
              </w:rPr>
              <w:t>- spese correnti</w:t>
            </w:r>
          </w:p>
        </w:tc>
        <w:tc>
          <w:tcPr>
            <w:tcW w:w="1822" w:type="dxa"/>
          </w:tcPr>
          <w:p>
            <w:pPr>
              <w:pStyle w:val="TableParagraph"/>
              <w:spacing w:before="38"/>
              <w:ind w:right="322"/>
              <w:rPr>
                <w:i/>
                <w:sz w:val="17"/>
              </w:rPr>
            </w:pPr>
            <w:r>
              <w:rPr>
                <w:i/>
                <w:sz w:val="17"/>
              </w:rPr>
              <w:t>227</w:t>
            </w:r>
          </w:p>
        </w:tc>
        <w:tc>
          <w:tcPr>
            <w:tcW w:w="1090" w:type="dxa"/>
          </w:tcPr>
          <w:p>
            <w:pPr>
              <w:pStyle w:val="TableParagraph"/>
              <w:spacing w:before="38"/>
              <w:ind w:right="322"/>
              <w:rPr>
                <w:i/>
                <w:sz w:val="17"/>
              </w:rPr>
            </w:pPr>
            <w:r>
              <w:rPr>
                <w:i/>
                <w:sz w:val="17"/>
              </w:rPr>
              <w:t>190</w:t>
            </w:r>
          </w:p>
        </w:tc>
        <w:tc>
          <w:tcPr>
            <w:tcW w:w="1090" w:type="dxa"/>
          </w:tcPr>
          <w:p>
            <w:pPr>
              <w:pStyle w:val="TableParagraph"/>
              <w:spacing w:before="38"/>
              <w:ind w:right="322"/>
              <w:rPr>
                <w:i/>
                <w:sz w:val="17"/>
              </w:rPr>
            </w:pPr>
            <w:r>
              <w:rPr>
                <w:i/>
                <w:sz w:val="17"/>
              </w:rPr>
              <w:t>137</w:t>
            </w:r>
          </w:p>
        </w:tc>
        <w:tc>
          <w:tcPr>
            <w:tcW w:w="837" w:type="dxa"/>
          </w:tcPr>
          <w:p>
            <w:pPr>
              <w:pStyle w:val="TableParagraph"/>
              <w:spacing w:before="38"/>
              <w:ind w:right="69"/>
              <w:rPr>
                <w:i/>
                <w:sz w:val="17"/>
              </w:rPr>
            </w:pPr>
            <w:r>
              <w:rPr>
                <w:i/>
                <w:sz w:val="17"/>
              </w:rPr>
              <w:t>118</w:t>
            </w:r>
          </w:p>
        </w:tc>
      </w:tr>
      <w:tr>
        <w:trPr>
          <w:trHeight w:val="270" w:hRule="atLeast"/>
        </w:trPr>
        <w:tc>
          <w:tcPr>
            <w:tcW w:w="3425" w:type="dxa"/>
          </w:tcPr>
          <w:p>
            <w:pPr>
              <w:pStyle w:val="TableParagraph"/>
              <w:spacing w:before="39"/>
              <w:ind w:right="1097"/>
              <w:rPr>
                <w:i/>
                <w:sz w:val="17"/>
              </w:rPr>
            </w:pPr>
            <w:r>
              <w:rPr>
                <w:i/>
                <w:sz w:val="17"/>
              </w:rPr>
              <w:t>- spese in conto capitale</w:t>
            </w:r>
          </w:p>
        </w:tc>
        <w:tc>
          <w:tcPr>
            <w:tcW w:w="1822" w:type="dxa"/>
          </w:tcPr>
          <w:p>
            <w:pPr>
              <w:pStyle w:val="TableParagraph"/>
              <w:spacing w:before="39"/>
              <w:ind w:right="322"/>
              <w:rPr>
                <w:i/>
                <w:sz w:val="17"/>
              </w:rPr>
            </w:pPr>
            <w:r>
              <w:rPr>
                <w:i/>
                <w:sz w:val="17"/>
              </w:rPr>
              <w:t>444</w:t>
            </w:r>
          </w:p>
        </w:tc>
        <w:tc>
          <w:tcPr>
            <w:tcW w:w="1090" w:type="dxa"/>
          </w:tcPr>
          <w:p>
            <w:pPr>
              <w:pStyle w:val="TableParagraph"/>
              <w:spacing w:before="39"/>
              <w:ind w:right="322"/>
              <w:rPr>
                <w:i/>
                <w:sz w:val="17"/>
              </w:rPr>
            </w:pPr>
            <w:r>
              <w:rPr>
                <w:i/>
                <w:sz w:val="17"/>
              </w:rPr>
              <w:t>587</w:t>
            </w:r>
          </w:p>
        </w:tc>
        <w:tc>
          <w:tcPr>
            <w:tcW w:w="1090" w:type="dxa"/>
          </w:tcPr>
          <w:p>
            <w:pPr>
              <w:pStyle w:val="TableParagraph"/>
              <w:spacing w:before="39"/>
              <w:ind w:right="322"/>
              <w:rPr>
                <w:i/>
                <w:sz w:val="17"/>
              </w:rPr>
            </w:pPr>
            <w:r>
              <w:rPr>
                <w:i/>
                <w:sz w:val="17"/>
              </w:rPr>
              <w:t>771</w:t>
            </w:r>
          </w:p>
        </w:tc>
        <w:tc>
          <w:tcPr>
            <w:tcW w:w="837" w:type="dxa"/>
          </w:tcPr>
          <w:p>
            <w:pPr>
              <w:pStyle w:val="TableParagraph"/>
              <w:spacing w:before="39"/>
              <w:ind w:right="69"/>
              <w:rPr>
                <w:i/>
                <w:sz w:val="17"/>
              </w:rPr>
            </w:pPr>
            <w:r>
              <w:rPr>
                <w:i/>
                <w:sz w:val="17"/>
              </w:rPr>
              <w:t>604</w:t>
            </w:r>
          </w:p>
        </w:tc>
      </w:tr>
      <w:tr>
        <w:trPr>
          <w:trHeight w:val="270" w:hRule="atLeast"/>
        </w:trPr>
        <w:tc>
          <w:tcPr>
            <w:tcW w:w="3425" w:type="dxa"/>
          </w:tcPr>
          <w:p>
            <w:pPr>
              <w:pStyle w:val="TableParagraph"/>
              <w:spacing w:before="38"/>
              <w:ind w:left="69"/>
              <w:jc w:val="left"/>
              <w:rPr>
                <w:sz w:val="17"/>
              </w:rPr>
            </w:pPr>
            <w:r>
              <w:rPr>
                <w:sz w:val="17"/>
              </w:rPr>
              <w:t>Effetti sull’indebitamento netto</w:t>
            </w:r>
          </w:p>
        </w:tc>
        <w:tc>
          <w:tcPr>
            <w:tcW w:w="1822" w:type="dxa"/>
          </w:tcPr>
          <w:p>
            <w:pPr>
              <w:pStyle w:val="TableParagraph"/>
              <w:spacing w:before="38"/>
              <w:ind w:right="325"/>
              <w:rPr>
                <w:sz w:val="17"/>
              </w:rPr>
            </w:pPr>
            <w:r>
              <w:rPr>
                <w:w w:val="100"/>
                <w:sz w:val="17"/>
              </w:rPr>
              <w:t>6</w:t>
            </w:r>
          </w:p>
        </w:tc>
        <w:tc>
          <w:tcPr>
            <w:tcW w:w="1090" w:type="dxa"/>
          </w:tcPr>
          <w:p>
            <w:pPr>
              <w:pStyle w:val="TableParagraph"/>
              <w:spacing w:before="38"/>
              <w:ind w:right="325"/>
              <w:rPr>
                <w:sz w:val="17"/>
              </w:rPr>
            </w:pPr>
            <w:r>
              <w:rPr>
                <w:w w:val="100"/>
                <w:sz w:val="17"/>
              </w:rPr>
              <w:t>7</w:t>
            </w:r>
          </w:p>
        </w:tc>
        <w:tc>
          <w:tcPr>
            <w:tcW w:w="1090" w:type="dxa"/>
          </w:tcPr>
          <w:p>
            <w:pPr>
              <w:pStyle w:val="TableParagraph"/>
              <w:spacing w:before="38"/>
              <w:ind w:right="325"/>
              <w:rPr>
                <w:sz w:val="17"/>
              </w:rPr>
            </w:pPr>
            <w:r>
              <w:rPr>
                <w:w w:val="100"/>
                <w:sz w:val="17"/>
              </w:rPr>
              <w:t>1</w:t>
            </w:r>
          </w:p>
        </w:tc>
        <w:tc>
          <w:tcPr>
            <w:tcW w:w="837" w:type="dxa"/>
          </w:tcPr>
          <w:p>
            <w:pPr>
              <w:pStyle w:val="TableParagraph"/>
              <w:spacing w:before="38"/>
              <w:ind w:right="72"/>
              <w:rPr>
                <w:sz w:val="17"/>
              </w:rPr>
            </w:pPr>
            <w:r>
              <w:rPr>
                <w:w w:val="100"/>
                <w:sz w:val="17"/>
              </w:rPr>
              <w:t>1</w:t>
            </w:r>
          </w:p>
        </w:tc>
      </w:tr>
      <w:tr>
        <w:trPr>
          <w:trHeight w:val="270" w:hRule="atLeast"/>
        </w:trPr>
        <w:tc>
          <w:tcPr>
            <w:tcW w:w="3425" w:type="dxa"/>
          </w:tcPr>
          <w:p>
            <w:pPr>
              <w:pStyle w:val="TableParagraph"/>
              <w:spacing w:before="39"/>
              <w:ind w:left="240"/>
              <w:jc w:val="left"/>
              <w:rPr>
                <w:i/>
                <w:sz w:val="17"/>
              </w:rPr>
            </w:pPr>
            <w:r>
              <w:rPr>
                <w:i/>
                <w:sz w:val="17"/>
              </w:rPr>
              <w:t>Variazione netta entrate</w:t>
            </w:r>
          </w:p>
        </w:tc>
        <w:tc>
          <w:tcPr>
            <w:tcW w:w="1822" w:type="dxa"/>
          </w:tcPr>
          <w:p>
            <w:pPr>
              <w:pStyle w:val="TableParagraph"/>
              <w:spacing w:before="39"/>
              <w:ind w:right="322"/>
              <w:rPr>
                <w:i/>
                <w:sz w:val="17"/>
              </w:rPr>
            </w:pPr>
            <w:r>
              <w:rPr>
                <w:i/>
                <w:sz w:val="17"/>
              </w:rPr>
              <w:t>-96</w:t>
            </w:r>
          </w:p>
        </w:tc>
        <w:tc>
          <w:tcPr>
            <w:tcW w:w="1090" w:type="dxa"/>
          </w:tcPr>
          <w:p>
            <w:pPr>
              <w:pStyle w:val="TableParagraph"/>
              <w:spacing w:before="39"/>
              <w:ind w:right="322"/>
              <w:rPr>
                <w:i/>
                <w:sz w:val="17"/>
              </w:rPr>
            </w:pPr>
            <w:r>
              <w:rPr>
                <w:i/>
                <w:sz w:val="17"/>
              </w:rPr>
              <w:t>-73</w:t>
            </w:r>
          </w:p>
        </w:tc>
        <w:tc>
          <w:tcPr>
            <w:tcW w:w="1090" w:type="dxa"/>
          </w:tcPr>
          <w:p>
            <w:pPr>
              <w:pStyle w:val="TableParagraph"/>
              <w:spacing w:before="39"/>
              <w:ind w:right="323"/>
              <w:rPr>
                <w:i/>
                <w:sz w:val="17"/>
              </w:rPr>
            </w:pPr>
            <w:r>
              <w:rPr>
                <w:i/>
                <w:sz w:val="17"/>
              </w:rPr>
              <w:t>-217</w:t>
            </w:r>
          </w:p>
        </w:tc>
        <w:tc>
          <w:tcPr>
            <w:tcW w:w="837" w:type="dxa"/>
          </w:tcPr>
          <w:p>
            <w:pPr>
              <w:pStyle w:val="TableParagraph"/>
              <w:spacing w:before="39"/>
              <w:ind w:right="70"/>
              <w:rPr>
                <w:i/>
                <w:sz w:val="17"/>
              </w:rPr>
            </w:pPr>
            <w:r>
              <w:rPr>
                <w:i/>
                <w:sz w:val="17"/>
              </w:rPr>
              <w:t>-204</w:t>
            </w:r>
          </w:p>
        </w:tc>
      </w:tr>
      <w:tr>
        <w:trPr>
          <w:trHeight w:val="270" w:hRule="atLeast"/>
        </w:trPr>
        <w:tc>
          <w:tcPr>
            <w:tcW w:w="3425" w:type="dxa"/>
          </w:tcPr>
          <w:p>
            <w:pPr>
              <w:pStyle w:val="TableParagraph"/>
              <w:spacing w:before="38"/>
              <w:ind w:left="240"/>
              <w:jc w:val="left"/>
              <w:rPr>
                <w:i/>
                <w:sz w:val="17"/>
              </w:rPr>
            </w:pPr>
            <w:r>
              <w:rPr>
                <w:i/>
                <w:sz w:val="17"/>
              </w:rPr>
              <w:t>Variazione netta spese</w:t>
            </w:r>
          </w:p>
        </w:tc>
        <w:tc>
          <w:tcPr>
            <w:tcW w:w="1822" w:type="dxa"/>
          </w:tcPr>
          <w:p>
            <w:pPr>
              <w:pStyle w:val="TableParagraph"/>
              <w:spacing w:before="38"/>
              <w:ind w:right="323"/>
              <w:rPr>
                <w:i/>
                <w:sz w:val="17"/>
              </w:rPr>
            </w:pPr>
            <w:r>
              <w:rPr>
                <w:i/>
                <w:sz w:val="17"/>
              </w:rPr>
              <w:t>-102</w:t>
            </w:r>
          </w:p>
        </w:tc>
        <w:tc>
          <w:tcPr>
            <w:tcW w:w="1090" w:type="dxa"/>
          </w:tcPr>
          <w:p>
            <w:pPr>
              <w:pStyle w:val="TableParagraph"/>
              <w:spacing w:before="38"/>
              <w:ind w:right="322"/>
              <w:rPr>
                <w:i/>
                <w:sz w:val="17"/>
              </w:rPr>
            </w:pPr>
            <w:r>
              <w:rPr>
                <w:i/>
                <w:sz w:val="17"/>
              </w:rPr>
              <w:t>-80</w:t>
            </w:r>
          </w:p>
        </w:tc>
        <w:tc>
          <w:tcPr>
            <w:tcW w:w="1090" w:type="dxa"/>
          </w:tcPr>
          <w:p>
            <w:pPr>
              <w:pStyle w:val="TableParagraph"/>
              <w:spacing w:before="38"/>
              <w:ind w:right="323"/>
              <w:rPr>
                <w:i/>
                <w:sz w:val="17"/>
              </w:rPr>
            </w:pPr>
            <w:r>
              <w:rPr>
                <w:i/>
                <w:sz w:val="17"/>
              </w:rPr>
              <w:t>-218</w:t>
            </w:r>
          </w:p>
        </w:tc>
        <w:tc>
          <w:tcPr>
            <w:tcW w:w="837" w:type="dxa"/>
          </w:tcPr>
          <w:p>
            <w:pPr>
              <w:pStyle w:val="TableParagraph"/>
              <w:spacing w:before="38"/>
              <w:ind w:right="70"/>
              <w:rPr>
                <w:i/>
                <w:sz w:val="17"/>
              </w:rPr>
            </w:pPr>
            <w:r>
              <w:rPr>
                <w:i/>
                <w:sz w:val="17"/>
              </w:rPr>
              <w:t>-206</w:t>
            </w:r>
          </w:p>
        </w:tc>
      </w:tr>
      <w:tr>
        <w:trPr>
          <w:trHeight w:val="270" w:hRule="atLeast"/>
        </w:trPr>
        <w:tc>
          <w:tcPr>
            <w:tcW w:w="3425" w:type="dxa"/>
          </w:tcPr>
          <w:p>
            <w:pPr>
              <w:pStyle w:val="TableParagraph"/>
              <w:spacing w:before="39"/>
              <w:ind w:left="580"/>
              <w:jc w:val="left"/>
              <w:rPr>
                <w:i/>
                <w:sz w:val="17"/>
              </w:rPr>
            </w:pPr>
            <w:r>
              <w:rPr>
                <w:i/>
                <w:sz w:val="17"/>
              </w:rPr>
              <w:t>- spese correnti</w:t>
            </w:r>
          </w:p>
        </w:tc>
        <w:tc>
          <w:tcPr>
            <w:tcW w:w="1822" w:type="dxa"/>
          </w:tcPr>
          <w:p>
            <w:pPr>
              <w:pStyle w:val="TableParagraph"/>
              <w:spacing w:before="39"/>
              <w:ind w:right="323"/>
              <w:rPr>
                <w:i/>
                <w:sz w:val="17"/>
              </w:rPr>
            </w:pPr>
            <w:r>
              <w:rPr>
                <w:i/>
                <w:sz w:val="17"/>
              </w:rPr>
              <w:t>-146</w:t>
            </w:r>
          </w:p>
        </w:tc>
        <w:tc>
          <w:tcPr>
            <w:tcW w:w="1090" w:type="dxa"/>
          </w:tcPr>
          <w:p>
            <w:pPr>
              <w:pStyle w:val="TableParagraph"/>
              <w:spacing w:before="39"/>
              <w:ind w:right="323"/>
              <w:rPr>
                <w:i/>
                <w:sz w:val="17"/>
              </w:rPr>
            </w:pPr>
            <w:r>
              <w:rPr>
                <w:i/>
                <w:sz w:val="17"/>
              </w:rPr>
              <w:t>-181</w:t>
            </w:r>
          </w:p>
        </w:tc>
        <w:tc>
          <w:tcPr>
            <w:tcW w:w="1090" w:type="dxa"/>
          </w:tcPr>
          <w:p>
            <w:pPr>
              <w:pStyle w:val="TableParagraph"/>
              <w:spacing w:before="39"/>
              <w:ind w:right="323"/>
              <w:rPr>
                <w:i/>
                <w:sz w:val="17"/>
              </w:rPr>
            </w:pPr>
            <w:r>
              <w:rPr>
                <w:i/>
                <w:sz w:val="17"/>
              </w:rPr>
              <w:t>-445</w:t>
            </w:r>
          </w:p>
        </w:tc>
        <w:tc>
          <w:tcPr>
            <w:tcW w:w="837" w:type="dxa"/>
          </w:tcPr>
          <w:p>
            <w:pPr>
              <w:pStyle w:val="TableParagraph"/>
              <w:spacing w:before="39"/>
              <w:ind w:right="70"/>
              <w:rPr>
                <w:i/>
                <w:sz w:val="17"/>
              </w:rPr>
            </w:pPr>
            <w:r>
              <w:rPr>
                <w:i/>
                <w:sz w:val="17"/>
              </w:rPr>
              <w:t>-321</w:t>
            </w:r>
          </w:p>
        </w:tc>
      </w:tr>
      <w:tr>
        <w:trPr>
          <w:trHeight w:val="287" w:hRule="atLeast"/>
        </w:trPr>
        <w:tc>
          <w:tcPr>
            <w:tcW w:w="3425" w:type="dxa"/>
            <w:tcBorders>
              <w:bottom w:val="single" w:sz="8" w:space="0" w:color="000000"/>
            </w:tcBorders>
          </w:tcPr>
          <w:p>
            <w:pPr>
              <w:pStyle w:val="TableParagraph"/>
              <w:spacing w:before="38"/>
              <w:ind w:right="1097"/>
              <w:rPr>
                <w:i/>
                <w:sz w:val="17"/>
              </w:rPr>
            </w:pPr>
            <w:r>
              <w:rPr>
                <w:i/>
                <w:sz w:val="17"/>
              </w:rPr>
              <w:t>- spese in conto capitale</w:t>
            </w:r>
          </w:p>
        </w:tc>
        <w:tc>
          <w:tcPr>
            <w:tcW w:w="1822" w:type="dxa"/>
            <w:tcBorders>
              <w:bottom w:val="single" w:sz="8" w:space="0" w:color="000000"/>
            </w:tcBorders>
          </w:tcPr>
          <w:p>
            <w:pPr>
              <w:pStyle w:val="TableParagraph"/>
              <w:spacing w:before="38"/>
              <w:ind w:right="322"/>
              <w:rPr>
                <w:i/>
                <w:sz w:val="17"/>
              </w:rPr>
            </w:pPr>
            <w:r>
              <w:rPr>
                <w:i/>
                <w:sz w:val="17"/>
              </w:rPr>
              <w:t>44</w:t>
            </w:r>
          </w:p>
        </w:tc>
        <w:tc>
          <w:tcPr>
            <w:tcW w:w="1090" w:type="dxa"/>
            <w:tcBorders>
              <w:bottom w:val="single" w:sz="8" w:space="0" w:color="000000"/>
            </w:tcBorders>
          </w:tcPr>
          <w:p>
            <w:pPr>
              <w:pStyle w:val="TableParagraph"/>
              <w:spacing w:before="38"/>
              <w:ind w:right="322"/>
              <w:rPr>
                <w:i/>
                <w:sz w:val="17"/>
              </w:rPr>
            </w:pPr>
            <w:r>
              <w:rPr>
                <w:i/>
                <w:sz w:val="17"/>
              </w:rPr>
              <w:t>101</w:t>
            </w:r>
          </w:p>
        </w:tc>
        <w:tc>
          <w:tcPr>
            <w:tcW w:w="1090" w:type="dxa"/>
            <w:tcBorders>
              <w:bottom w:val="single" w:sz="8" w:space="0" w:color="000000"/>
            </w:tcBorders>
          </w:tcPr>
          <w:p>
            <w:pPr>
              <w:pStyle w:val="TableParagraph"/>
              <w:spacing w:before="38"/>
              <w:ind w:right="322"/>
              <w:rPr>
                <w:i/>
                <w:sz w:val="17"/>
              </w:rPr>
            </w:pPr>
            <w:r>
              <w:rPr>
                <w:i/>
                <w:sz w:val="17"/>
              </w:rPr>
              <w:t>227</w:t>
            </w:r>
          </w:p>
        </w:tc>
        <w:tc>
          <w:tcPr>
            <w:tcW w:w="837" w:type="dxa"/>
            <w:tcBorders>
              <w:bottom w:val="single" w:sz="8" w:space="0" w:color="000000"/>
            </w:tcBorders>
          </w:tcPr>
          <w:p>
            <w:pPr>
              <w:pStyle w:val="TableParagraph"/>
              <w:spacing w:before="38"/>
              <w:ind w:right="69"/>
              <w:rPr>
                <w:i/>
                <w:sz w:val="17"/>
              </w:rPr>
            </w:pPr>
            <w:r>
              <w:rPr>
                <w:i/>
                <w:sz w:val="17"/>
              </w:rPr>
              <w:t>116</w:t>
            </w:r>
          </w:p>
        </w:tc>
      </w:tr>
    </w:tbl>
    <w:p>
      <w:pPr>
        <w:spacing w:before="12"/>
        <w:ind w:left="418" w:right="0" w:firstLine="0"/>
        <w:jc w:val="left"/>
        <w:rPr>
          <w:rFonts w:ascii="Franklin Gothic Book"/>
          <w:sz w:val="17"/>
        </w:rPr>
      </w:pPr>
      <w:r>
        <w:rPr/>
        <w:pict>
          <v:line style="position:absolute;mso-position-horizontal-relative:page;mso-position-vertical-relative:paragraph;z-index:-251466752;mso-wrap-distance-left:0;mso-wrap-distance-right:0" from="73.704002pt,13.790279pt" to="487.534002pt,13.790279pt" stroked="true" strokeweight="1.44pt" strokecolor="#086939">
            <v:stroke dashstyle="solid"/>
            <w10:wrap type="topAndBottom"/>
          </v:line>
        </w:pict>
      </w:r>
      <w:r>
        <w:rPr>
          <w:rFonts w:ascii="Franklin Gothic Book"/>
          <w:sz w:val="17"/>
        </w:rPr>
        <w:t>Nota: eventuali imprecisioni derivano da arrotondamenti.</w:t>
      </w:r>
    </w:p>
    <w:p>
      <w:pPr>
        <w:spacing w:after="0"/>
        <w:jc w:val="left"/>
        <w:rPr>
          <w:rFonts w:ascii="Franklin Gothic Book"/>
          <w:sz w:val="17"/>
        </w:rPr>
        <w:sectPr>
          <w:pgSz w:w="11910" w:h="16840"/>
          <w:pgMar w:header="838" w:footer="866" w:top="1100" w:bottom="1060" w:left="1140" w:right="0"/>
        </w:sectPr>
      </w:pPr>
    </w:p>
    <w:p>
      <w:pPr>
        <w:pStyle w:val="BodyText"/>
        <w:rPr>
          <w:rFonts w:ascii="Franklin Gothic Book"/>
          <w:sz w:val="20"/>
        </w:rPr>
      </w:pPr>
    </w:p>
    <w:p>
      <w:pPr>
        <w:pStyle w:val="BodyText"/>
        <w:rPr>
          <w:rFonts w:ascii="Franklin Gothic Book"/>
          <w:sz w:val="20"/>
        </w:rPr>
      </w:pPr>
    </w:p>
    <w:p>
      <w:pPr>
        <w:pStyle w:val="BodyText"/>
        <w:spacing w:before="10"/>
        <w:rPr>
          <w:rFonts w:ascii="Franklin Gothic Book"/>
          <w:sz w:val="26"/>
        </w:rPr>
      </w:pPr>
    </w:p>
    <w:p>
      <w:pPr>
        <w:pStyle w:val="BodyText"/>
        <w:spacing w:line="252" w:lineRule="auto" w:before="101"/>
        <w:ind w:left="1128" w:right="1413" w:firstLine="453"/>
        <w:jc w:val="both"/>
      </w:pPr>
      <w:r>
        <w:rPr/>
        <w:t>Sui sotto settori della PA (Tavola III.11) si rileva un miglioramento dell’indebitamento netto delle Amministrazioni centrali per effetto delle disposizioni che prevedono l’incremento di gettito e riduzioni di alcuni fondi del bilancio dello Stato.</w:t>
      </w:r>
    </w:p>
    <w:p>
      <w:pPr>
        <w:pStyle w:val="BodyText"/>
        <w:spacing w:line="252" w:lineRule="auto"/>
        <w:ind w:left="1128" w:right="1411" w:firstLine="453"/>
        <w:jc w:val="both"/>
      </w:pPr>
      <w:r>
        <w:rPr/>
        <w:t>In particolare, sul versante delle entrate, per le imprese con l’eccezione delle banche, si prevede l’applicazione di un’aliquota IRES agevolata (che si riduce progressivamente dal 22,5 per cento nel 2019 al 20 per cento dal 2023) sul reddito di</w:t>
      </w:r>
      <w:r>
        <w:rPr>
          <w:spacing w:val="-9"/>
        </w:rPr>
        <w:t> </w:t>
      </w:r>
      <w:r>
        <w:rPr/>
        <w:t>impresa</w:t>
      </w:r>
      <w:r>
        <w:rPr>
          <w:spacing w:val="-8"/>
        </w:rPr>
        <w:t> </w:t>
      </w:r>
      <w:r>
        <w:rPr/>
        <w:t>relativo</w:t>
      </w:r>
      <w:r>
        <w:rPr>
          <w:spacing w:val="-9"/>
        </w:rPr>
        <w:t> </w:t>
      </w:r>
      <w:r>
        <w:rPr/>
        <w:t>al</w:t>
      </w:r>
      <w:r>
        <w:rPr>
          <w:spacing w:val="-8"/>
        </w:rPr>
        <w:t> </w:t>
      </w:r>
      <w:r>
        <w:rPr/>
        <w:t>solo</w:t>
      </w:r>
      <w:r>
        <w:rPr>
          <w:spacing w:val="-9"/>
        </w:rPr>
        <w:t> </w:t>
      </w:r>
      <w:r>
        <w:rPr/>
        <w:t>reimpiego</w:t>
      </w:r>
      <w:r>
        <w:rPr>
          <w:spacing w:val="-8"/>
        </w:rPr>
        <w:t> </w:t>
      </w:r>
      <w:r>
        <w:rPr/>
        <w:t>degli</w:t>
      </w:r>
      <w:r>
        <w:rPr>
          <w:spacing w:val="-8"/>
        </w:rPr>
        <w:t> </w:t>
      </w:r>
      <w:r>
        <w:rPr/>
        <w:t>utili.</w:t>
      </w:r>
      <w:r>
        <w:rPr>
          <w:spacing w:val="-11"/>
        </w:rPr>
        <w:t> </w:t>
      </w:r>
      <w:r>
        <w:rPr/>
        <w:t>La</w:t>
      </w:r>
      <w:r>
        <w:rPr>
          <w:spacing w:val="-8"/>
        </w:rPr>
        <w:t> </w:t>
      </w:r>
      <w:r>
        <w:rPr/>
        <w:t>misura</w:t>
      </w:r>
      <w:r>
        <w:rPr>
          <w:spacing w:val="-9"/>
        </w:rPr>
        <w:t> </w:t>
      </w:r>
      <w:r>
        <w:rPr/>
        <w:t>è</w:t>
      </w:r>
      <w:r>
        <w:rPr>
          <w:spacing w:val="-8"/>
        </w:rPr>
        <w:t> </w:t>
      </w:r>
      <w:r>
        <w:rPr/>
        <w:t>interamente</w:t>
      </w:r>
      <w:r>
        <w:rPr>
          <w:spacing w:val="-8"/>
        </w:rPr>
        <w:t> </w:t>
      </w:r>
      <w:r>
        <w:rPr/>
        <w:t>sostitutiva della tassazione agevolata al 15 per cento della quota di utili reinvestiti in azienda per l’acquisizione di beni strumentali e per l’incremento occupazionale (cd. mini- IRES</w:t>
      </w:r>
      <w:r>
        <w:rPr>
          <w:spacing w:val="-7"/>
        </w:rPr>
        <w:t> </w:t>
      </w:r>
      <w:r>
        <w:rPr/>
        <w:t>prevista</w:t>
      </w:r>
      <w:r>
        <w:rPr>
          <w:spacing w:val="-6"/>
        </w:rPr>
        <w:t> </w:t>
      </w:r>
      <w:r>
        <w:rPr/>
        <w:t>con</w:t>
      </w:r>
      <w:r>
        <w:rPr>
          <w:spacing w:val="-7"/>
        </w:rPr>
        <w:t> </w:t>
      </w:r>
      <w:r>
        <w:rPr/>
        <w:t>la</w:t>
      </w:r>
      <w:r>
        <w:rPr>
          <w:spacing w:val="-6"/>
        </w:rPr>
        <w:t> </w:t>
      </w:r>
      <w:r>
        <w:rPr/>
        <w:t>Legge</w:t>
      </w:r>
      <w:r>
        <w:rPr>
          <w:spacing w:val="-6"/>
        </w:rPr>
        <w:t> </w:t>
      </w:r>
      <w:r>
        <w:rPr/>
        <w:t>di</w:t>
      </w:r>
      <w:r>
        <w:rPr>
          <w:spacing w:val="-7"/>
        </w:rPr>
        <w:t> </w:t>
      </w:r>
      <w:r>
        <w:rPr/>
        <w:t>Bilancio</w:t>
      </w:r>
      <w:r>
        <w:rPr>
          <w:spacing w:val="-6"/>
        </w:rPr>
        <w:t> </w:t>
      </w:r>
      <w:r>
        <w:rPr/>
        <w:t>per</w:t>
      </w:r>
      <w:r>
        <w:rPr>
          <w:spacing w:val="-6"/>
        </w:rPr>
        <w:t> </w:t>
      </w:r>
      <w:r>
        <w:rPr/>
        <w:t>il</w:t>
      </w:r>
      <w:r>
        <w:rPr>
          <w:spacing w:val="-6"/>
        </w:rPr>
        <w:t> </w:t>
      </w:r>
      <w:r>
        <w:rPr/>
        <w:t>2019),</w:t>
      </w:r>
      <w:r>
        <w:rPr>
          <w:spacing w:val="-5"/>
        </w:rPr>
        <w:t> </w:t>
      </w:r>
      <w:r>
        <w:rPr/>
        <w:t>generando</w:t>
      </w:r>
      <w:r>
        <w:rPr>
          <w:spacing w:val="-8"/>
        </w:rPr>
        <w:t> </w:t>
      </w:r>
      <w:r>
        <w:rPr/>
        <w:t>effetti</w:t>
      </w:r>
      <w:r>
        <w:rPr>
          <w:spacing w:val="-6"/>
        </w:rPr>
        <w:t> </w:t>
      </w:r>
      <w:r>
        <w:rPr/>
        <w:t>differenziali</w:t>
      </w:r>
      <w:r>
        <w:rPr>
          <w:spacing w:val="-6"/>
        </w:rPr>
        <w:t> </w:t>
      </w:r>
      <w:r>
        <w:rPr/>
        <w:t>di maggior gettito. Sul piano del recupero dell’evasione fiscale è stata definita una procedura semplificata e automatizzata che consentirà all’Agenzia delle Entrate di verificare la corretta annotazione dell’assolvimento dell’imposta di bollo sulle fatture elettroniche, con conseguenti effetti positivi in termini di maggior</w:t>
      </w:r>
      <w:r>
        <w:rPr>
          <w:spacing w:val="-40"/>
        </w:rPr>
        <w:t> </w:t>
      </w:r>
      <w:r>
        <w:rPr/>
        <w:t>gettito.</w:t>
      </w:r>
    </w:p>
    <w:p>
      <w:pPr>
        <w:pStyle w:val="BodyText"/>
        <w:spacing w:line="252" w:lineRule="auto"/>
        <w:ind w:left="1128" w:right="1413" w:firstLine="453"/>
        <w:jc w:val="both"/>
      </w:pPr>
      <w:r>
        <w:rPr/>
        <w:t>Il deficit delle Amministrazioni locali è dovuto in gran parte alle risorse assegnate ai Comuni per il finanziamento di interventi di efficientamento energetico, di sviluppo territoriale sostenibile e per la messa in sicurezza di edifici pubblici e alla riduzione del concorso alla finanza pubblica delle regioni Friuli Venezia Giulia e Sicilia. Sul disavanzo degli Enti di previdenza rilevano, in particolare, le misure che introducono, in via sperimentale per gli anni 2019-2020, per alcuni lavoratori di imprese con particolari caratteristiche dimensionali impegnate in processi di reindustrializzazione e riorganizzazione, misure di integrazione salariale e incentivi all’esodo connesse all’introduzione del contratto di espansione interprofessionale; nonché l’ampliamento della platea dei lavoratori esposti all’amianto che potranno beneficiare della pensione di inabilità.</w:t>
      </w:r>
    </w:p>
    <w:p>
      <w:pPr>
        <w:pStyle w:val="BodyText"/>
        <w:spacing w:before="1"/>
        <w:rPr>
          <w:sz w:val="24"/>
        </w:rPr>
      </w:pPr>
    </w:p>
    <w:tbl>
      <w:tblPr>
        <w:tblW w:w="0" w:type="auto"/>
        <w:jc w:val="left"/>
        <w:tblInd w:w="1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51"/>
        <w:gridCol w:w="999"/>
        <w:gridCol w:w="1019"/>
        <w:gridCol w:w="1021"/>
        <w:gridCol w:w="778"/>
      </w:tblGrid>
      <w:tr>
        <w:trPr>
          <w:trHeight w:val="540" w:hRule="atLeast"/>
        </w:trPr>
        <w:tc>
          <w:tcPr>
            <w:tcW w:w="8268" w:type="dxa"/>
            <w:gridSpan w:val="5"/>
            <w:shd w:val="clear" w:color="auto" w:fill="086939"/>
          </w:tcPr>
          <w:p>
            <w:pPr>
              <w:pStyle w:val="TableParagraph"/>
              <w:spacing w:line="192" w:lineRule="exact" w:before="60"/>
              <w:ind w:left="76"/>
              <w:jc w:val="left"/>
              <w:rPr>
                <w:rFonts w:ascii="Franklin Gothic Heavy"/>
                <w:b/>
                <w:sz w:val="17"/>
              </w:rPr>
            </w:pPr>
            <w:r>
              <w:rPr>
                <w:rFonts w:ascii="Franklin Gothic Heavy"/>
                <w:b/>
                <w:color w:val="EFEFEF"/>
                <w:sz w:val="17"/>
              </w:rPr>
              <w:t>TAVOLA III.11: EFFETTI NETTI CUMULATI DEGLI ULTIMI PROVVEDIMENTI VARATI NEL 2019 SULL'INDEBI-</w:t>
            </w:r>
          </w:p>
          <w:p>
            <w:pPr>
              <w:pStyle w:val="TableParagraph"/>
              <w:spacing w:line="192" w:lineRule="exact"/>
              <w:ind w:left="76"/>
              <w:jc w:val="left"/>
              <w:rPr>
                <w:rFonts w:ascii="Franklin Gothic Heavy"/>
                <w:b/>
                <w:sz w:val="17"/>
              </w:rPr>
            </w:pPr>
            <w:r>
              <w:rPr>
                <w:rFonts w:ascii="Franklin Gothic Heavy"/>
                <w:b/>
                <w:color w:val="EFEFEF"/>
                <w:sz w:val="17"/>
              </w:rPr>
              <w:t>TAMENTO NETTO DELLA PA PER SOTTOSETTORE (valori in milioni; al lordo degli oneri riflessi)</w:t>
            </w:r>
          </w:p>
        </w:tc>
      </w:tr>
      <w:tr>
        <w:trPr>
          <w:trHeight w:val="299" w:hRule="atLeast"/>
        </w:trPr>
        <w:tc>
          <w:tcPr>
            <w:tcW w:w="4451" w:type="dxa"/>
            <w:tcBorders>
              <w:bottom w:val="single" w:sz="4" w:space="0" w:color="000000"/>
            </w:tcBorders>
          </w:tcPr>
          <w:p>
            <w:pPr>
              <w:pStyle w:val="TableParagraph"/>
              <w:jc w:val="left"/>
              <w:rPr>
                <w:rFonts w:ascii="Times New Roman"/>
                <w:sz w:val="20"/>
              </w:rPr>
            </w:pPr>
          </w:p>
        </w:tc>
        <w:tc>
          <w:tcPr>
            <w:tcW w:w="999" w:type="dxa"/>
            <w:tcBorders>
              <w:bottom w:val="single" w:sz="4" w:space="0" w:color="000000"/>
            </w:tcBorders>
          </w:tcPr>
          <w:p>
            <w:pPr>
              <w:pStyle w:val="TableParagraph"/>
              <w:spacing w:before="36"/>
              <w:ind w:right="307"/>
              <w:rPr>
                <w:sz w:val="17"/>
              </w:rPr>
            </w:pPr>
            <w:r>
              <w:rPr>
                <w:sz w:val="17"/>
              </w:rPr>
              <w:t>2019</w:t>
            </w:r>
          </w:p>
        </w:tc>
        <w:tc>
          <w:tcPr>
            <w:tcW w:w="1019" w:type="dxa"/>
            <w:tcBorders>
              <w:bottom w:val="single" w:sz="4" w:space="0" w:color="000000"/>
            </w:tcBorders>
          </w:tcPr>
          <w:p>
            <w:pPr>
              <w:pStyle w:val="TableParagraph"/>
              <w:spacing w:before="36"/>
              <w:ind w:right="308"/>
              <w:rPr>
                <w:sz w:val="17"/>
              </w:rPr>
            </w:pPr>
            <w:r>
              <w:rPr>
                <w:sz w:val="17"/>
              </w:rPr>
              <w:t>2020</w:t>
            </w:r>
          </w:p>
        </w:tc>
        <w:tc>
          <w:tcPr>
            <w:tcW w:w="1021" w:type="dxa"/>
            <w:tcBorders>
              <w:bottom w:val="single" w:sz="4" w:space="0" w:color="000000"/>
            </w:tcBorders>
          </w:tcPr>
          <w:p>
            <w:pPr>
              <w:pStyle w:val="TableParagraph"/>
              <w:spacing w:before="36"/>
              <w:ind w:right="309"/>
              <w:rPr>
                <w:sz w:val="17"/>
              </w:rPr>
            </w:pPr>
            <w:r>
              <w:rPr>
                <w:sz w:val="17"/>
              </w:rPr>
              <w:t>2021</w:t>
            </w:r>
          </w:p>
        </w:tc>
        <w:tc>
          <w:tcPr>
            <w:tcW w:w="778" w:type="dxa"/>
            <w:tcBorders>
              <w:bottom w:val="single" w:sz="4" w:space="0" w:color="000000"/>
            </w:tcBorders>
          </w:tcPr>
          <w:p>
            <w:pPr>
              <w:pStyle w:val="TableParagraph"/>
              <w:spacing w:before="36"/>
              <w:ind w:right="64"/>
              <w:rPr>
                <w:sz w:val="17"/>
              </w:rPr>
            </w:pPr>
            <w:r>
              <w:rPr>
                <w:sz w:val="17"/>
              </w:rPr>
              <w:t>2022</w:t>
            </w:r>
          </w:p>
        </w:tc>
      </w:tr>
      <w:tr>
        <w:trPr>
          <w:trHeight w:val="290" w:hRule="atLeast"/>
        </w:trPr>
        <w:tc>
          <w:tcPr>
            <w:tcW w:w="4451" w:type="dxa"/>
            <w:tcBorders>
              <w:top w:val="single" w:sz="4" w:space="0" w:color="000000"/>
            </w:tcBorders>
          </w:tcPr>
          <w:p>
            <w:pPr>
              <w:pStyle w:val="TableParagraph"/>
              <w:spacing w:before="60"/>
              <w:ind w:left="120"/>
              <w:jc w:val="left"/>
              <w:rPr>
                <w:sz w:val="17"/>
              </w:rPr>
            </w:pPr>
            <w:r>
              <w:rPr>
                <w:sz w:val="17"/>
              </w:rPr>
              <w:t>AMMINISTRAZIONI CENTRALI</w:t>
            </w:r>
          </w:p>
        </w:tc>
        <w:tc>
          <w:tcPr>
            <w:tcW w:w="999" w:type="dxa"/>
            <w:tcBorders>
              <w:top w:val="single" w:sz="4" w:space="0" w:color="000000"/>
            </w:tcBorders>
          </w:tcPr>
          <w:p>
            <w:pPr>
              <w:pStyle w:val="TableParagraph"/>
              <w:spacing w:before="60"/>
              <w:ind w:right="306"/>
              <w:rPr>
                <w:sz w:val="17"/>
              </w:rPr>
            </w:pPr>
            <w:r>
              <w:rPr>
                <w:sz w:val="17"/>
              </w:rPr>
              <w:t>14</w:t>
            </w:r>
          </w:p>
        </w:tc>
        <w:tc>
          <w:tcPr>
            <w:tcW w:w="1019" w:type="dxa"/>
            <w:tcBorders>
              <w:top w:val="single" w:sz="4" w:space="0" w:color="000000"/>
            </w:tcBorders>
          </w:tcPr>
          <w:p>
            <w:pPr>
              <w:pStyle w:val="TableParagraph"/>
              <w:spacing w:before="60"/>
              <w:ind w:right="307"/>
              <w:rPr>
                <w:sz w:val="17"/>
              </w:rPr>
            </w:pPr>
            <w:r>
              <w:rPr>
                <w:sz w:val="17"/>
              </w:rPr>
              <w:t>246</w:t>
            </w:r>
          </w:p>
        </w:tc>
        <w:tc>
          <w:tcPr>
            <w:tcW w:w="1021" w:type="dxa"/>
            <w:tcBorders>
              <w:top w:val="single" w:sz="4" w:space="0" w:color="000000"/>
            </w:tcBorders>
          </w:tcPr>
          <w:p>
            <w:pPr>
              <w:pStyle w:val="TableParagraph"/>
              <w:spacing w:before="60"/>
              <w:ind w:right="309"/>
              <w:rPr>
                <w:sz w:val="17"/>
              </w:rPr>
            </w:pPr>
            <w:r>
              <w:rPr>
                <w:sz w:val="17"/>
              </w:rPr>
              <w:t>420</w:t>
            </w:r>
          </w:p>
        </w:tc>
        <w:tc>
          <w:tcPr>
            <w:tcW w:w="778" w:type="dxa"/>
            <w:tcBorders>
              <w:top w:val="single" w:sz="4" w:space="0" w:color="000000"/>
            </w:tcBorders>
          </w:tcPr>
          <w:p>
            <w:pPr>
              <w:pStyle w:val="TableParagraph"/>
              <w:spacing w:before="60"/>
              <w:ind w:right="63"/>
              <w:rPr>
                <w:sz w:val="17"/>
              </w:rPr>
            </w:pPr>
            <w:r>
              <w:rPr>
                <w:sz w:val="17"/>
              </w:rPr>
              <w:t>415</w:t>
            </w:r>
          </w:p>
        </w:tc>
      </w:tr>
      <w:tr>
        <w:trPr>
          <w:trHeight w:val="270" w:hRule="atLeast"/>
        </w:trPr>
        <w:tc>
          <w:tcPr>
            <w:tcW w:w="4451" w:type="dxa"/>
          </w:tcPr>
          <w:p>
            <w:pPr>
              <w:pStyle w:val="TableParagraph"/>
              <w:spacing w:before="38"/>
              <w:ind w:left="76"/>
              <w:jc w:val="left"/>
              <w:rPr>
                <w:i/>
                <w:sz w:val="17"/>
              </w:rPr>
            </w:pPr>
            <w:r>
              <w:rPr>
                <w:i/>
                <w:sz w:val="17"/>
              </w:rPr>
              <w:t>- variazione netta entrate</w:t>
            </w:r>
          </w:p>
        </w:tc>
        <w:tc>
          <w:tcPr>
            <w:tcW w:w="999" w:type="dxa"/>
          </w:tcPr>
          <w:p>
            <w:pPr>
              <w:pStyle w:val="TableParagraph"/>
              <w:spacing w:before="38"/>
              <w:ind w:right="306"/>
              <w:rPr>
                <w:i/>
                <w:sz w:val="17"/>
              </w:rPr>
            </w:pPr>
            <w:r>
              <w:rPr>
                <w:i/>
                <w:sz w:val="17"/>
              </w:rPr>
              <w:t>-92</w:t>
            </w:r>
          </w:p>
        </w:tc>
        <w:tc>
          <w:tcPr>
            <w:tcW w:w="1019" w:type="dxa"/>
          </w:tcPr>
          <w:p>
            <w:pPr>
              <w:pStyle w:val="TableParagraph"/>
              <w:spacing w:before="38"/>
              <w:ind w:right="307"/>
              <w:rPr>
                <w:i/>
                <w:sz w:val="17"/>
              </w:rPr>
            </w:pPr>
            <w:r>
              <w:rPr>
                <w:i/>
                <w:sz w:val="17"/>
              </w:rPr>
              <w:t>-73</w:t>
            </w:r>
          </w:p>
        </w:tc>
        <w:tc>
          <w:tcPr>
            <w:tcW w:w="1021" w:type="dxa"/>
          </w:tcPr>
          <w:p>
            <w:pPr>
              <w:pStyle w:val="TableParagraph"/>
              <w:spacing w:before="38"/>
              <w:ind w:right="309"/>
              <w:rPr>
                <w:i/>
                <w:sz w:val="17"/>
              </w:rPr>
            </w:pPr>
            <w:r>
              <w:rPr>
                <w:i/>
                <w:sz w:val="17"/>
              </w:rPr>
              <w:t>-213</w:t>
            </w:r>
          </w:p>
        </w:tc>
        <w:tc>
          <w:tcPr>
            <w:tcW w:w="778" w:type="dxa"/>
          </w:tcPr>
          <w:p>
            <w:pPr>
              <w:pStyle w:val="TableParagraph"/>
              <w:spacing w:before="38"/>
              <w:ind w:right="64"/>
              <w:rPr>
                <w:i/>
                <w:sz w:val="17"/>
              </w:rPr>
            </w:pPr>
            <w:r>
              <w:rPr>
                <w:i/>
                <w:sz w:val="17"/>
              </w:rPr>
              <w:t>-177</w:t>
            </w:r>
          </w:p>
        </w:tc>
      </w:tr>
      <w:tr>
        <w:trPr>
          <w:trHeight w:val="360" w:hRule="atLeast"/>
        </w:trPr>
        <w:tc>
          <w:tcPr>
            <w:tcW w:w="4451" w:type="dxa"/>
          </w:tcPr>
          <w:p>
            <w:pPr>
              <w:pStyle w:val="TableParagraph"/>
              <w:spacing w:before="39"/>
              <w:ind w:left="76"/>
              <w:jc w:val="left"/>
              <w:rPr>
                <w:i/>
                <w:sz w:val="17"/>
              </w:rPr>
            </w:pPr>
            <w:r>
              <w:rPr>
                <w:i/>
                <w:sz w:val="17"/>
              </w:rPr>
              <w:t>- variazione netta spese</w:t>
            </w:r>
          </w:p>
        </w:tc>
        <w:tc>
          <w:tcPr>
            <w:tcW w:w="999" w:type="dxa"/>
          </w:tcPr>
          <w:p>
            <w:pPr>
              <w:pStyle w:val="TableParagraph"/>
              <w:spacing w:before="39"/>
              <w:ind w:right="307"/>
              <w:rPr>
                <w:i/>
                <w:sz w:val="17"/>
              </w:rPr>
            </w:pPr>
            <w:r>
              <w:rPr>
                <w:i/>
                <w:sz w:val="17"/>
              </w:rPr>
              <w:t>-106</w:t>
            </w:r>
          </w:p>
        </w:tc>
        <w:tc>
          <w:tcPr>
            <w:tcW w:w="1019" w:type="dxa"/>
          </w:tcPr>
          <w:p>
            <w:pPr>
              <w:pStyle w:val="TableParagraph"/>
              <w:spacing w:before="39"/>
              <w:ind w:right="308"/>
              <w:rPr>
                <w:i/>
                <w:sz w:val="17"/>
              </w:rPr>
            </w:pPr>
            <w:r>
              <w:rPr>
                <w:i/>
                <w:sz w:val="17"/>
              </w:rPr>
              <w:t>-319</w:t>
            </w:r>
          </w:p>
        </w:tc>
        <w:tc>
          <w:tcPr>
            <w:tcW w:w="1021" w:type="dxa"/>
          </w:tcPr>
          <w:p>
            <w:pPr>
              <w:pStyle w:val="TableParagraph"/>
              <w:spacing w:before="39"/>
              <w:ind w:right="309"/>
              <w:rPr>
                <w:i/>
                <w:sz w:val="17"/>
              </w:rPr>
            </w:pPr>
            <w:r>
              <w:rPr>
                <w:i/>
                <w:sz w:val="17"/>
              </w:rPr>
              <w:t>-633</w:t>
            </w:r>
          </w:p>
        </w:tc>
        <w:tc>
          <w:tcPr>
            <w:tcW w:w="778" w:type="dxa"/>
          </w:tcPr>
          <w:p>
            <w:pPr>
              <w:pStyle w:val="TableParagraph"/>
              <w:spacing w:before="39"/>
              <w:ind w:right="64"/>
              <w:rPr>
                <w:i/>
                <w:sz w:val="17"/>
              </w:rPr>
            </w:pPr>
            <w:r>
              <w:rPr>
                <w:i/>
                <w:sz w:val="17"/>
              </w:rPr>
              <w:t>-591</w:t>
            </w:r>
          </w:p>
        </w:tc>
      </w:tr>
      <w:tr>
        <w:trPr>
          <w:trHeight w:val="360" w:hRule="atLeast"/>
        </w:trPr>
        <w:tc>
          <w:tcPr>
            <w:tcW w:w="4451" w:type="dxa"/>
          </w:tcPr>
          <w:p>
            <w:pPr>
              <w:pStyle w:val="TableParagraph"/>
              <w:spacing w:before="128"/>
              <w:ind w:left="120"/>
              <w:jc w:val="left"/>
              <w:rPr>
                <w:sz w:val="17"/>
              </w:rPr>
            </w:pPr>
            <w:r>
              <w:rPr>
                <w:sz w:val="17"/>
              </w:rPr>
              <w:t>AMMINISTRAZIONI LOCALI</w:t>
            </w:r>
          </w:p>
        </w:tc>
        <w:tc>
          <w:tcPr>
            <w:tcW w:w="999" w:type="dxa"/>
          </w:tcPr>
          <w:p>
            <w:pPr>
              <w:pStyle w:val="TableParagraph"/>
              <w:spacing w:before="128"/>
              <w:ind w:right="306"/>
              <w:rPr>
                <w:sz w:val="17"/>
              </w:rPr>
            </w:pPr>
            <w:r>
              <w:rPr>
                <w:sz w:val="17"/>
              </w:rPr>
              <w:t>28</w:t>
            </w:r>
          </w:p>
        </w:tc>
        <w:tc>
          <w:tcPr>
            <w:tcW w:w="1019" w:type="dxa"/>
          </w:tcPr>
          <w:p>
            <w:pPr>
              <w:pStyle w:val="TableParagraph"/>
              <w:spacing w:before="128"/>
              <w:ind w:right="308"/>
              <w:rPr>
                <w:sz w:val="17"/>
              </w:rPr>
            </w:pPr>
            <w:r>
              <w:rPr>
                <w:sz w:val="17"/>
              </w:rPr>
              <w:t>-181</w:t>
            </w:r>
          </w:p>
        </w:tc>
        <w:tc>
          <w:tcPr>
            <w:tcW w:w="1021" w:type="dxa"/>
          </w:tcPr>
          <w:p>
            <w:pPr>
              <w:pStyle w:val="TableParagraph"/>
              <w:spacing w:before="128"/>
              <w:ind w:right="309"/>
              <w:rPr>
                <w:sz w:val="17"/>
              </w:rPr>
            </w:pPr>
            <w:r>
              <w:rPr>
                <w:sz w:val="17"/>
              </w:rPr>
              <w:t>-397</w:t>
            </w:r>
          </w:p>
        </w:tc>
        <w:tc>
          <w:tcPr>
            <w:tcW w:w="778" w:type="dxa"/>
          </w:tcPr>
          <w:p>
            <w:pPr>
              <w:pStyle w:val="TableParagraph"/>
              <w:spacing w:before="128"/>
              <w:ind w:right="64"/>
              <w:rPr>
                <w:sz w:val="17"/>
              </w:rPr>
            </w:pPr>
            <w:r>
              <w:rPr>
                <w:sz w:val="17"/>
              </w:rPr>
              <w:t>-396</w:t>
            </w:r>
          </w:p>
        </w:tc>
      </w:tr>
      <w:tr>
        <w:trPr>
          <w:trHeight w:val="270" w:hRule="atLeast"/>
        </w:trPr>
        <w:tc>
          <w:tcPr>
            <w:tcW w:w="4451" w:type="dxa"/>
          </w:tcPr>
          <w:p>
            <w:pPr>
              <w:pStyle w:val="TableParagraph"/>
              <w:spacing w:before="39"/>
              <w:ind w:left="76"/>
              <w:jc w:val="left"/>
              <w:rPr>
                <w:i/>
                <w:sz w:val="17"/>
              </w:rPr>
            </w:pPr>
            <w:r>
              <w:rPr>
                <w:i/>
                <w:sz w:val="17"/>
              </w:rPr>
              <w:t>- variazione netta entrate</w:t>
            </w:r>
          </w:p>
        </w:tc>
        <w:tc>
          <w:tcPr>
            <w:tcW w:w="999" w:type="dxa"/>
          </w:tcPr>
          <w:p>
            <w:pPr>
              <w:pStyle w:val="TableParagraph"/>
              <w:spacing w:before="39"/>
              <w:ind w:right="307"/>
              <w:rPr>
                <w:i/>
                <w:sz w:val="17"/>
              </w:rPr>
            </w:pPr>
            <w:r>
              <w:rPr>
                <w:i/>
                <w:sz w:val="17"/>
              </w:rPr>
              <w:t>-3</w:t>
            </w:r>
          </w:p>
        </w:tc>
        <w:tc>
          <w:tcPr>
            <w:tcW w:w="1019" w:type="dxa"/>
          </w:tcPr>
          <w:p>
            <w:pPr>
              <w:pStyle w:val="TableParagraph"/>
              <w:spacing w:before="39"/>
              <w:ind w:right="308"/>
              <w:rPr>
                <w:i/>
                <w:sz w:val="17"/>
              </w:rPr>
            </w:pPr>
            <w:r>
              <w:rPr>
                <w:i/>
                <w:sz w:val="17"/>
              </w:rPr>
              <w:t>-4</w:t>
            </w:r>
          </w:p>
        </w:tc>
        <w:tc>
          <w:tcPr>
            <w:tcW w:w="1021" w:type="dxa"/>
          </w:tcPr>
          <w:p>
            <w:pPr>
              <w:pStyle w:val="TableParagraph"/>
              <w:spacing w:before="39"/>
              <w:ind w:right="308"/>
              <w:rPr>
                <w:i/>
                <w:sz w:val="17"/>
              </w:rPr>
            </w:pPr>
            <w:r>
              <w:rPr>
                <w:i/>
                <w:sz w:val="17"/>
              </w:rPr>
              <w:t>-2</w:t>
            </w:r>
          </w:p>
        </w:tc>
        <w:tc>
          <w:tcPr>
            <w:tcW w:w="778" w:type="dxa"/>
          </w:tcPr>
          <w:p>
            <w:pPr>
              <w:pStyle w:val="TableParagraph"/>
              <w:spacing w:before="39"/>
              <w:ind w:right="63"/>
              <w:rPr>
                <w:i/>
                <w:sz w:val="17"/>
              </w:rPr>
            </w:pPr>
            <w:r>
              <w:rPr>
                <w:i/>
                <w:sz w:val="17"/>
              </w:rPr>
              <w:t>-23</w:t>
            </w:r>
          </w:p>
        </w:tc>
      </w:tr>
      <w:tr>
        <w:trPr>
          <w:trHeight w:val="360" w:hRule="atLeast"/>
        </w:trPr>
        <w:tc>
          <w:tcPr>
            <w:tcW w:w="4451" w:type="dxa"/>
          </w:tcPr>
          <w:p>
            <w:pPr>
              <w:pStyle w:val="TableParagraph"/>
              <w:spacing w:before="38"/>
              <w:ind w:left="76"/>
              <w:jc w:val="left"/>
              <w:rPr>
                <w:i/>
                <w:sz w:val="17"/>
              </w:rPr>
            </w:pPr>
            <w:r>
              <w:rPr>
                <w:i/>
                <w:sz w:val="17"/>
              </w:rPr>
              <w:t>- variazione netta spese</w:t>
            </w:r>
          </w:p>
        </w:tc>
        <w:tc>
          <w:tcPr>
            <w:tcW w:w="999" w:type="dxa"/>
          </w:tcPr>
          <w:p>
            <w:pPr>
              <w:pStyle w:val="TableParagraph"/>
              <w:spacing w:before="38"/>
              <w:ind w:right="306"/>
              <w:rPr>
                <w:i/>
                <w:sz w:val="17"/>
              </w:rPr>
            </w:pPr>
            <w:r>
              <w:rPr>
                <w:i/>
                <w:sz w:val="17"/>
              </w:rPr>
              <w:t>-31</w:t>
            </w:r>
          </w:p>
        </w:tc>
        <w:tc>
          <w:tcPr>
            <w:tcW w:w="1019" w:type="dxa"/>
          </w:tcPr>
          <w:p>
            <w:pPr>
              <w:pStyle w:val="TableParagraph"/>
              <w:spacing w:before="38"/>
              <w:ind w:right="307"/>
              <w:rPr>
                <w:i/>
                <w:sz w:val="17"/>
              </w:rPr>
            </w:pPr>
            <w:r>
              <w:rPr>
                <w:i/>
                <w:sz w:val="17"/>
              </w:rPr>
              <w:t>177</w:t>
            </w:r>
          </w:p>
        </w:tc>
        <w:tc>
          <w:tcPr>
            <w:tcW w:w="1021" w:type="dxa"/>
          </w:tcPr>
          <w:p>
            <w:pPr>
              <w:pStyle w:val="TableParagraph"/>
              <w:spacing w:before="38"/>
              <w:ind w:right="309"/>
              <w:rPr>
                <w:i/>
                <w:sz w:val="17"/>
              </w:rPr>
            </w:pPr>
            <w:r>
              <w:rPr>
                <w:i/>
                <w:sz w:val="17"/>
              </w:rPr>
              <w:t>395</w:t>
            </w:r>
          </w:p>
        </w:tc>
        <w:tc>
          <w:tcPr>
            <w:tcW w:w="778" w:type="dxa"/>
          </w:tcPr>
          <w:p>
            <w:pPr>
              <w:pStyle w:val="TableParagraph"/>
              <w:spacing w:before="38"/>
              <w:ind w:right="63"/>
              <w:rPr>
                <w:i/>
                <w:sz w:val="17"/>
              </w:rPr>
            </w:pPr>
            <w:r>
              <w:rPr>
                <w:i/>
                <w:sz w:val="17"/>
              </w:rPr>
              <w:t>373</w:t>
            </w:r>
          </w:p>
        </w:tc>
      </w:tr>
      <w:tr>
        <w:trPr>
          <w:trHeight w:val="360" w:hRule="atLeast"/>
        </w:trPr>
        <w:tc>
          <w:tcPr>
            <w:tcW w:w="4451" w:type="dxa"/>
          </w:tcPr>
          <w:p>
            <w:pPr>
              <w:pStyle w:val="TableParagraph"/>
              <w:spacing w:before="129"/>
              <w:ind w:left="76"/>
              <w:jc w:val="left"/>
              <w:rPr>
                <w:sz w:val="17"/>
              </w:rPr>
            </w:pPr>
            <w:r>
              <w:rPr>
                <w:sz w:val="17"/>
              </w:rPr>
              <w:t>ENTI DI PREVIDENZA</w:t>
            </w:r>
          </w:p>
        </w:tc>
        <w:tc>
          <w:tcPr>
            <w:tcW w:w="999" w:type="dxa"/>
          </w:tcPr>
          <w:p>
            <w:pPr>
              <w:pStyle w:val="TableParagraph"/>
              <w:spacing w:before="129"/>
              <w:ind w:right="306"/>
              <w:rPr>
                <w:sz w:val="17"/>
              </w:rPr>
            </w:pPr>
            <w:r>
              <w:rPr>
                <w:sz w:val="17"/>
              </w:rPr>
              <w:t>-36</w:t>
            </w:r>
          </w:p>
        </w:tc>
        <w:tc>
          <w:tcPr>
            <w:tcW w:w="1019" w:type="dxa"/>
          </w:tcPr>
          <w:p>
            <w:pPr>
              <w:pStyle w:val="TableParagraph"/>
              <w:spacing w:before="129"/>
              <w:ind w:right="307"/>
              <w:rPr>
                <w:sz w:val="17"/>
              </w:rPr>
            </w:pPr>
            <w:r>
              <w:rPr>
                <w:sz w:val="17"/>
              </w:rPr>
              <w:t>-58</w:t>
            </w:r>
          </w:p>
        </w:tc>
        <w:tc>
          <w:tcPr>
            <w:tcW w:w="1021" w:type="dxa"/>
          </w:tcPr>
          <w:p>
            <w:pPr>
              <w:pStyle w:val="TableParagraph"/>
              <w:spacing w:before="129"/>
              <w:ind w:right="309"/>
              <w:rPr>
                <w:sz w:val="17"/>
              </w:rPr>
            </w:pPr>
            <w:r>
              <w:rPr>
                <w:sz w:val="17"/>
              </w:rPr>
              <w:t>-21</w:t>
            </w:r>
          </w:p>
        </w:tc>
        <w:tc>
          <w:tcPr>
            <w:tcW w:w="778" w:type="dxa"/>
          </w:tcPr>
          <w:p>
            <w:pPr>
              <w:pStyle w:val="TableParagraph"/>
              <w:spacing w:before="129"/>
              <w:ind w:right="63"/>
              <w:rPr>
                <w:sz w:val="17"/>
              </w:rPr>
            </w:pPr>
            <w:r>
              <w:rPr>
                <w:sz w:val="17"/>
              </w:rPr>
              <w:t>-17</w:t>
            </w:r>
          </w:p>
        </w:tc>
      </w:tr>
      <w:tr>
        <w:trPr>
          <w:trHeight w:val="270" w:hRule="atLeast"/>
        </w:trPr>
        <w:tc>
          <w:tcPr>
            <w:tcW w:w="4451" w:type="dxa"/>
          </w:tcPr>
          <w:p>
            <w:pPr>
              <w:pStyle w:val="TableParagraph"/>
              <w:spacing w:before="38"/>
              <w:ind w:left="76"/>
              <w:jc w:val="left"/>
              <w:rPr>
                <w:i/>
                <w:sz w:val="17"/>
              </w:rPr>
            </w:pPr>
            <w:r>
              <w:rPr>
                <w:i/>
                <w:sz w:val="17"/>
              </w:rPr>
              <w:t>- variazione netta entrate</w:t>
            </w:r>
          </w:p>
        </w:tc>
        <w:tc>
          <w:tcPr>
            <w:tcW w:w="999" w:type="dxa"/>
          </w:tcPr>
          <w:p>
            <w:pPr>
              <w:pStyle w:val="TableParagraph"/>
              <w:spacing w:before="38"/>
              <w:ind w:right="309"/>
              <w:rPr>
                <w:i/>
                <w:sz w:val="17"/>
              </w:rPr>
            </w:pPr>
            <w:r>
              <w:rPr>
                <w:i/>
                <w:w w:val="100"/>
                <w:sz w:val="17"/>
              </w:rPr>
              <w:t>0</w:t>
            </w:r>
          </w:p>
        </w:tc>
        <w:tc>
          <w:tcPr>
            <w:tcW w:w="1019" w:type="dxa"/>
          </w:tcPr>
          <w:p>
            <w:pPr>
              <w:pStyle w:val="TableParagraph"/>
              <w:spacing w:before="38"/>
              <w:ind w:right="310"/>
              <w:rPr>
                <w:i/>
                <w:sz w:val="17"/>
              </w:rPr>
            </w:pPr>
            <w:r>
              <w:rPr>
                <w:i/>
                <w:w w:val="100"/>
                <w:sz w:val="17"/>
              </w:rPr>
              <w:t>4</w:t>
            </w:r>
          </w:p>
        </w:tc>
        <w:tc>
          <w:tcPr>
            <w:tcW w:w="1021" w:type="dxa"/>
          </w:tcPr>
          <w:p>
            <w:pPr>
              <w:pStyle w:val="TableParagraph"/>
              <w:spacing w:before="38"/>
              <w:ind w:right="308"/>
              <w:rPr>
                <w:i/>
                <w:sz w:val="17"/>
              </w:rPr>
            </w:pPr>
            <w:r>
              <w:rPr>
                <w:i/>
                <w:sz w:val="17"/>
              </w:rPr>
              <w:t>-2</w:t>
            </w:r>
          </w:p>
        </w:tc>
        <w:tc>
          <w:tcPr>
            <w:tcW w:w="778" w:type="dxa"/>
          </w:tcPr>
          <w:p>
            <w:pPr>
              <w:pStyle w:val="TableParagraph"/>
              <w:spacing w:before="38"/>
              <w:ind w:right="64"/>
              <w:rPr>
                <w:i/>
                <w:sz w:val="17"/>
              </w:rPr>
            </w:pPr>
            <w:r>
              <w:rPr>
                <w:i/>
                <w:sz w:val="17"/>
              </w:rPr>
              <w:t>-5</w:t>
            </w:r>
          </w:p>
        </w:tc>
      </w:tr>
      <w:tr>
        <w:trPr>
          <w:trHeight w:val="360" w:hRule="atLeast"/>
        </w:trPr>
        <w:tc>
          <w:tcPr>
            <w:tcW w:w="4451" w:type="dxa"/>
          </w:tcPr>
          <w:p>
            <w:pPr>
              <w:pStyle w:val="TableParagraph"/>
              <w:spacing w:before="39"/>
              <w:ind w:left="76"/>
              <w:jc w:val="left"/>
              <w:rPr>
                <w:i/>
                <w:sz w:val="17"/>
              </w:rPr>
            </w:pPr>
            <w:r>
              <w:rPr>
                <w:i/>
                <w:sz w:val="17"/>
              </w:rPr>
              <w:t>- variazione netta spese</w:t>
            </w:r>
          </w:p>
        </w:tc>
        <w:tc>
          <w:tcPr>
            <w:tcW w:w="999" w:type="dxa"/>
          </w:tcPr>
          <w:p>
            <w:pPr>
              <w:pStyle w:val="TableParagraph"/>
              <w:spacing w:before="39"/>
              <w:ind w:right="306"/>
              <w:rPr>
                <w:i/>
                <w:sz w:val="17"/>
              </w:rPr>
            </w:pPr>
            <w:r>
              <w:rPr>
                <w:i/>
                <w:sz w:val="17"/>
              </w:rPr>
              <w:t>36</w:t>
            </w:r>
          </w:p>
        </w:tc>
        <w:tc>
          <w:tcPr>
            <w:tcW w:w="1019" w:type="dxa"/>
          </w:tcPr>
          <w:p>
            <w:pPr>
              <w:pStyle w:val="TableParagraph"/>
              <w:spacing w:before="39"/>
              <w:ind w:right="307"/>
              <w:rPr>
                <w:i/>
                <w:sz w:val="17"/>
              </w:rPr>
            </w:pPr>
            <w:r>
              <w:rPr>
                <w:i/>
                <w:sz w:val="17"/>
              </w:rPr>
              <w:t>62</w:t>
            </w:r>
          </w:p>
        </w:tc>
        <w:tc>
          <w:tcPr>
            <w:tcW w:w="1021" w:type="dxa"/>
          </w:tcPr>
          <w:p>
            <w:pPr>
              <w:pStyle w:val="TableParagraph"/>
              <w:spacing w:before="39"/>
              <w:ind w:right="309"/>
              <w:rPr>
                <w:i/>
                <w:sz w:val="17"/>
              </w:rPr>
            </w:pPr>
            <w:r>
              <w:rPr>
                <w:i/>
                <w:sz w:val="17"/>
              </w:rPr>
              <w:t>19</w:t>
            </w:r>
          </w:p>
        </w:tc>
        <w:tc>
          <w:tcPr>
            <w:tcW w:w="778" w:type="dxa"/>
          </w:tcPr>
          <w:p>
            <w:pPr>
              <w:pStyle w:val="TableParagraph"/>
              <w:spacing w:before="39"/>
              <w:ind w:right="63"/>
              <w:rPr>
                <w:i/>
                <w:sz w:val="17"/>
              </w:rPr>
            </w:pPr>
            <w:r>
              <w:rPr>
                <w:i/>
                <w:sz w:val="17"/>
              </w:rPr>
              <w:t>12</w:t>
            </w:r>
          </w:p>
        </w:tc>
      </w:tr>
      <w:tr>
        <w:trPr>
          <w:trHeight w:val="339" w:hRule="atLeast"/>
        </w:trPr>
        <w:tc>
          <w:tcPr>
            <w:tcW w:w="4451" w:type="dxa"/>
            <w:tcBorders>
              <w:bottom w:val="single" w:sz="8" w:space="0" w:color="000000"/>
            </w:tcBorders>
          </w:tcPr>
          <w:p>
            <w:pPr>
              <w:pStyle w:val="TableParagraph"/>
              <w:spacing w:line="191" w:lineRule="exact" w:before="128"/>
              <w:ind w:left="76"/>
              <w:jc w:val="left"/>
              <w:rPr>
                <w:sz w:val="17"/>
              </w:rPr>
            </w:pPr>
            <w:r>
              <w:rPr>
                <w:sz w:val="17"/>
              </w:rPr>
              <w:t>EFFETTI SULL'INDEBITAMENTO NETTO</w:t>
            </w:r>
          </w:p>
        </w:tc>
        <w:tc>
          <w:tcPr>
            <w:tcW w:w="999" w:type="dxa"/>
            <w:tcBorders>
              <w:bottom w:val="single" w:sz="8" w:space="0" w:color="000000"/>
            </w:tcBorders>
          </w:tcPr>
          <w:p>
            <w:pPr>
              <w:pStyle w:val="TableParagraph"/>
              <w:spacing w:line="191" w:lineRule="exact" w:before="128"/>
              <w:ind w:right="309"/>
              <w:rPr>
                <w:sz w:val="17"/>
              </w:rPr>
            </w:pPr>
            <w:r>
              <w:rPr>
                <w:w w:val="100"/>
                <w:sz w:val="17"/>
              </w:rPr>
              <w:t>6</w:t>
            </w:r>
          </w:p>
        </w:tc>
        <w:tc>
          <w:tcPr>
            <w:tcW w:w="1019" w:type="dxa"/>
            <w:tcBorders>
              <w:bottom w:val="single" w:sz="8" w:space="0" w:color="000000"/>
            </w:tcBorders>
          </w:tcPr>
          <w:p>
            <w:pPr>
              <w:pStyle w:val="TableParagraph"/>
              <w:spacing w:line="191" w:lineRule="exact" w:before="128"/>
              <w:ind w:right="310"/>
              <w:rPr>
                <w:sz w:val="17"/>
              </w:rPr>
            </w:pPr>
            <w:r>
              <w:rPr>
                <w:w w:val="100"/>
                <w:sz w:val="17"/>
              </w:rPr>
              <w:t>7</w:t>
            </w:r>
          </w:p>
        </w:tc>
        <w:tc>
          <w:tcPr>
            <w:tcW w:w="1021" w:type="dxa"/>
            <w:tcBorders>
              <w:bottom w:val="single" w:sz="8" w:space="0" w:color="000000"/>
            </w:tcBorders>
          </w:tcPr>
          <w:p>
            <w:pPr>
              <w:pStyle w:val="TableParagraph"/>
              <w:spacing w:line="191" w:lineRule="exact" w:before="128"/>
              <w:ind w:right="311"/>
              <w:rPr>
                <w:sz w:val="17"/>
              </w:rPr>
            </w:pPr>
            <w:r>
              <w:rPr>
                <w:w w:val="100"/>
                <w:sz w:val="17"/>
              </w:rPr>
              <w:t>1</w:t>
            </w:r>
          </w:p>
        </w:tc>
        <w:tc>
          <w:tcPr>
            <w:tcW w:w="778" w:type="dxa"/>
            <w:tcBorders>
              <w:bottom w:val="single" w:sz="8" w:space="0" w:color="000000"/>
            </w:tcBorders>
          </w:tcPr>
          <w:p>
            <w:pPr>
              <w:pStyle w:val="TableParagraph"/>
              <w:spacing w:line="191" w:lineRule="exact" w:before="128"/>
              <w:ind w:right="66"/>
              <w:rPr>
                <w:sz w:val="17"/>
              </w:rPr>
            </w:pPr>
            <w:r>
              <w:rPr>
                <w:w w:val="100"/>
                <w:sz w:val="17"/>
              </w:rPr>
              <w:t>1</w:t>
            </w:r>
          </w:p>
        </w:tc>
      </w:tr>
      <w:tr>
        <w:trPr>
          <w:trHeight w:val="227" w:hRule="atLeast"/>
        </w:trPr>
        <w:tc>
          <w:tcPr>
            <w:tcW w:w="4451" w:type="dxa"/>
            <w:tcBorders>
              <w:top w:val="single" w:sz="8" w:space="0" w:color="000000"/>
              <w:bottom w:val="single" w:sz="12" w:space="0" w:color="086939"/>
            </w:tcBorders>
          </w:tcPr>
          <w:p>
            <w:pPr>
              <w:pStyle w:val="TableParagraph"/>
              <w:spacing w:line="193" w:lineRule="exact"/>
              <w:ind w:left="76"/>
              <w:jc w:val="left"/>
              <w:rPr>
                <w:sz w:val="17"/>
              </w:rPr>
            </w:pPr>
            <w:r>
              <w:rPr>
                <w:sz w:val="17"/>
              </w:rPr>
              <w:t>Nota: eventuali imprecisioni derivano da arrotondamenti.</w:t>
            </w:r>
          </w:p>
        </w:tc>
        <w:tc>
          <w:tcPr>
            <w:tcW w:w="999" w:type="dxa"/>
            <w:tcBorders>
              <w:top w:val="single" w:sz="8" w:space="0" w:color="000000"/>
              <w:bottom w:val="single" w:sz="12" w:space="0" w:color="086939"/>
            </w:tcBorders>
          </w:tcPr>
          <w:p>
            <w:pPr>
              <w:pStyle w:val="TableParagraph"/>
              <w:jc w:val="left"/>
              <w:rPr>
                <w:rFonts w:ascii="Times New Roman"/>
                <w:sz w:val="16"/>
              </w:rPr>
            </w:pPr>
          </w:p>
        </w:tc>
        <w:tc>
          <w:tcPr>
            <w:tcW w:w="1019" w:type="dxa"/>
            <w:tcBorders>
              <w:top w:val="single" w:sz="8" w:space="0" w:color="000000"/>
              <w:bottom w:val="single" w:sz="12" w:space="0" w:color="086939"/>
            </w:tcBorders>
          </w:tcPr>
          <w:p>
            <w:pPr>
              <w:pStyle w:val="TableParagraph"/>
              <w:jc w:val="left"/>
              <w:rPr>
                <w:rFonts w:ascii="Times New Roman"/>
                <w:sz w:val="16"/>
              </w:rPr>
            </w:pPr>
          </w:p>
        </w:tc>
        <w:tc>
          <w:tcPr>
            <w:tcW w:w="1021" w:type="dxa"/>
            <w:tcBorders>
              <w:top w:val="single" w:sz="8" w:space="0" w:color="000000"/>
              <w:bottom w:val="single" w:sz="12" w:space="0" w:color="086939"/>
            </w:tcBorders>
          </w:tcPr>
          <w:p>
            <w:pPr>
              <w:pStyle w:val="TableParagraph"/>
              <w:jc w:val="left"/>
              <w:rPr>
                <w:rFonts w:ascii="Times New Roman"/>
                <w:sz w:val="16"/>
              </w:rPr>
            </w:pPr>
          </w:p>
        </w:tc>
        <w:tc>
          <w:tcPr>
            <w:tcW w:w="778" w:type="dxa"/>
            <w:tcBorders>
              <w:top w:val="single" w:sz="8" w:space="0" w:color="000000"/>
              <w:bottom w:val="single" w:sz="12" w:space="0" w:color="086939"/>
            </w:tcBorders>
          </w:tcPr>
          <w:p>
            <w:pPr>
              <w:pStyle w:val="TableParagraph"/>
              <w:jc w:val="left"/>
              <w:rPr>
                <w:rFonts w:ascii="Times New Roman"/>
                <w:sz w:val="16"/>
              </w:rPr>
            </w:pPr>
          </w:p>
        </w:tc>
      </w:tr>
    </w:tbl>
    <w:p>
      <w:pPr>
        <w:pStyle w:val="BodyText"/>
        <w:rPr>
          <w:sz w:val="21"/>
        </w:rPr>
      </w:pPr>
    </w:p>
    <w:p>
      <w:pPr>
        <w:pStyle w:val="BodyText"/>
        <w:spacing w:line="252" w:lineRule="auto"/>
        <w:ind w:left="1128" w:right="1413" w:firstLine="453"/>
        <w:jc w:val="both"/>
      </w:pPr>
      <w:r>
        <w:rPr/>
        <w:t>Tra</w:t>
      </w:r>
      <w:r>
        <w:rPr>
          <w:spacing w:val="-7"/>
        </w:rPr>
        <w:t> </w:t>
      </w:r>
      <w:r>
        <w:rPr/>
        <w:t>i</w:t>
      </w:r>
      <w:r>
        <w:rPr>
          <w:spacing w:val="-8"/>
        </w:rPr>
        <w:t> </w:t>
      </w:r>
      <w:r>
        <w:rPr/>
        <w:t>principali</w:t>
      </w:r>
      <w:r>
        <w:rPr>
          <w:spacing w:val="-8"/>
        </w:rPr>
        <w:t> </w:t>
      </w:r>
      <w:r>
        <w:rPr/>
        <w:t>interventi</w:t>
      </w:r>
      <w:r>
        <w:rPr>
          <w:spacing w:val="-7"/>
        </w:rPr>
        <w:t> </w:t>
      </w:r>
      <w:r>
        <w:rPr/>
        <w:t>(Tavole</w:t>
      </w:r>
      <w:r>
        <w:rPr>
          <w:spacing w:val="-10"/>
        </w:rPr>
        <w:t> </w:t>
      </w:r>
      <w:r>
        <w:rPr/>
        <w:t>III.12</w:t>
      </w:r>
      <w:r>
        <w:rPr>
          <w:spacing w:val="-9"/>
        </w:rPr>
        <w:t> </w:t>
      </w:r>
      <w:r>
        <w:rPr/>
        <w:t>e</w:t>
      </w:r>
      <w:r>
        <w:rPr>
          <w:spacing w:val="-10"/>
        </w:rPr>
        <w:t> </w:t>
      </w:r>
      <w:r>
        <w:rPr/>
        <w:t>III.13)</w:t>
      </w:r>
      <w:r>
        <w:rPr>
          <w:spacing w:val="-11"/>
        </w:rPr>
        <w:t> </w:t>
      </w:r>
      <w:r>
        <w:rPr/>
        <w:t>rilevano</w:t>
      </w:r>
      <w:r>
        <w:rPr>
          <w:spacing w:val="-9"/>
        </w:rPr>
        <w:t> </w:t>
      </w:r>
      <w:r>
        <w:rPr/>
        <w:t>le</w:t>
      </w:r>
      <w:r>
        <w:rPr>
          <w:spacing w:val="-8"/>
        </w:rPr>
        <w:t> </w:t>
      </w:r>
      <w:r>
        <w:rPr/>
        <w:t>misure</w:t>
      </w:r>
      <w:r>
        <w:rPr>
          <w:spacing w:val="-9"/>
        </w:rPr>
        <w:t> </w:t>
      </w:r>
      <w:r>
        <w:rPr/>
        <w:t>adottate</w:t>
      </w:r>
      <w:r>
        <w:rPr>
          <w:spacing w:val="-8"/>
        </w:rPr>
        <w:t> </w:t>
      </w:r>
      <w:r>
        <w:rPr/>
        <w:t>per rilanciare gli investimenti privati. Nello specifico si prevede l’incremento progressivo,</w:t>
      </w:r>
      <w:r>
        <w:rPr>
          <w:spacing w:val="47"/>
        </w:rPr>
        <w:t> </w:t>
      </w:r>
      <w:r>
        <w:rPr/>
        <w:t>rispetto</w:t>
      </w:r>
      <w:r>
        <w:rPr>
          <w:spacing w:val="46"/>
        </w:rPr>
        <w:t> </w:t>
      </w:r>
      <w:r>
        <w:rPr/>
        <w:t>alla</w:t>
      </w:r>
      <w:r>
        <w:rPr>
          <w:spacing w:val="47"/>
        </w:rPr>
        <w:t> </w:t>
      </w:r>
      <w:r>
        <w:rPr/>
        <w:t>normativa</w:t>
      </w:r>
      <w:r>
        <w:rPr>
          <w:spacing w:val="46"/>
        </w:rPr>
        <w:t> </w:t>
      </w:r>
      <w:r>
        <w:rPr/>
        <w:t>previgente,</w:t>
      </w:r>
      <w:r>
        <w:rPr>
          <w:spacing w:val="48"/>
        </w:rPr>
        <w:t> </w:t>
      </w:r>
      <w:r>
        <w:rPr/>
        <w:t>della</w:t>
      </w:r>
      <w:r>
        <w:rPr>
          <w:spacing w:val="46"/>
        </w:rPr>
        <w:t> </w:t>
      </w:r>
      <w:r>
        <w:rPr/>
        <w:t>quota</w:t>
      </w:r>
      <w:r>
        <w:rPr>
          <w:spacing w:val="47"/>
        </w:rPr>
        <w:t> </w:t>
      </w:r>
      <w:r>
        <w:rPr/>
        <w:t>di</w:t>
      </w:r>
      <w:r>
        <w:rPr>
          <w:spacing w:val="45"/>
        </w:rPr>
        <w:t> </w:t>
      </w:r>
      <w:r>
        <w:rPr/>
        <w:t>deducibilità</w:t>
      </w:r>
      <w:r>
        <w:rPr>
          <w:spacing w:val="47"/>
        </w:rPr>
        <w:t> </w:t>
      </w:r>
      <w:r>
        <w:rPr/>
        <w:t>dal</w:t>
      </w:r>
    </w:p>
    <w:p>
      <w:pPr>
        <w:spacing w:after="0" w:line="252" w:lineRule="auto"/>
        <w:jc w:val="both"/>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278" w:right="2261"/>
        <w:jc w:val="both"/>
      </w:pPr>
      <w:r>
        <w:rPr/>
        <w:t>reddito d’impresa e dal reddito professionale dell’IMU dovuta sui beni strumentali, che</w:t>
      </w:r>
      <w:r>
        <w:rPr>
          <w:spacing w:val="-18"/>
        </w:rPr>
        <w:t> </w:t>
      </w:r>
      <w:r>
        <w:rPr/>
        <w:t>diventerà</w:t>
      </w:r>
      <w:r>
        <w:rPr>
          <w:spacing w:val="-17"/>
        </w:rPr>
        <w:t> </w:t>
      </w:r>
      <w:r>
        <w:rPr/>
        <w:t>totalmente</w:t>
      </w:r>
      <w:r>
        <w:rPr>
          <w:spacing w:val="-16"/>
        </w:rPr>
        <w:t> </w:t>
      </w:r>
      <w:r>
        <w:rPr/>
        <w:t>deducibile</w:t>
      </w:r>
      <w:r>
        <w:rPr>
          <w:spacing w:val="-17"/>
        </w:rPr>
        <w:t> </w:t>
      </w:r>
      <w:r>
        <w:rPr/>
        <w:t>a</w:t>
      </w:r>
      <w:r>
        <w:rPr>
          <w:spacing w:val="-17"/>
        </w:rPr>
        <w:t> </w:t>
      </w:r>
      <w:r>
        <w:rPr/>
        <w:t>decorrere</w:t>
      </w:r>
      <w:r>
        <w:rPr>
          <w:spacing w:val="-19"/>
        </w:rPr>
        <w:t> </w:t>
      </w:r>
      <w:r>
        <w:rPr/>
        <w:t>dal</w:t>
      </w:r>
      <w:r>
        <w:rPr>
          <w:spacing w:val="-17"/>
        </w:rPr>
        <w:t> </w:t>
      </w:r>
      <w:r>
        <w:rPr/>
        <w:t>2023.</w:t>
      </w:r>
      <w:r>
        <w:rPr>
          <w:spacing w:val="-15"/>
        </w:rPr>
        <w:t> </w:t>
      </w:r>
      <w:r>
        <w:rPr/>
        <w:t>Dal</w:t>
      </w:r>
      <w:r>
        <w:rPr>
          <w:spacing w:val="-17"/>
        </w:rPr>
        <w:t> </w:t>
      </w:r>
      <w:r>
        <w:rPr/>
        <w:t>1°</w:t>
      </w:r>
      <w:r>
        <w:rPr>
          <w:spacing w:val="-17"/>
        </w:rPr>
        <w:t> </w:t>
      </w:r>
      <w:r>
        <w:rPr/>
        <w:t>aprile</w:t>
      </w:r>
      <w:r>
        <w:rPr>
          <w:spacing w:val="-16"/>
        </w:rPr>
        <w:t> </w:t>
      </w:r>
      <w:r>
        <w:rPr/>
        <w:t>2019</w:t>
      </w:r>
      <w:r>
        <w:rPr>
          <w:spacing w:val="-18"/>
        </w:rPr>
        <w:t> </w:t>
      </w:r>
      <w:r>
        <w:rPr/>
        <w:t>è</w:t>
      </w:r>
      <w:r>
        <w:rPr>
          <w:spacing w:val="-16"/>
        </w:rPr>
        <w:t> </w:t>
      </w:r>
      <w:r>
        <w:rPr/>
        <w:t>stato ripristinato il super-ammortamento, agevolazione che consente una maggiorazione ai</w:t>
      </w:r>
      <w:r>
        <w:rPr>
          <w:spacing w:val="-8"/>
        </w:rPr>
        <w:t> </w:t>
      </w:r>
      <w:r>
        <w:rPr/>
        <w:t>fini</w:t>
      </w:r>
      <w:r>
        <w:rPr>
          <w:spacing w:val="-8"/>
        </w:rPr>
        <w:t> </w:t>
      </w:r>
      <w:r>
        <w:rPr/>
        <w:t>fiscali</w:t>
      </w:r>
      <w:r>
        <w:rPr>
          <w:spacing w:val="-8"/>
        </w:rPr>
        <w:t> </w:t>
      </w:r>
      <w:r>
        <w:rPr/>
        <w:t>del</w:t>
      </w:r>
      <w:r>
        <w:rPr>
          <w:spacing w:val="-10"/>
        </w:rPr>
        <w:t> </w:t>
      </w:r>
      <w:r>
        <w:rPr/>
        <w:t>30</w:t>
      </w:r>
      <w:r>
        <w:rPr>
          <w:spacing w:val="-8"/>
        </w:rPr>
        <w:t> </w:t>
      </w:r>
      <w:r>
        <w:rPr/>
        <w:t>per</w:t>
      </w:r>
      <w:r>
        <w:rPr>
          <w:spacing w:val="-9"/>
        </w:rPr>
        <w:t> </w:t>
      </w:r>
      <w:r>
        <w:rPr/>
        <w:t>cento</w:t>
      </w:r>
      <w:r>
        <w:rPr>
          <w:spacing w:val="-8"/>
        </w:rPr>
        <w:t> </w:t>
      </w:r>
      <w:r>
        <w:rPr/>
        <w:t>del</w:t>
      </w:r>
      <w:r>
        <w:rPr>
          <w:spacing w:val="-9"/>
        </w:rPr>
        <w:t> </w:t>
      </w:r>
      <w:r>
        <w:rPr/>
        <w:t>costo</w:t>
      </w:r>
      <w:r>
        <w:rPr>
          <w:spacing w:val="-8"/>
        </w:rPr>
        <w:t> </w:t>
      </w:r>
      <w:r>
        <w:rPr/>
        <w:t>di</w:t>
      </w:r>
      <w:r>
        <w:rPr>
          <w:spacing w:val="-8"/>
        </w:rPr>
        <w:t> </w:t>
      </w:r>
      <w:r>
        <w:rPr/>
        <w:t>acquisizione</w:t>
      </w:r>
      <w:r>
        <w:rPr>
          <w:spacing w:val="-7"/>
        </w:rPr>
        <w:t> </w:t>
      </w:r>
      <w:r>
        <w:rPr/>
        <w:t>di</w:t>
      </w:r>
      <w:r>
        <w:rPr>
          <w:spacing w:val="-11"/>
        </w:rPr>
        <w:t> </w:t>
      </w:r>
      <w:r>
        <w:rPr/>
        <w:t>beni</w:t>
      </w:r>
      <w:r>
        <w:rPr>
          <w:spacing w:val="-8"/>
        </w:rPr>
        <w:t> </w:t>
      </w:r>
      <w:r>
        <w:rPr/>
        <w:t>materiali</w:t>
      </w:r>
      <w:r>
        <w:rPr>
          <w:spacing w:val="-8"/>
        </w:rPr>
        <w:t> </w:t>
      </w:r>
      <w:r>
        <w:rPr/>
        <w:t>strumentali nuovi, fissando un tetto di 2,5 milioni di euro agli investimenti agevolabili. Sono state</w:t>
      </w:r>
      <w:r>
        <w:rPr>
          <w:spacing w:val="-21"/>
        </w:rPr>
        <w:t> </w:t>
      </w:r>
      <w:r>
        <w:rPr/>
        <w:t>estese</w:t>
      </w:r>
      <w:r>
        <w:rPr>
          <w:spacing w:val="-20"/>
        </w:rPr>
        <w:t> </w:t>
      </w:r>
      <w:r>
        <w:rPr/>
        <w:t>le</w:t>
      </w:r>
      <w:r>
        <w:rPr>
          <w:spacing w:val="-20"/>
        </w:rPr>
        <w:t> </w:t>
      </w:r>
      <w:r>
        <w:rPr/>
        <w:t>detrazioni</w:t>
      </w:r>
      <w:r>
        <w:rPr>
          <w:spacing w:val="-21"/>
        </w:rPr>
        <w:t> </w:t>
      </w:r>
      <w:r>
        <w:rPr/>
        <w:t>fiscali</w:t>
      </w:r>
      <w:r>
        <w:rPr>
          <w:spacing w:val="-20"/>
        </w:rPr>
        <w:t> </w:t>
      </w:r>
      <w:r>
        <w:rPr/>
        <w:t>previste</w:t>
      </w:r>
      <w:r>
        <w:rPr>
          <w:spacing w:val="-20"/>
        </w:rPr>
        <w:t> </w:t>
      </w:r>
      <w:r>
        <w:rPr/>
        <w:t>da</w:t>
      </w:r>
      <w:r>
        <w:rPr>
          <w:spacing w:val="-21"/>
        </w:rPr>
        <w:t> </w:t>
      </w:r>
      <w:r>
        <w:rPr/>
        <w:t>precedenti</w:t>
      </w:r>
      <w:r>
        <w:rPr>
          <w:spacing w:val="-20"/>
        </w:rPr>
        <w:t> </w:t>
      </w:r>
      <w:r>
        <w:rPr/>
        <w:t>disposizioni</w:t>
      </w:r>
      <w:r>
        <w:rPr>
          <w:spacing w:val="-21"/>
        </w:rPr>
        <w:t> </w:t>
      </w:r>
      <w:r>
        <w:rPr/>
        <w:t>per</w:t>
      </w:r>
      <w:r>
        <w:rPr>
          <w:spacing w:val="-19"/>
        </w:rPr>
        <w:t> </w:t>
      </w:r>
      <w:r>
        <w:rPr/>
        <w:t>gli</w:t>
      </w:r>
      <w:r>
        <w:rPr>
          <w:spacing w:val="-18"/>
        </w:rPr>
        <w:t> </w:t>
      </w:r>
      <w:r>
        <w:rPr/>
        <w:t>interventi di adeguamento antisismico realizzati tramite demolizione e ricostruzione di interi edifici (c.d. sisma bonus) anche agli immobili ricompresi nelle zone classificate a rischio</w:t>
      </w:r>
      <w:r>
        <w:rPr>
          <w:spacing w:val="-6"/>
        </w:rPr>
        <w:t> </w:t>
      </w:r>
      <w:r>
        <w:rPr/>
        <w:t>sismico</w:t>
      </w:r>
      <w:r>
        <w:rPr>
          <w:spacing w:val="-3"/>
        </w:rPr>
        <w:t> </w:t>
      </w:r>
      <w:r>
        <w:rPr/>
        <w:t>2</w:t>
      </w:r>
      <w:r>
        <w:rPr>
          <w:spacing w:val="-4"/>
        </w:rPr>
        <w:t> </w:t>
      </w:r>
      <w:r>
        <w:rPr/>
        <w:t>e</w:t>
      </w:r>
      <w:r>
        <w:rPr>
          <w:spacing w:val="-7"/>
        </w:rPr>
        <w:t> </w:t>
      </w:r>
      <w:r>
        <w:rPr/>
        <w:t>3.</w:t>
      </w:r>
      <w:r>
        <w:rPr>
          <w:spacing w:val="-3"/>
        </w:rPr>
        <w:t> </w:t>
      </w:r>
      <w:r>
        <w:rPr/>
        <w:t>Per</w:t>
      </w:r>
      <w:r>
        <w:rPr>
          <w:spacing w:val="-5"/>
        </w:rPr>
        <w:t> </w:t>
      </w:r>
      <w:r>
        <w:rPr/>
        <w:t>l’anno</w:t>
      </w:r>
      <w:r>
        <w:rPr>
          <w:spacing w:val="-6"/>
        </w:rPr>
        <w:t> </w:t>
      </w:r>
      <w:r>
        <w:rPr/>
        <w:t>2019</w:t>
      </w:r>
      <w:r>
        <w:rPr>
          <w:spacing w:val="-4"/>
        </w:rPr>
        <w:t> </w:t>
      </w:r>
      <w:r>
        <w:rPr/>
        <w:t>è</w:t>
      </w:r>
      <w:r>
        <w:rPr>
          <w:spacing w:val="-3"/>
        </w:rPr>
        <w:t> </w:t>
      </w:r>
      <w:r>
        <w:rPr/>
        <w:t>stato</w:t>
      </w:r>
      <w:r>
        <w:rPr>
          <w:spacing w:val="-5"/>
        </w:rPr>
        <w:t> </w:t>
      </w:r>
      <w:r>
        <w:rPr/>
        <w:t>rifinanziato</w:t>
      </w:r>
      <w:r>
        <w:rPr>
          <w:spacing w:val="-4"/>
        </w:rPr>
        <w:t> </w:t>
      </w:r>
      <w:r>
        <w:rPr/>
        <w:t>il</w:t>
      </w:r>
      <w:r>
        <w:rPr>
          <w:spacing w:val="-4"/>
        </w:rPr>
        <w:t> </w:t>
      </w:r>
      <w:r>
        <w:rPr/>
        <w:t>Fondo</w:t>
      </w:r>
      <w:r>
        <w:rPr>
          <w:spacing w:val="-4"/>
        </w:rPr>
        <w:t> </w:t>
      </w:r>
      <w:r>
        <w:rPr/>
        <w:t>di</w:t>
      </w:r>
      <w:r>
        <w:rPr>
          <w:spacing w:val="-5"/>
        </w:rPr>
        <w:t> </w:t>
      </w:r>
      <w:r>
        <w:rPr/>
        <w:t>garanzia</w:t>
      </w:r>
      <w:r>
        <w:rPr>
          <w:spacing w:val="-4"/>
        </w:rPr>
        <w:t> </w:t>
      </w:r>
      <w:r>
        <w:rPr/>
        <w:t>per</w:t>
      </w:r>
      <w:r>
        <w:rPr>
          <w:spacing w:val="-2"/>
        </w:rPr>
        <w:t> </w:t>
      </w:r>
      <w:r>
        <w:rPr/>
        <w:t>la prima casa ed è stata istituita, nell’ambito del Fondo centrale di garanzia per le PMI, una sezione speciale destinata alla concessione, a titolo oneroso, di garanzie a copertura di finanziamenti di importo massimo di euro 5 milioni e di durata ultradecennale e fino a 30 anni, erogati da banche e intermediari finanziari alle imprese con un numero di dipendenti non superiore a 499 e finalizzati per almeno il 60 per cento a investimenti in beni materiali. Per il triennio 2019-2021 sono previste forme di incentivi per la valorizzazione edilizia, attraverso l’applicazione dell’imposta di registro e delle imposte ipotecaria e catastale nella misura fissa di euro</w:t>
      </w:r>
      <w:r>
        <w:rPr>
          <w:spacing w:val="-7"/>
        </w:rPr>
        <w:t> </w:t>
      </w:r>
      <w:r>
        <w:rPr/>
        <w:t>200</w:t>
      </w:r>
      <w:r>
        <w:rPr>
          <w:spacing w:val="-6"/>
        </w:rPr>
        <w:t> </w:t>
      </w:r>
      <w:r>
        <w:rPr/>
        <w:t>ciascuna</w:t>
      </w:r>
      <w:r>
        <w:rPr>
          <w:spacing w:val="-8"/>
        </w:rPr>
        <w:t> </w:t>
      </w:r>
      <w:r>
        <w:rPr/>
        <w:t>sui</w:t>
      </w:r>
      <w:r>
        <w:rPr>
          <w:spacing w:val="-6"/>
        </w:rPr>
        <w:t> </w:t>
      </w:r>
      <w:r>
        <w:rPr/>
        <w:t>trasferimenti</w:t>
      </w:r>
      <w:r>
        <w:rPr>
          <w:spacing w:val="-6"/>
        </w:rPr>
        <w:t> </w:t>
      </w:r>
      <w:r>
        <w:rPr/>
        <w:t>di</w:t>
      </w:r>
      <w:r>
        <w:rPr>
          <w:spacing w:val="-7"/>
        </w:rPr>
        <w:t> </w:t>
      </w:r>
      <w:r>
        <w:rPr/>
        <w:t>edifici</w:t>
      </w:r>
      <w:r>
        <w:rPr>
          <w:spacing w:val="-6"/>
        </w:rPr>
        <w:t> </w:t>
      </w:r>
      <w:r>
        <w:rPr/>
        <w:t>a</w:t>
      </w:r>
      <w:r>
        <w:rPr>
          <w:spacing w:val="-6"/>
        </w:rPr>
        <w:t> </w:t>
      </w:r>
      <w:r>
        <w:rPr/>
        <w:t>favore</w:t>
      </w:r>
      <w:r>
        <w:rPr>
          <w:spacing w:val="-6"/>
        </w:rPr>
        <w:t> </w:t>
      </w:r>
      <w:r>
        <w:rPr/>
        <w:t>di</w:t>
      </w:r>
      <w:r>
        <w:rPr>
          <w:spacing w:val="-6"/>
        </w:rPr>
        <w:t> </w:t>
      </w:r>
      <w:r>
        <w:rPr/>
        <w:t>imprese</w:t>
      </w:r>
      <w:r>
        <w:rPr>
          <w:spacing w:val="-7"/>
        </w:rPr>
        <w:t> </w:t>
      </w:r>
      <w:r>
        <w:rPr/>
        <w:t>di</w:t>
      </w:r>
      <w:r>
        <w:rPr>
          <w:spacing w:val="-6"/>
        </w:rPr>
        <w:t> </w:t>
      </w:r>
      <w:r>
        <w:rPr/>
        <w:t>costruzione</w:t>
      </w:r>
      <w:r>
        <w:rPr>
          <w:spacing w:val="-4"/>
        </w:rPr>
        <w:t> </w:t>
      </w:r>
      <w:r>
        <w:rPr/>
        <w:t>o</w:t>
      </w:r>
      <w:r>
        <w:rPr>
          <w:spacing w:val="-7"/>
        </w:rPr>
        <w:t> </w:t>
      </w:r>
      <w:r>
        <w:rPr/>
        <w:t>di ristrutturazione</w:t>
      </w:r>
      <w:r>
        <w:rPr>
          <w:spacing w:val="-8"/>
        </w:rPr>
        <w:t> </w:t>
      </w:r>
      <w:r>
        <w:rPr/>
        <w:t>immobiliare</w:t>
      </w:r>
      <w:r>
        <w:rPr>
          <w:spacing w:val="-6"/>
        </w:rPr>
        <w:t> </w:t>
      </w:r>
      <w:r>
        <w:rPr/>
        <w:t>che</w:t>
      </w:r>
      <w:r>
        <w:rPr>
          <w:spacing w:val="-9"/>
        </w:rPr>
        <w:t> </w:t>
      </w:r>
      <w:r>
        <w:rPr/>
        <w:t>realizzino</w:t>
      </w:r>
      <w:r>
        <w:rPr>
          <w:spacing w:val="-8"/>
        </w:rPr>
        <w:t> </w:t>
      </w:r>
      <w:r>
        <w:rPr/>
        <w:t>interventi</w:t>
      </w:r>
      <w:r>
        <w:rPr>
          <w:spacing w:val="-8"/>
        </w:rPr>
        <w:t> </w:t>
      </w:r>
      <w:r>
        <w:rPr/>
        <w:t>di</w:t>
      </w:r>
      <w:r>
        <w:rPr>
          <w:spacing w:val="-7"/>
        </w:rPr>
        <w:t> </w:t>
      </w:r>
      <w:r>
        <w:rPr/>
        <w:t>riqualificazione</w:t>
      </w:r>
      <w:r>
        <w:rPr>
          <w:spacing w:val="-10"/>
        </w:rPr>
        <w:t> </w:t>
      </w:r>
      <w:r>
        <w:rPr/>
        <w:t>energetica e procedano successivamente alla loro</w:t>
      </w:r>
      <w:r>
        <w:rPr>
          <w:spacing w:val="-5"/>
        </w:rPr>
        <w:t> </w:t>
      </w:r>
      <w:r>
        <w:rPr/>
        <w:t>alienazione.</w:t>
      </w:r>
    </w:p>
    <w:p>
      <w:pPr>
        <w:pStyle w:val="BodyText"/>
        <w:spacing w:line="252" w:lineRule="auto" w:before="1"/>
        <w:ind w:left="278" w:right="2262" w:firstLine="453"/>
        <w:jc w:val="both"/>
      </w:pPr>
      <w:r>
        <w:rPr/>
        <w:t>Per</w:t>
      </w:r>
      <w:r>
        <w:rPr>
          <w:spacing w:val="-7"/>
        </w:rPr>
        <w:t> </w:t>
      </w:r>
      <w:r>
        <w:rPr/>
        <w:t>rilanciare</w:t>
      </w:r>
      <w:r>
        <w:rPr>
          <w:spacing w:val="-9"/>
        </w:rPr>
        <w:t> </w:t>
      </w:r>
      <w:r>
        <w:rPr/>
        <w:t>gli</w:t>
      </w:r>
      <w:r>
        <w:rPr>
          <w:spacing w:val="-10"/>
        </w:rPr>
        <w:t> </w:t>
      </w:r>
      <w:r>
        <w:rPr/>
        <w:t>investimenti</w:t>
      </w:r>
      <w:r>
        <w:rPr>
          <w:spacing w:val="-8"/>
        </w:rPr>
        <w:t> </w:t>
      </w:r>
      <w:r>
        <w:rPr/>
        <w:t>degli</w:t>
      </w:r>
      <w:r>
        <w:rPr>
          <w:spacing w:val="-8"/>
        </w:rPr>
        <w:t> </w:t>
      </w:r>
      <w:r>
        <w:rPr/>
        <w:t>Enti</w:t>
      </w:r>
      <w:r>
        <w:rPr>
          <w:spacing w:val="-8"/>
        </w:rPr>
        <w:t> </w:t>
      </w:r>
      <w:r>
        <w:rPr/>
        <w:t>territoriali,</w:t>
      </w:r>
      <w:r>
        <w:rPr>
          <w:spacing w:val="-7"/>
        </w:rPr>
        <w:t> </w:t>
      </w:r>
      <w:r>
        <w:rPr/>
        <w:t>a</w:t>
      </w:r>
      <w:r>
        <w:rPr>
          <w:spacing w:val="-8"/>
        </w:rPr>
        <w:t> </w:t>
      </w:r>
      <w:r>
        <w:rPr/>
        <w:t>partire</w:t>
      </w:r>
      <w:r>
        <w:rPr>
          <w:spacing w:val="-9"/>
        </w:rPr>
        <w:t> </w:t>
      </w:r>
      <w:r>
        <w:rPr/>
        <w:t>dall’anno</w:t>
      </w:r>
      <w:r>
        <w:rPr>
          <w:spacing w:val="-9"/>
        </w:rPr>
        <w:t> </w:t>
      </w:r>
      <w:r>
        <w:rPr/>
        <w:t>2020,</w:t>
      </w:r>
      <w:r>
        <w:rPr>
          <w:spacing w:val="-7"/>
        </w:rPr>
        <w:t> </w:t>
      </w:r>
      <w:r>
        <w:rPr/>
        <w:t>è stato costituito un fondo da destinare ai Comuni per interventi di efficientamento energetico, sviluppo territoriale sostenibile e messa in sicurezza di infrastrutture ed edifici pubblici. Ai medesimi enti, per finalità analoghe, sono assegnate altresì per l’anno 2019 nuove risorse a valere sulle disponibilità del Fondo per lo sviluppo e la coesione. Per ciascuno degli anni dal 2019 al 2033 è stato poi previsto il riconoscimento di un contributo ai fini del concorso al pagamento delle rate in scadenza dei mutui contratti per spese di investimento da parte dei Comuni capoluogo delle città metropolitane in dissesto</w:t>
      </w:r>
      <w:r>
        <w:rPr>
          <w:spacing w:val="-9"/>
        </w:rPr>
        <w:t> </w:t>
      </w:r>
      <w:r>
        <w:rPr/>
        <w:t>finanziario.</w:t>
      </w:r>
    </w:p>
    <w:p>
      <w:pPr>
        <w:pStyle w:val="BodyText"/>
        <w:spacing w:line="252" w:lineRule="auto"/>
        <w:ind w:left="278" w:right="2262" w:firstLine="453"/>
        <w:jc w:val="both"/>
      </w:pPr>
      <w:r>
        <w:rPr/>
        <w:t>Con riferimento alle regioni a statuto speciale è stato recepito l’Accordo sottoscritto in data 25 febbraio 2019 tra lo Stato e la Regione Friuli Venezia Giulia che determina, tra l’altro, una riduzione del concorso della finanza pubblica per ciascun anno del triennio 2019-2021 e il riconoscimento di un contributo per spese di investimento in opere pubbliche, distribuito tra le annualità 2019-2025, a</w:t>
      </w:r>
      <w:r>
        <w:rPr>
          <w:spacing w:val="-47"/>
        </w:rPr>
        <w:t> </w:t>
      </w:r>
      <w:r>
        <w:rPr/>
        <w:t>favore della regione medesima. È stata data attuazione anche all’accordo integrativo tra il</w:t>
      </w:r>
      <w:r>
        <w:rPr>
          <w:spacing w:val="-11"/>
        </w:rPr>
        <w:t> </w:t>
      </w:r>
      <w:r>
        <w:rPr/>
        <w:t>Governo</w:t>
      </w:r>
      <w:r>
        <w:rPr>
          <w:spacing w:val="-12"/>
        </w:rPr>
        <w:t> </w:t>
      </w:r>
      <w:r>
        <w:rPr/>
        <w:t>e</w:t>
      </w:r>
      <w:r>
        <w:rPr>
          <w:spacing w:val="-11"/>
        </w:rPr>
        <w:t> </w:t>
      </w:r>
      <w:r>
        <w:rPr/>
        <w:t>la</w:t>
      </w:r>
      <w:r>
        <w:rPr>
          <w:spacing w:val="-11"/>
        </w:rPr>
        <w:t> </w:t>
      </w:r>
      <w:r>
        <w:rPr/>
        <w:t>Regione</w:t>
      </w:r>
      <w:r>
        <w:rPr>
          <w:spacing w:val="-11"/>
        </w:rPr>
        <w:t> </w:t>
      </w:r>
      <w:r>
        <w:rPr/>
        <w:t>Siciliana</w:t>
      </w:r>
      <w:r>
        <w:rPr>
          <w:spacing w:val="-11"/>
        </w:rPr>
        <w:t> </w:t>
      </w:r>
      <w:r>
        <w:rPr/>
        <w:t>del</w:t>
      </w:r>
      <w:r>
        <w:rPr>
          <w:spacing w:val="-11"/>
        </w:rPr>
        <w:t> </w:t>
      </w:r>
      <w:r>
        <w:rPr/>
        <w:t>15</w:t>
      </w:r>
      <w:r>
        <w:rPr>
          <w:spacing w:val="-11"/>
        </w:rPr>
        <w:t> </w:t>
      </w:r>
      <w:r>
        <w:rPr/>
        <w:t>maggio</w:t>
      </w:r>
      <w:r>
        <w:rPr>
          <w:spacing w:val="-12"/>
        </w:rPr>
        <w:t> </w:t>
      </w:r>
      <w:r>
        <w:rPr/>
        <w:t>2019</w:t>
      </w:r>
      <w:r>
        <w:rPr>
          <w:spacing w:val="-11"/>
        </w:rPr>
        <w:t> </w:t>
      </w:r>
      <w:r>
        <w:rPr/>
        <w:t>per</w:t>
      </w:r>
      <w:r>
        <w:rPr>
          <w:spacing w:val="-10"/>
        </w:rPr>
        <w:t> </w:t>
      </w:r>
      <w:r>
        <w:rPr/>
        <w:t>il</w:t>
      </w:r>
      <w:r>
        <w:rPr>
          <w:spacing w:val="-11"/>
        </w:rPr>
        <w:t> </w:t>
      </w:r>
      <w:r>
        <w:rPr/>
        <w:t>sostegno</w:t>
      </w:r>
      <w:r>
        <w:rPr>
          <w:spacing w:val="-11"/>
        </w:rPr>
        <w:t> </w:t>
      </w:r>
      <w:r>
        <w:rPr/>
        <w:t>ai</w:t>
      </w:r>
      <w:r>
        <w:rPr>
          <w:spacing w:val="-11"/>
        </w:rPr>
        <w:t> </w:t>
      </w:r>
      <w:r>
        <w:rPr/>
        <w:t>liberi</w:t>
      </w:r>
      <w:r>
        <w:rPr>
          <w:spacing w:val="-10"/>
        </w:rPr>
        <w:t> </w:t>
      </w:r>
      <w:r>
        <w:rPr/>
        <w:t>consorzi e alle città metropolitane della regione che comporta per l’anno 2019 la riduzione del</w:t>
      </w:r>
      <w:r>
        <w:rPr>
          <w:spacing w:val="-14"/>
        </w:rPr>
        <w:t> </w:t>
      </w:r>
      <w:r>
        <w:rPr/>
        <w:t>concorso</w:t>
      </w:r>
      <w:r>
        <w:rPr>
          <w:spacing w:val="-15"/>
        </w:rPr>
        <w:t> </w:t>
      </w:r>
      <w:r>
        <w:rPr/>
        <w:t>alla</w:t>
      </w:r>
      <w:r>
        <w:rPr>
          <w:spacing w:val="-14"/>
        </w:rPr>
        <w:t> </w:t>
      </w:r>
      <w:r>
        <w:rPr/>
        <w:t>finanza</w:t>
      </w:r>
      <w:r>
        <w:rPr>
          <w:spacing w:val="-14"/>
        </w:rPr>
        <w:t> </w:t>
      </w:r>
      <w:r>
        <w:rPr/>
        <w:t>pubblica</w:t>
      </w:r>
      <w:r>
        <w:rPr>
          <w:spacing w:val="-14"/>
        </w:rPr>
        <w:t> </w:t>
      </w:r>
      <w:r>
        <w:rPr/>
        <w:t>della</w:t>
      </w:r>
      <w:r>
        <w:rPr>
          <w:spacing w:val="-14"/>
        </w:rPr>
        <w:t> </w:t>
      </w:r>
      <w:r>
        <w:rPr/>
        <w:t>regione</w:t>
      </w:r>
      <w:r>
        <w:rPr>
          <w:spacing w:val="-14"/>
        </w:rPr>
        <w:t> </w:t>
      </w:r>
      <w:r>
        <w:rPr/>
        <w:t>stessa</w:t>
      </w:r>
      <w:r>
        <w:rPr>
          <w:spacing w:val="-15"/>
        </w:rPr>
        <w:t> </w:t>
      </w:r>
      <w:r>
        <w:rPr/>
        <w:t>mediante</w:t>
      </w:r>
      <w:r>
        <w:rPr>
          <w:spacing w:val="-14"/>
        </w:rPr>
        <w:t> </w:t>
      </w:r>
      <w:r>
        <w:rPr/>
        <w:t>l’utilizzo</w:t>
      </w:r>
      <w:r>
        <w:rPr>
          <w:spacing w:val="-14"/>
        </w:rPr>
        <w:t> </w:t>
      </w:r>
      <w:r>
        <w:rPr/>
        <w:t>del</w:t>
      </w:r>
      <w:r>
        <w:rPr>
          <w:spacing w:val="-14"/>
        </w:rPr>
        <w:t> </w:t>
      </w:r>
      <w:r>
        <w:rPr/>
        <w:t>Fondo per lo sviluppo e la coesione – programmazione 2014-2020, nell'ambito della quota di risorse già destinate alla programmazione della Regione</w:t>
      </w:r>
      <w:r>
        <w:rPr>
          <w:spacing w:val="-13"/>
        </w:rPr>
        <w:t> </w:t>
      </w:r>
      <w:r>
        <w:rPr/>
        <w:t>siciliana.</w:t>
      </w:r>
    </w:p>
    <w:p>
      <w:pPr>
        <w:pStyle w:val="BodyText"/>
        <w:spacing w:line="252" w:lineRule="auto"/>
        <w:ind w:left="278" w:right="2260" w:firstLine="453"/>
        <w:jc w:val="both"/>
      </w:pPr>
      <w:r>
        <w:rPr/>
        <w:t>Si è altresì stabilito che Roma Capitale promuova le iniziative necessarie per ottenere l'adesione dei possessori delle obbligazioni Rome-City all'accollo del prestito</w:t>
      </w:r>
      <w:r>
        <w:rPr>
          <w:spacing w:val="-19"/>
        </w:rPr>
        <w:t> </w:t>
      </w:r>
      <w:r>
        <w:rPr/>
        <w:t>obbligazionario</w:t>
      </w:r>
      <w:r>
        <w:rPr>
          <w:spacing w:val="-19"/>
        </w:rPr>
        <w:t> </w:t>
      </w:r>
      <w:r>
        <w:rPr/>
        <w:t>medesimo</w:t>
      </w:r>
      <w:r>
        <w:rPr>
          <w:spacing w:val="-19"/>
        </w:rPr>
        <w:t> </w:t>
      </w:r>
      <w:r>
        <w:rPr/>
        <w:t>da</w:t>
      </w:r>
      <w:r>
        <w:rPr>
          <w:spacing w:val="-20"/>
        </w:rPr>
        <w:t> </w:t>
      </w:r>
      <w:r>
        <w:rPr/>
        <w:t>parte</w:t>
      </w:r>
      <w:r>
        <w:rPr>
          <w:spacing w:val="-19"/>
        </w:rPr>
        <w:t> </w:t>
      </w:r>
      <w:r>
        <w:rPr/>
        <w:t>dello</w:t>
      </w:r>
      <w:r>
        <w:rPr>
          <w:spacing w:val="-17"/>
        </w:rPr>
        <w:t> </w:t>
      </w:r>
      <w:r>
        <w:rPr/>
        <w:t>Stato.</w:t>
      </w:r>
      <w:r>
        <w:rPr>
          <w:spacing w:val="-18"/>
        </w:rPr>
        <w:t> </w:t>
      </w:r>
      <w:r>
        <w:rPr/>
        <w:t>In</w:t>
      </w:r>
      <w:r>
        <w:rPr>
          <w:spacing w:val="-19"/>
        </w:rPr>
        <w:t> </w:t>
      </w:r>
      <w:r>
        <w:rPr/>
        <w:t>caso</w:t>
      </w:r>
      <w:r>
        <w:rPr>
          <w:spacing w:val="-20"/>
        </w:rPr>
        <w:t> </w:t>
      </w:r>
      <w:r>
        <w:rPr/>
        <w:t>di</w:t>
      </w:r>
      <w:r>
        <w:rPr>
          <w:spacing w:val="-20"/>
        </w:rPr>
        <w:t> </w:t>
      </w:r>
      <w:r>
        <w:rPr/>
        <w:t>adesione,</w:t>
      </w:r>
      <w:r>
        <w:rPr>
          <w:spacing w:val="-18"/>
        </w:rPr>
        <w:t> </w:t>
      </w:r>
      <w:r>
        <w:rPr/>
        <w:t>gli</w:t>
      </w:r>
      <w:r>
        <w:rPr>
          <w:spacing w:val="-19"/>
        </w:rPr>
        <w:t> </w:t>
      </w:r>
      <w:r>
        <w:rPr/>
        <w:t>oneri derivanti dal pagamento degli interessi e del capitale del suddetto prestito obbligazionario, attualmente in capo alla Gestione Commissariale del piano di rientro del debito pregresso del comune di Roma e destinati, in mancanza di tale intervento normativo, ad essere trasferiti a Roma Capitale alla conclusione della stessa, saranno assunti a carico del bilancio dello</w:t>
      </w:r>
      <w:r>
        <w:rPr>
          <w:spacing w:val="-8"/>
        </w:rPr>
        <w:t> </w:t>
      </w:r>
      <w:r>
        <w:rPr/>
        <w:t>Stato.</w:t>
      </w:r>
    </w:p>
    <w:p>
      <w:pPr>
        <w:spacing w:after="0" w:line="252" w:lineRule="auto"/>
        <w:jc w:val="both"/>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1128" w:right="1411" w:firstLine="453"/>
        <w:jc w:val="both"/>
      </w:pPr>
      <w:r>
        <w:rPr/>
        <w:t>Altre</w:t>
      </w:r>
      <w:r>
        <w:rPr>
          <w:spacing w:val="-14"/>
        </w:rPr>
        <w:t> </w:t>
      </w:r>
      <w:r>
        <w:rPr/>
        <w:t>disposizioni</w:t>
      </w:r>
      <w:r>
        <w:rPr>
          <w:spacing w:val="-16"/>
        </w:rPr>
        <w:t> </w:t>
      </w:r>
      <w:r>
        <w:rPr/>
        <w:t>riguardano</w:t>
      </w:r>
      <w:r>
        <w:rPr>
          <w:spacing w:val="-15"/>
        </w:rPr>
        <w:t> </w:t>
      </w:r>
      <w:r>
        <w:rPr/>
        <w:t>i</w:t>
      </w:r>
      <w:r>
        <w:rPr>
          <w:spacing w:val="-15"/>
        </w:rPr>
        <w:t> </w:t>
      </w:r>
      <w:r>
        <w:rPr/>
        <w:t>territori</w:t>
      </w:r>
      <w:r>
        <w:rPr>
          <w:spacing w:val="-13"/>
        </w:rPr>
        <w:t> </w:t>
      </w:r>
      <w:r>
        <w:rPr/>
        <w:t>delle</w:t>
      </w:r>
      <w:r>
        <w:rPr>
          <w:spacing w:val="-15"/>
        </w:rPr>
        <w:t> </w:t>
      </w:r>
      <w:r>
        <w:rPr/>
        <w:t>Regioni</w:t>
      </w:r>
      <w:r>
        <w:rPr>
          <w:spacing w:val="-15"/>
        </w:rPr>
        <w:t> </w:t>
      </w:r>
      <w:r>
        <w:rPr/>
        <w:t>Molise</w:t>
      </w:r>
      <w:r>
        <w:rPr>
          <w:spacing w:val="-15"/>
        </w:rPr>
        <w:t> </w:t>
      </w:r>
      <w:r>
        <w:rPr/>
        <w:t>e</w:t>
      </w:r>
      <w:r>
        <w:rPr>
          <w:spacing w:val="-14"/>
        </w:rPr>
        <w:t> </w:t>
      </w:r>
      <w:r>
        <w:rPr/>
        <w:t>Sicilia</w:t>
      </w:r>
      <w:r>
        <w:rPr>
          <w:spacing w:val="-16"/>
        </w:rPr>
        <w:t> </w:t>
      </w:r>
      <w:r>
        <w:rPr/>
        <w:t>colpiti</w:t>
      </w:r>
      <w:r>
        <w:rPr>
          <w:spacing w:val="-14"/>
        </w:rPr>
        <w:t> </w:t>
      </w:r>
      <w:r>
        <w:rPr/>
        <w:t>dagli eventi sismici dell'agosto e del dicembre 2018. Per tali finalità è stata prevista la nomina di due Commissari straordinari incaricati di coordinare e sovrintendere alle attività di ricostruzione e l’assistenza alle popolazioni ripristino e gestire le risorse finanziarie stanziate. Contestualmente, i redditi dei fabbricati distrutti od oggetto di ordinanze sindacali di sgombero fino alla definitiva ricostruzione e agibilità dei fabbricati</w:t>
      </w:r>
      <w:r>
        <w:rPr>
          <w:spacing w:val="-8"/>
        </w:rPr>
        <w:t> </w:t>
      </w:r>
      <w:r>
        <w:rPr/>
        <w:t>medesimi</w:t>
      </w:r>
      <w:r>
        <w:rPr>
          <w:spacing w:val="-7"/>
        </w:rPr>
        <w:t> </w:t>
      </w:r>
      <w:r>
        <w:rPr/>
        <w:t>e</w:t>
      </w:r>
      <w:r>
        <w:rPr>
          <w:spacing w:val="-9"/>
        </w:rPr>
        <w:t> </w:t>
      </w:r>
      <w:r>
        <w:rPr/>
        <w:t>comunque</w:t>
      </w:r>
      <w:r>
        <w:rPr>
          <w:spacing w:val="-7"/>
        </w:rPr>
        <w:t> </w:t>
      </w:r>
      <w:r>
        <w:rPr/>
        <w:t>non</w:t>
      </w:r>
      <w:r>
        <w:rPr>
          <w:spacing w:val="-7"/>
        </w:rPr>
        <w:t> </w:t>
      </w:r>
      <w:r>
        <w:rPr/>
        <w:t>oltre</w:t>
      </w:r>
      <w:r>
        <w:rPr>
          <w:spacing w:val="-6"/>
        </w:rPr>
        <w:t> </w:t>
      </w:r>
      <w:r>
        <w:rPr/>
        <w:t>l’anno</w:t>
      </w:r>
      <w:r>
        <w:rPr>
          <w:spacing w:val="-8"/>
        </w:rPr>
        <w:t> </w:t>
      </w:r>
      <w:r>
        <w:rPr/>
        <w:t>di</w:t>
      </w:r>
      <w:r>
        <w:rPr>
          <w:spacing w:val="-7"/>
        </w:rPr>
        <w:t> </w:t>
      </w:r>
      <w:r>
        <w:rPr/>
        <w:t>imposta</w:t>
      </w:r>
      <w:r>
        <w:rPr>
          <w:spacing w:val="-8"/>
        </w:rPr>
        <w:t> </w:t>
      </w:r>
      <w:r>
        <w:rPr/>
        <w:t>sono</w:t>
      </w:r>
      <w:r>
        <w:rPr>
          <w:spacing w:val="-8"/>
        </w:rPr>
        <w:t> </w:t>
      </w:r>
      <w:r>
        <w:rPr/>
        <w:t>esclusi</w:t>
      </w:r>
      <w:r>
        <w:rPr>
          <w:spacing w:val="-10"/>
        </w:rPr>
        <w:t> </w:t>
      </w:r>
      <w:r>
        <w:rPr/>
        <w:t>dalla</w:t>
      </w:r>
      <w:r>
        <w:rPr>
          <w:spacing w:val="-7"/>
        </w:rPr>
        <w:t> </w:t>
      </w:r>
      <w:r>
        <w:rPr/>
        <w:t>base imponibile ai fini IRPEF e IRES e dal calcolo dell'ISEE (indicatore della situazione economica equivalente). Per il medesimo periodo, gli stessi immobili sono inoltre esenti dall'applicazione dell'imposta municipale propria (IMU) e dal tributo per i servizi indivisibili (TASI). Ulteriori disposizioni intervengono in favore di altri territori colpiti dagli eventi sismici nell’Italia centrale nel 2009 e 2016 e nell’isola di</w:t>
      </w:r>
      <w:r>
        <w:rPr>
          <w:spacing w:val="-8"/>
        </w:rPr>
        <w:t> </w:t>
      </w:r>
      <w:r>
        <w:rPr/>
        <w:t>Ischia</w:t>
      </w:r>
      <w:r>
        <w:rPr>
          <w:spacing w:val="-9"/>
        </w:rPr>
        <w:t> </w:t>
      </w:r>
      <w:r>
        <w:rPr/>
        <w:t>nel</w:t>
      </w:r>
      <w:r>
        <w:rPr>
          <w:spacing w:val="-7"/>
        </w:rPr>
        <w:t> </w:t>
      </w:r>
      <w:r>
        <w:rPr/>
        <w:t>2017</w:t>
      </w:r>
      <w:r>
        <w:rPr>
          <w:spacing w:val="-8"/>
        </w:rPr>
        <w:t> </w:t>
      </w:r>
      <w:r>
        <w:rPr/>
        <w:t>e</w:t>
      </w:r>
      <w:r>
        <w:rPr>
          <w:spacing w:val="-8"/>
        </w:rPr>
        <w:t> </w:t>
      </w:r>
      <w:r>
        <w:rPr/>
        <w:t>prevedono:</w:t>
      </w:r>
      <w:r>
        <w:rPr>
          <w:spacing w:val="-6"/>
        </w:rPr>
        <w:t> </w:t>
      </w:r>
      <w:r>
        <w:rPr/>
        <w:t>l’assunzione</w:t>
      </w:r>
      <w:r>
        <w:rPr>
          <w:spacing w:val="-8"/>
        </w:rPr>
        <w:t> </w:t>
      </w:r>
      <w:r>
        <w:rPr/>
        <w:t>di</w:t>
      </w:r>
      <w:r>
        <w:rPr>
          <w:spacing w:val="-8"/>
        </w:rPr>
        <w:t> </w:t>
      </w:r>
      <w:r>
        <w:rPr/>
        <w:t>personale</w:t>
      </w:r>
      <w:r>
        <w:rPr>
          <w:spacing w:val="-7"/>
        </w:rPr>
        <w:t> </w:t>
      </w:r>
      <w:r>
        <w:rPr/>
        <w:t>tecnico</w:t>
      </w:r>
      <w:r>
        <w:rPr>
          <w:spacing w:val="-8"/>
        </w:rPr>
        <w:t> </w:t>
      </w:r>
      <w:r>
        <w:rPr/>
        <w:t>amministrativo</w:t>
      </w:r>
      <w:r>
        <w:rPr>
          <w:spacing w:val="-8"/>
        </w:rPr>
        <w:t> </w:t>
      </w:r>
      <w:r>
        <w:rPr/>
        <w:t>da impiegare</w:t>
      </w:r>
      <w:r>
        <w:rPr>
          <w:spacing w:val="-9"/>
        </w:rPr>
        <w:t> </w:t>
      </w:r>
      <w:r>
        <w:rPr/>
        <w:t>nei</w:t>
      </w:r>
      <w:r>
        <w:rPr>
          <w:spacing w:val="-9"/>
        </w:rPr>
        <w:t> </w:t>
      </w:r>
      <w:r>
        <w:rPr/>
        <w:t>servizi</w:t>
      </w:r>
      <w:r>
        <w:rPr>
          <w:spacing w:val="-9"/>
        </w:rPr>
        <w:t> </w:t>
      </w:r>
      <w:r>
        <w:rPr/>
        <w:t>per</w:t>
      </w:r>
      <w:r>
        <w:rPr>
          <w:spacing w:val="-11"/>
        </w:rPr>
        <w:t> </w:t>
      </w:r>
      <w:r>
        <w:rPr/>
        <w:t>la</w:t>
      </w:r>
      <w:r>
        <w:rPr>
          <w:spacing w:val="-10"/>
        </w:rPr>
        <w:t> </w:t>
      </w:r>
      <w:r>
        <w:rPr/>
        <w:t>ricostruzione;</w:t>
      </w:r>
      <w:r>
        <w:rPr>
          <w:spacing w:val="-8"/>
        </w:rPr>
        <w:t> </w:t>
      </w:r>
      <w:r>
        <w:rPr/>
        <w:t>l’assegnazione</w:t>
      </w:r>
      <w:r>
        <w:rPr>
          <w:spacing w:val="-10"/>
        </w:rPr>
        <w:t> </w:t>
      </w:r>
      <w:r>
        <w:rPr/>
        <w:t>di</w:t>
      </w:r>
      <w:r>
        <w:rPr>
          <w:spacing w:val="-10"/>
        </w:rPr>
        <w:t> </w:t>
      </w:r>
      <w:r>
        <w:rPr/>
        <w:t>un</w:t>
      </w:r>
      <w:r>
        <w:rPr>
          <w:spacing w:val="-10"/>
        </w:rPr>
        <w:t> </w:t>
      </w:r>
      <w:r>
        <w:rPr/>
        <w:t>contributo</w:t>
      </w:r>
      <w:r>
        <w:rPr>
          <w:spacing w:val="-10"/>
        </w:rPr>
        <w:t> </w:t>
      </w:r>
      <w:r>
        <w:rPr/>
        <w:t>ai</w:t>
      </w:r>
      <w:r>
        <w:rPr>
          <w:spacing w:val="-9"/>
        </w:rPr>
        <w:t> </w:t>
      </w:r>
      <w:r>
        <w:rPr/>
        <w:t>comuni con</w:t>
      </w:r>
      <w:r>
        <w:rPr>
          <w:spacing w:val="-8"/>
        </w:rPr>
        <w:t> </w:t>
      </w:r>
      <w:r>
        <w:rPr/>
        <w:t>popolazione</w:t>
      </w:r>
      <w:r>
        <w:rPr>
          <w:spacing w:val="-7"/>
        </w:rPr>
        <w:t> </w:t>
      </w:r>
      <w:r>
        <w:rPr/>
        <w:t>superiore</w:t>
      </w:r>
      <w:r>
        <w:rPr>
          <w:spacing w:val="-7"/>
        </w:rPr>
        <w:t> </w:t>
      </w:r>
      <w:r>
        <w:rPr/>
        <w:t>a</w:t>
      </w:r>
      <w:r>
        <w:rPr>
          <w:spacing w:val="-9"/>
        </w:rPr>
        <w:t> </w:t>
      </w:r>
      <w:r>
        <w:rPr/>
        <w:t>30.000</w:t>
      </w:r>
      <w:r>
        <w:rPr>
          <w:spacing w:val="-7"/>
        </w:rPr>
        <w:t> </w:t>
      </w:r>
      <w:r>
        <w:rPr/>
        <w:t>abitanti</w:t>
      </w:r>
      <w:r>
        <w:rPr>
          <w:spacing w:val="-8"/>
        </w:rPr>
        <w:t> </w:t>
      </w:r>
      <w:r>
        <w:rPr/>
        <w:t>per</w:t>
      </w:r>
      <w:r>
        <w:rPr>
          <w:spacing w:val="-8"/>
        </w:rPr>
        <w:t> </w:t>
      </w:r>
      <w:r>
        <w:rPr/>
        <w:t>interventi</w:t>
      </w:r>
      <w:r>
        <w:rPr>
          <w:spacing w:val="-7"/>
        </w:rPr>
        <w:t> </w:t>
      </w:r>
      <w:r>
        <w:rPr/>
        <w:t>urgenti</w:t>
      </w:r>
      <w:r>
        <w:rPr>
          <w:spacing w:val="-7"/>
        </w:rPr>
        <w:t> </w:t>
      </w:r>
      <w:r>
        <w:rPr/>
        <w:t>di</w:t>
      </w:r>
      <w:r>
        <w:rPr>
          <w:spacing w:val="-7"/>
        </w:rPr>
        <w:t> </w:t>
      </w:r>
      <w:r>
        <w:rPr/>
        <w:t>manutenzione straordinaria o di messa in sicurezza di strade ed infrastrutture e misure per garantire la continuità dei servizi</w:t>
      </w:r>
      <w:r>
        <w:rPr>
          <w:spacing w:val="-3"/>
        </w:rPr>
        <w:t> </w:t>
      </w:r>
      <w:r>
        <w:rPr/>
        <w:t>scolastici.</w:t>
      </w:r>
    </w:p>
    <w:p>
      <w:pPr>
        <w:pStyle w:val="BodyText"/>
        <w:spacing w:line="252" w:lineRule="auto" w:before="1"/>
        <w:ind w:left="1128" w:right="1411" w:firstLine="453"/>
        <w:jc w:val="both"/>
      </w:pPr>
      <w:r>
        <w:rPr/>
        <w:t>Per favorire l’aggregazione aziendale di società nell’Italia meridionale si consente la possibilità di trasferire al soggetto derivante dall’aggregazione le attività fiscali differite (DTA) di singoli contribuenti e trasformarle in credito di imposta, a fronte del pagamento di un canone annuo determinato applicando l’aliquota dell’1,5 per cento alla differenza tra le DTA e le imposte versate. Con lo scopo di rendere maggiormente attrattiva per le imprese la facoltà, già prevista dalla normativa vigente, di insediamento con specifici programmi di investimento nelle</w:t>
      </w:r>
      <w:r>
        <w:rPr>
          <w:spacing w:val="-5"/>
        </w:rPr>
        <w:t> </w:t>
      </w:r>
      <w:r>
        <w:rPr/>
        <w:t>Zone</w:t>
      </w:r>
      <w:r>
        <w:rPr>
          <w:spacing w:val="-6"/>
        </w:rPr>
        <w:t> </w:t>
      </w:r>
      <w:r>
        <w:rPr/>
        <w:t>economiche</w:t>
      </w:r>
      <w:r>
        <w:rPr>
          <w:spacing w:val="-5"/>
        </w:rPr>
        <w:t> </w:t>
      </w:r>
      <w:r>
        <w:rPr/>
        <w:t>speciali</w:t>
      </w:r>
      <w:r>
        <w:rPr>
          <w:spacing w:val="-6"/>
        </w:rPr>
        <w:t> </w:t>
      </w:r>
      <w:r>
        <w:rPr/>
        <w:t>istituite</w:t>
      </w:r>
      <w:r>
        <w:rPr>
          <w:spacing w:val="-5"/>
        </w:rPr>
        <w:t> </w:t>
      </w:r>
      <w:r>
        <w:rPr/>
        <w:t>in</w:t>
      </w:r>
      <w:r>
        <w:rPr>
          <w:spacing w:val="-6"/>
        </w:rPr>
        <w:t> </w:t>
      </w:r>
      <w:r>
        <w:rPr/>
        <w:t>alcune</w:t>
      </w:r>
      <w:r>
        <w:rPr>
          <w:spacing w:val="-4"/>
        </w:rPr>
        <w:t> </w:t>
      </w:r>
      <w:r>
        <w:rPr/>
        <w:t>aree</w:t>
      </w:r>
      <w:r>
        <w:rPr>
          <w:spacing w:val="-5"/>
        </w:rPr>
        <w:t> </w:t>
      </w:r>
      <w:r>
        <w:rPr/>
        <w:t>svantaggiate</w:t>
      </w:r>
      <w:r>
        <w:rPr>
          <w:spacing w:val="-5"/>
        </w:rPr>
        <w:t> </w:t>
      </w:r>
      <w:r>
        <w:rPr/>
        <w:t>del</w:t>
      </w:r>
      <w:r>
        <w:rPr>
          <w:spacing w:val="-3"/>
        </w:rPr>
        <w:t> </w:t>
      </w:r>
      <w:r>
        <w:rPr/>
        <w:t>Paese</w:t>
      </w:r>
      <w:r>
        <w:rPr>
          <w:spacing w:val="-5"/>
        </w:rPr>
        <w:t> </w:t>
      </w:r>
      <w:r>
        <w:rPr/>
        <w:t>sono previsti nuovi finanziamenti a valere sulle risorse del Fondo per lo sviluppo e la coesione.</w:t>
      </w:r>
    </w:p>
    <w:p>
      <w:pPr>
        <w:pStyle w:val="BodyText"/>
        <w:tabs>
          <w:tab w:pos="2097" w:val="left" w:leader="none"/>
          <w:tab w:pos="2876" w:val="left" w:leader="none"/>
          <w:tab w:pos="3747" w:val="left" w:leader="none"/>
          <w:tab w:pos="5837" w:val="left" w:leader="none"/>
          <w:tab w:pos="6600" w:val="left" w:leader="none"/>
          <w:tab w:pos="7322" w:val="left" w:leader="none"/>
        </w:tabs>
        <w:spacing w:line="252" w:lineRule="auto" w:before="1"/>
        <w:ind w:left="1128" w:right="1411" w:firstLine="453"/>
        <w:jc w:val="right"/>
      </w:pPr>
      <w:r>
        <w:rPr/>
        <w:t>Altri</w:t>
      </w:r>
      <w:r>
        <w:rPr>
          <w:spacing w:val="-19"/>
        </w:rPr>
        <w:t> </w:t>
      </w:r>
      <w:r>
        <w:rPr/>
        <w:t>interventi</w:t>
      </w:r>
      <w:r>
        <w:rPr>
          <w:spacing w:val="-20"/>
        </w:rPr>
        <w:t> </w:t>
      </w:r>
      <w:r>
        <w:rPr/>
        <w:t>riguardano:</w:t>
      </w:r>
      <w:r>
        <w:rPr>
          <w:spacing w:val="-18"/>
        </w:rPr>
        <w:t> </w:t>
      </w:r>
      <w:r>
        <w:rPr/>
        <w:t>l’installazione</w:t>
      </w:r>
      <w:r>
        <w:rPr>
          <w:spacing w:val="-20"/>
        </w:rPr>
        <w:t> </w:t>
      </w:r>
      <w:r>
        <w:rPr/>
        <w:t>di</w:t>
      </w:r>
      <w:r>
        <w:rPr>
          <w:spacing w:val="-20"/>
        </w:rPr>
        <w:t> </w:t>
      </w:r>
      <w:r>
        <w:rPr/>
        <w:t>sistemi</w:t>
      </w:r>
      <w:r>
        <w:rPr>
          <w:spacing w:val="-20"/>
        </w:rPr>
        <w:t> </w:t>
      </w:r>
      <w:r>
        <w:rPr/>
        <w:t>di</w:t>
      </w:r>
      <w:r>
        <w:rPr>
          <w:spacing w:val="-20"/>
        </w:rPr>
        <w:t> </w:t>
      </w:r>
      <w:r>
        <w:rPr/>
        <w:t>videosorveglianza</w:t>
      </w:r>
      <w:r>
        <w:rPr>
          <w:spacing w:val="-20"/>
        </w:rPr>
        <w:t> </w:t>
      </w:r>
      <w:r>
        <w:rPr/>
        <w:t>presso</w:t>
      </w:r>
      <w:r>
        <w:rPr>
          <w:w w:val="100"/>
        </w:rPr>
        <w:t> </w:t>
      </w:r>
      <w:r>
        <w:rPr/>
        <w:t>gli</w:t>
      </w:r>
      <w:r>
        <w:rPr>
          <w:spacing w:val="16"/>
        </w:rPr>
        <w:t> </w:t>
      </w:r>
      <w:r>
        <w:rPr/>
        <w:t>asili</w:t>
      </w:r>
      <w:r>
        <w:rPr>
          <w:spacing w:val="16"/>
        </w:rPr>
        <w:t> </w:t>
      </w:r>
      <w:r>
        <w:rPr/>
        <w:t>nido,</w:t>
      </w:r>
      <w:r>
        <w:rPr>
          <w:spacing w:val="18"/>
        </w:rPr>
        <w:t> </w:t>
      </w:r>
      <w:r>
        <w:rPr/>
        <w:t>le</w:t>
      </w:r>
      <w:r>
        <w:rPr>
          <w:spacing w:val="16"/>
        </w:rPr>
        <w:t> </w:t>
      </w:r>
      <w:r>
        <w:rPr/>
        <w:t>scuole</w:t>
      </w:r>
      <w:r>
        <w:rPr>
          <w:spacing w:val="14"/>
        </w:rPr>
        <w:t> </w:t>
      </w:r>
      <w:r>
        <w:rPr/>
        <w:t>dell'infanzia</w:t>
      </w:r>
      <w:r>
        <w:rPr>
          <w:spacing w:val="16"/>
        </w:rPr>
        <w:t> </w:t>
      </w:r>
      <w:r>
        <w:rPr/>
        <w:t>e</w:t>
      </w:r>
      <w:r>
        <w:rPr>
          <w:spacing w:val="17"/>
        </w:rPr>
        <w:t> </w:t>
      </w:r>
      <w:r>
        <w:rPr/>
        <w:t>le</w:t>
      </w:r>
      <w:r>
        <w:rPr>
          <w:spacing w:val="17"/>
        </w:rPr>
        <w:t> </w:t>
      </w:r>
      <w:r>
        <w:rPr/>
        <w:t>strutture</w:t>
      </w:r>
      <w:r>
        <w:rPr>
          <w:spacing w:val="16"/>
        </w:rPr>
        <w:t> </w:t>
      </w:r>
      <w:r>
        <w:rPr/>
        <w:t>che</w:t>
      </w:r>
      <w:r>
        <w:rPr>
          <w:spacing w:val="14"/>
        </w:rPr>
        <w:t> </w:t>
      </w:r>
      <w:r>
        <w:rPr/>
        <w:t>ospitano</w:t>
      </w:r>
      <w:r>
        <w:rPr>
          <w:spacing w:val="16"/>
        </w:rPr>
        <w:t> </w:t>
      </w:r>
      <w:r>
        <w:rPr/>
        <w:t>anziani</w:t>
      </w:r>
      <w:r>
        <w:rPr>
          <w:spacing w:val="16"/>
        </w:rPr>
        <w:t> </w:t>
      </w:r>
      <w:r>
        <w:rPr/>
        <w:t>e</w:t>
      </w:r>
      <w:r>
        <w:rPr>
          <w:spacing w:val="16"/>
        </w:rPr>
        <w:t> </w:t>
      </w:r>
      <w:r>
        <w:rPr/>
        <w:t>disabili;</w:t>
      </w:r>
      <w:r>
        <w:rPr>
          <w:w w:val="100"/>
        </w:rPr>
        <w:t> </w:t>
      </w:r>
      <w:r>
        <w:rPr/>
        <w:t>l’acquisto, la costruzione, l’adeguamento e l’ammodernamento delle</w:t>
      </w:r>
      <w:r>
        <w:rPr>
          <w:spacing w:val="3"/>
        </w:rPr>
        <w:t> </w:t>
      </w:r>
      <w:r>
        <w:rPr/>
        <w:t>sedi</w:t>
      </w:r>
      <w:r>
        <w:rPr>
          <w:spacing w:val="9"/>
        </w:rPr>
        <w:t> </w:t>
      </w:r>
      <w:r>
        <w:rPr/>
        <w:t>di</w:t>
      </w:r>
      <w:r>
        <w:rPr>
          <w:spacing w:val="-1"/>
          <w:w w:val="100"/>
        </w:rPr>
        <w:t> </w:t>
      </w:r>
      <w:r>
        <w:rPr/>
        <w:t>servizio</w:t>
      </w:r>
      <w:r>
        <w:rPr>
          <w:spacing w:val="8"/>
        </w:rPr>
        <w:t> </w:t>
      </w:r>
      <w:r>
        <w:rPr/>
        <w:t>del</w:t>
      </w:r>
      <w:r>
        <w:rPr>
          <w:spacing w:val="8"/>
        </w:rPr>
        <w:t> </w:t>
      </w:r>
      <w:r>
        <w:rPr/>
        <w:t>Corpo</w:t>
      </w:r>
      <w:r>
        <w:rPr>
          <w:spacing w:val="8"/>
        </w:rPr>
        <w:t> </w:t>
      </w:r>
      <w:r>
        <w:rPr/>
        <w:t>nazionale</w:t>
      </w:r>
      <w:r>
        <w:rPr>
          <w:spacing w:val="8"/>
        </w:rPr>
        <w:t> </w:t>
      </w:r>
      <w:r>
        <w:rPr/>
        <w:t>dei</w:t>
      </w:r>
      <w:r>
        <w:rPr>
          <w:spacing w:val="8"/>
        </w:rPr>
        <w:t> </w:t>
      </w:r>
      <w:r>
        <w:rPr/>
        <w:t>vigili</w:t>
      </w:r>
      <w:r>
        <w:rPr>
          <w:spacing w:val="8"/>
        </w:rPr>
        <w:t> </w:t>
      </w:r>
      <w:r>
        <w:rPr/>
        <w:t>del</w:t>
      </w:r>
      <w:r>
        <w:rPr>
          <w:spacing w:val="8"/>
        </w:rPr>
        <w:t> </w:t>
      </w:r>
      <w:r>
        <w:rPr/>
        <w:t>fuoco;</w:t>
      </w:r>
      <w:r>
        <w:rPr>
          <w:spacing w:val="10"/>
        </w:rPr>
        <w:t> </w:t>
      </w:r>
      <w:r>
        <w:rPr/>
        <w:t>la</w:t>
      </w:r>
      <w:r>
        <w:rPr>
          <w:spacing w:val="8"/>
        </w:rPr>
        <w:t> </w:t>
      </w:r>
      <w:r>
        <w:rPr/>
        <w:t>previsione</w:t>
      </w:r>
      <w:r>
        <w:rPr>
          <w:spacing w:val="8"/>
        </w:rPr>
        <w:t> </w:t>
      </w:r>
      <w:r>
        <w:rPr/>
        <w:t>di</w:t>
      </w:r>
      <w:r>
        <w:rPr>
          <w:spacing w:val="8"/>
        </w:rPr>
        <w:t> </w:t>
      </w:r>
      <w:r>
        <w:rPr/>
        <w:t>un</w:t>
      </w:r>
      <w:r>
        <w:rPr>
          <w:spacing w:val="8"/>
        </w:rPr>
        <w:t> </w:t>
      </w:r>
      <w:r>
        <w:rPr/>
        <w:t>regime</w:t>
      </w:r>
      <w:r>
        <w:rPr>
          <w:spacing w:val="8"/>
        </w:rPr>
        <w:t> </w:t>
      </w:r>
      <w:r>
        <w:rPr/>
        <w:t>fiscale</w:t>
      </w:r>
      <w:r>
        <w:rPr>
          <w:w w:val="100"/>
        </w:rPr>
        <w:t> </w:t>
      </w:r>
      <w:r>
        <w:rPr/>
        <w:t>agevolato</w:t>
      </w:r>
      <w:r>
        <w:rPr>
          <w:spacing w:val="-10"/>
        </w:rPr>
        <w:t> </w:t>
      </w:r>
      <w:r>
        <w:rPr/>
        <w:t>ai</w:t>
      </w:r>
      <w:r>
        <w:rPr>
          <w:spacing w:val="-9"/>
        </w:rPr>
        <w:t> </w:t>
      </w:r>
      <w:r>
        <w:rPr/>
        <w:t>fini</w:t>
      </w:r>
      <w:r>
        <w:rPr>
          <w:spacing w:val="-9"/>
        </w:rPr>
        <w:t> </w:t>
      </w:r>
      <w:r>
        <w:rPr/>
        <w:t>delle</w:t>
      </w:r>
      <w:r>
        <w:rPr>
          <w:spacing w:val="-7"/>
        </w:rPr>
        <w:t> </w:t>
      </w:r>
      <w:r>
        <w:rPr/>
        <w:t>imposte</w:t>
      </w:r>
      <w:r>
        <w:rPr>
          <w:spacing w:val="-9"/>
        </w:rPr>
        <w:t> </w:t>
      </w:r>
      <w:r>
        <w:rPr/>
        <w:t>di</w:t>
      </w:r>
      <w:r>
        <w:rPr>
          <w:spacing w:val="-9"/>
        </w:rPr>
        <w:t> </w:t>
      </w:r>
      <w:r>
        <w:rPr/>
        <w:t>registro,</w:t>
      </w:r>
      <w:r>
        <w:rPr>
          <w:spacing w:val="-9"/>
        </w:rPr>
        <w:t> </w:t>
      </w:r>
      <w:r>
        <w:rPr/>
        <w:t>ipotecarie</w:t>
      </w:r>
      <w:r>
        <w:rPr>
          <w:spacing w:val="-9"/>
        </w:rPr>
        <w:t> </w:t>
      </w:r>
      <w:r>
        <w:rPr/>
        <w:t>e</w:t>
      </w:r>
      <w:r>
        <w:rPr>
          <w:spacing w:val="-9"/>
        </w:rPr>
        <w:t> </w:t>
      </w:r>
      <w:r>
        <w:rPr/>
        <w:t>catastali,</w:t>
      </w:r>
      <w:r>
        <w:rPr>
          <w:spacing w:val="-8"/>
        </w:rPr>
        <w:t> </w:t>
      </w:r>
      <w:r>
        <w:rPr/>
        <w:t>per</w:t>
      </w:r>
      <w:r>
        <w:rPr>
          <w:spacing w:val="-7"/>
        </w:rPr>
        <w:t> </w:t>
      </w:r>
      <w:r>
        <w:rPr/>
        <w:t>i</w:t>
      </w:r>
      <w:r>
        <w:rPr>
          <w:spacing w:val="-9"/>
        </w:rPr>
        <w:t> </w:t>
      </w:r>
      <w:r>
        <w:rPr/>
        <w:t>trasferimenti</w:t>
      </w:r>
      <w:r>
        <w:rPr>
          <w:w w:val="100"/>
        </w:rPr>
        <w:t> </w:t>
      </w:r>
      <w:r>
        <w:rPr/>
        <w:t>di beni e diritti alle società veicolo interessate in operazioni di</w:t>
      </w:r>
      <w:r>
        <w:rPr>
          <w:spacing w:val="14"/>
        </w:rPr>
        <w:t> </w:t>
      </w:r>
      <w:r>
        <w:rPr/>
        <w:t>cartolarizzazione e</w:t>
      </w:r>
      <w:r>
        <w:rPr>
          <w:w w:val="100"/>
        </w:rPr>
        <w:t> </w:t>
      </w:r>
      <w:r>
        <w:rPr/>
        <w:t>l’estensione</w:t>
      </w:r>
      <w:r>
        <w:rPr>
          <w:spacing w:val="13"/>
        </w:rPr>
        <w:t> </w:t>
      </w:r>
      <w:r>
        <w:rPr/>
        <w:t>a</w:t>
      </w:r>
      <w:r>
        <w:rPr>
          <w:spacing w:val="13"/>
        </w:rPr>
        <w:t> </w:t>
      </w:r>
      <w:r>
        <w:rPr/>
        <w:t>regime,</w:t>
      </w:r>
      <w:r>
        <w:rPr>
          <w:spacing w:val="15"/>
        </w:rPr>
        <w:t> </w:t>
      </w:r>
      <w:r>
        <w:rPr/>
        <w:t>a</w:t>
      </w:r>
      <w:r>
        <w:rPr>
          <w:spacing w:val="11"/>
        </w:rPr>
        <w:t> </w:t>
      </w:r>
      <w:r>
        <w:rPr/>
        <w:t>decorrere</w:t>
      </w:r>
      <w:r>
        <w:rPr>
          <w:spacing w:val="12"/>
        </w:rPr>
        <w:t> </w:t>
      </w:r>
      <w:r>
        <w:rPr/>
        <w:t>dal</w:t>
      </w:r>
      <w:r>
        <w:rPr>
          <w:spacing w:val="14"/>
        </w:rPr>
        <w:t> </w:t>
      </w:r>
      <w:r>
        <w:rPr/>
        <w:t>2023</w:t>
      </w:r>
      <w:r>
        <w:rPr>
          <w:spacing w:val="11"/>
        </w:rPr>
        <w:t> </w:t>
      </w:r>
      <w:r>
        <w:rPr/>
        <w:t>(con</w:t>
      </w:r>
      <w:r>
        <w:rPr>
          <w:spacing w:val="14"/>
        </w:rPr>
        <w:t> </w:t>
      </w:r>
      <w:r>
        <w:rPr/>
        <w:t>esclusione</w:t>
      </w:r>
      <w:r>
        <w:rPr>
          <w:spacing w:val="13"/>
        </w:rPr>
        <w:t> </w:t>
      </w:r>
      <w:r>
        <w:rPr/>
        <w:t>dell’anno</w:t>
      </w:r>
      <w:r>
        <w:rPr>
          <w:spacing w:val="13"/>
        </w:rPr>
        <w:t> </w:t>
      </w:r>
      <w:r>
        <w:rPr/>
        <w:t>2022)</w:t>
      </w:r>
      <w:r>
        <w:rPr>
          <w:spacing w:val="14"/>
        </w:rPr>
        <w:t> </w:t>
      </w:r>
      <w:r>
        <w:rPr/>
        <w:t>della</w:t>
      </w:r>
      <w:r>
        <w:rPr>
          <w:w w:val="100"/>
        </w:rPr>
        <w:t> </w:t>
      </w:r>
      <w:r>
        <w:rPr/>
        <w:t>revisione</w:t>
      </w:r>
      <w:r>
        <w:rPr>
          <w:spacing w:val="32"/>
        </w:rPr>
        <w:t> </w:t>
      </w:r>
      <w:r>
        <w:rPr/>
        <w:t>delle</w:t>
      </w:r>
      <w:r>
        <w:rPr>
          <w:spacing w:val="32"/>
        </w:rPr>
        <w:t> </w:t>
      </w:r>
      <w:r>
        <w:rPr/>
        <w:t>tariffe</w:t>
      </w:r>
      <w:r>
        <w:rPr>
          <w:spacing w:val="31"/>
        </w:rPr>
        <w:t> </w:t>
      </w:r>
      <w:r>
        <w:rPr/>
        <w:t>dei</w:t>
      </w:r>
      <w:r>
        <w:rPr>
          <w:spacing w:val="32"/>
        </w:rPr>
        <w:t> </w:t>
      </w:r>
      <w:r>
        <w:rPr/>
        <w:t>premi</w:t>
      </w:r>
      <w:r>
        <w:rPr>
          <w:spacing w:val="32"/>
        </w:rPr>
        <w:t> </w:t>
      </w:r>
      <w:r>
        <w:rPr/>
        <w:t>e</w:t>
      </w:r>
      <w:r>
        <w:rPr>
          <w:spacing w:val="28"/>
        </w:rPr>
        <w:t> </w:t>
      </w:r>
      <w:r>
        <w:rPr/>
        <w:t>contributi</w:t>
      </w:r>
      <w:r>
        <w:rPr>
          <w:spacing w:val="33"/>
        </w:rPr>
        <w:t> </w:t>
      </w:r>
      <w:r>
        <w:rPr/>
        <w:t>INAIL</w:t>
      </w:r>
      <w:r>
        <w:rPr>
          <w:spacing w:val="31"/>
        </w:rPr>
        <w:t> </w:t>
      </w:r>
      <w:r>
        <w:rPr/>
        <w:t>per</w:t>
      </w:r>
      <w:r>
        <w:rPr>
          <w:spacing w:val="34"/>
        </w:rPr>
        <w:t> </w:t>
      </w:r>
      <w:r>
        <w:rPr/>
        <w:t>l'assicurazione</w:t>
      </w:r>
      <w:r>
        <w:rPr>
          <w:spacing w:val="30"/>
        </w:rPr>
        <w:t> </w:t>
      </w:r>
      <w:r>
        <w:rPr/>
        <w:t>contro</w:t>
      </w:r>
      <w:r>
        <w:rPr>
          <w:spacing w:val="30"/>
        </w:rPr>
        <w:t> </w:t>
      </w:r>
      <w:r>
        <w:rPr/>
        <w:t>gli</w:t>
      </w:r>
      <w:r>
        <w:rPr>
          <w:w w:val="100"/>
        </w:rPr>
        <w:t> </w:t>
      </w:r>
      <w:r>
        <w:rPr/>
        <w:t>infortuni</w:t>
      </w:r>
      <w:r>
        <w:rPr>
          <w:spacing w:val="-13"/>
        </w:rPr>
        <w:t> </w:t>
      </w:r>
      <w:r>
        <w:rPr/>
        <w:t>sul</w:t>
      </w:r>
      <w:r>
        <w:rPr>
          <w:spacing w:val="-13"/>
        </w:rPr>
        <w:t> </w:t>
      </w:r>
      <w:r>
        <w:rPr/>
        <w:t>lavoro</w:t>
      </w:r>
      <w:r>
        <w:rPr>
          <w:spacing w:val="-11"/>
        </w:rPr>
        <w:t> </w:t>
      </w:r>
      <w:r>
        <w:rPr/>
        <w:t>e</w:t>
      </w:r>
      <w:r>
        <w:rPr>
          <w:spacing w:val="-13"/>
        </w:rPr>
        <w:t> </w:t>
      </w:r>
      <w:r>
        <w:rPr/>
        <w:t>le</w:t>
      </w:r>
      <w:r>
        <w:rPr>
          <w:spacing w:val="-9"/>
        </w:rPr>
        <w:t> </w:t>
      </w:r>
      <w:r>
        <w:rPr/>
        <w:t>malattie</w:t>
      </w:r>
      <w:r>
        <w:rPr>
          <w:spacing w:val="-13"/>
        </w:rPr>
        <w:t> </w:t>
      </w:r>
      <w:r>
        <w:rPr/>
        <w:t>professionali</w:t>
      </w:r>
      <w:r>
        <w:rPr>
          <w:spacing w:val="-12"/>
        </w:rPr>
        <w:t> </w:t>
      </w:r>
      <w:r>
        <w:rPr/>
        <w:t>già</w:t>
      </w:r>
      <w:r>
        <w:rPr>
          <w:spacing w:val="-13"/>
        </w:rPr>
        <w:t> </w:t>
      </w:r>
      <w:r>
        <w:rPr/>
        <w:t>prevista</w:t>
      </w:r>
      <w:r>
        <w:rPr>
          <w:spacing w:val="-12"/>
        </w:rPr>
        <w:t> </w:t>
      </w:r>
      <w:r>
        <w:rPr/>
        <w:t>per</w:t>
      </w:r>
      <w:r>
        <w:rPr>
          <w:spacing w:val="-12"/>
        </w:rPr>
        <w:t> </w:t>
      </w:r>
      <w:r>
        <w:rPr/>
        <w:t>il</w:t>
      </w:r>
      <w:r>
        <w:rPr>
          <w:spacing w:val="-12"/>
        </w:rPr>
        <w:t> </w:t>
      </w:r>
      <w:r>
        <w:rPr/>
        <w:t>triennio</w:t>
      </w:r>
      <w:r>
        <w:rPr>
          <w:spacing w:val="-11"/>
        </w:rPr>
        <w:t> </w:t>
      </w:r>
      <w:r>
        <w:rPr/>
        <w:t>2019-2021.</w:t>
      </w:r>
      <w:r>
        <w:rPr>
          <w:spacing w:val="-1"/>
          <w:w w:val="100"/>
        </w:rPr>
        <w:t> </w:t>
      </w:r>
      <w:r>
        <w:rPr/>
        <w:t>Inoltre,</w:t>
        <w:tab/>
        <w:t>senza</w:t>
        <w:tab/>
        <w:t>effetti</w:t>
        <w:tab/>
        <w:t>sull’indebitamento</w:t>
        <w:tab/>
        <w:t>netto</w:t>
        <w:tab/>
        <w:t>delle</w:t>
        <w:tab/>
      </w:r>
      <w:r>
        <w:rPr>
          <w:spacing w:val="-1"/>
        </w:rPr>
        <w:t>amministrazioni </w:t>
      </w:r>
      <w:r>
        <w:rPr/>
        <w:t>pubbliche, in quanto già considerati nelle previsioni tendenziali del</w:t>
      </w:r>
      <w:r>
        <w:rPr>
          <w:spacing w:val="65"/>
        </w:rPr>
        <w:t> </w:t>
      </w:r>
      <w:r>
        <w:rPr/>
        <w:t>Documento</w:t>
      </w:r>
      <w:r>
        <w:rPr>
          <w:spacing w:val="7"/>
        </w:rPr>
        <w:t> </w:t>
      </w:r>
      <w:r>
        <w:rPr/>
        <w:t>di</w:t>
      </w:r>
      <w:r>
        <w:rPr>
          <w:spacing w:val="-1"/>
          <w:w w:val="100"/>
        </w:rPr>
        <w:t> </w:t>
      </w:r>
      <w:r>
        <w:rPr/>
        <w:t>economia</w:t>
      </w:r>
      <w:r>
        <w:rPr>
          <w:spacing w:val="11"/>
        </w:rPr>
        <w:t> </w:t>
      </w:r>
      <w:r>
        <w:rPr/>
        <w:t>e</w:t>
      </w:r>
      <w:r>
        <w:rPr>
          <w:spacing w:val="12"/>
        </w:rPr>
        <w:t> </w:t>
      </w:r>
      <w:r>
        <w:rPr/>
        <w:t>finanza</w:t>
      </w:r>
      <w:r>
        <w:rPr>
          <w:spacing w:val="12"/>
        </w:rPr>
        <w:t> </w:t>
      </w:r>
      <w:r>
        <w:rPr/>
        <w:t>2019,</w:t>
      </w:r>
      <w:r>
        <w:rPr>
          <w:spacing w:val="13"/>
        </w:rPr>
        <w:t> </w:t>
      </w:r>
      <w:r>
        <w:rPr/>
        <w:t>è</w:t>
      </w:r>
      <w:r>
        <w:rPr>
          <w:spacing w:val="12"/>
        </w:rPr>
        <w:t> </w:t>
      </w:r>
      <w:r>
        <w:rPr/>
        <w:t>stata</w:t>
      </w:r>
      <w:r>
        <w:rPr>
          <w:spacing w:val="12"/>
        </w:rPr>
        <w:t> </w:t>
      </w:r>
      <w:r>
        <w:rPr/>
        <w:t>disposta</w:t>
      </w:r>
      <w:r>
        <w:rPr>
          <w:spacing w:val="12"/>
        </w:rPr>
        <w:t> </w:t>
      </w:r>
      <w:r>
        <w:rPr/>
        <w:t>per</w:t>
      </w:r>
      <w:r>
        <w:rPr>
          <w:spacing w:val="13"/>
        </w:rPr>
        <w:t> </w:t>
      </w:r>
      <w:r>
        <w:rPr/>
        <w:t>il</w:t>
      </w:r>
      <w:r>
        <w:rPr>
          <w:spacing w:val="12"/>
        </w:rPr>
        <w:t> </w:t>
      </w:r>
      <w:r>
        <w:rPr/>
        <w:t>medesimo</w:t>
      </w:r>
      <w:r>
        <w:rPr>
          <w:spacing w:val="12"/>
        </w:rPr>
        <w:t> </w:t>
      </w:r>
      <w:r>
        <w:rPr/>
        <w:t>anno</w:t>
      </w:r>
      <w:r>
        <w:rPr>
          <w:spacing w:val="12"/>
        </w:rPr>
        <w:t> </w:t>
      </w:r>
      <w:r>
        <w:rPr/>
        <w:t>con</w:t>
      </w:r>
      <w:r>
        <w:rPr>
          <w:spacing w:val="12"/>
        </w:rPr>
        <w:t> </w:t>
      </w:r>
      <w:r>
        <w:rPr/>
        <w:t>il</w:t>
      </w:r>
      <w:r>
        <w:rPr>
          <w:spacing w:val="14"/>
        </w:rPr>
        <w:t> </w:t>
      </w:r>
      <w:r>
        <w:rPr/>
        <w:t>disegno</w:t>
      </w:r>
      <w:r>
        <w:rPr>
          <w:spacing w:val="12"/>
        </w:rPr>
        <w:t> </w:t>
      </w:r>
      <w:r>
        <w:rPr/>
        <w:t>di</w:t>
      </w:r>
      <w:r>
        <w:rPr>
          <w:spacing w:val="-1"/>
          <w:w w:val="100"/>
        </w:rPr>
        <w:t> </w:t>
      </w:r>
      <w:r>
        <w:rPr/>
        <w:t>legge</w:t>
      </w:r>
      <w:r>
        <w:rPr>
          <w:spacing w:val="23"/>
        </w:rPr>
        <w:t> </w:t>
      </w:r>
      <w:r>
        <w:rPr/>
        <w:t>di</w:t>
      </w:r>
      <w:r>
        <w:rPr>
          <w:spacing w:val="22"/>
        </w:rPr>
        <w:t> </w:t>
      </w:r>
      <w:r>
        <w:rPr/>
        <w:t>assestamento</w:t>
      </w:r>
      <w:r>
        <w:rPr>
          <w:spacing w:val="23"/>
        </w:rPr>
        <w:t> </w:t>
      </w:r>
      <w:r>
        <w:rPr/>
        <w:t>del</w:t>
      </w:r>
      <w:r>
        <w:rPr>
          <w:spacing w:val="24"/>
        </w:rPr>
        <w:t> </w:t>
      </w:r>
      <w:r>
        <w:rPr/>
        <w:t>bilancio</w:t>
      </w:r>
      <w:r>
        <w:rPr>
          <w:spacing w:val="23"/>
        </w:rPr>
        <w:t> </w:t>
      </w:r>
      <w:r>
        <w:rPr/>
        <w:t>dello</w:t>
      </w:r>
      <w:r>
        <w:rPr>
          <w:spacing w:val="22"/>
        </w:rPr>
        <w:t> </w:t>
      </w:r>
      <w:r>
        <w:rPr/>
        <w:t>Stato</w:t>
      </w:r>
      <w:r>
        <w:rPr>
          <w:spacing w:val="23"/>
        </w:rPr>
        <w:t> </w:t>
      </w:r>
      <w:r>
        <w:rPr/>
        <w:t>la</w:t>
      </w:r>
      <w:r>
        <w:rPr>
          <w:spacing w:val="24"/>
        </w:rPr>
        <w:t> </w:t>
      </w:r>
      <w:r>
        <w:rPr/>
        <w:t>riduzione</w:t>
      </w:r>
      <w:r>
        <w:rPr>
          <w:spacing w:val="23"/>
        </w:rPr>
        <w:t> </w:t>
      </w:r>
      <w:r>
        <w:rPr/>
        <w:t>degli</w:t>
      </w:r>
      <w:r>
        <w:rPr>
          <w:spacing w:val="23"/>
        </w:rPr>
        <w:t> </w:t>
      </w:r>
      <w:r>
        <w:rPr/>
        <w:t>accantonamenti</w:t>
      </w:r>
      <w:r>
        <w:rPr>
          <w:w w:val="100"/>
        </w:rPr>
        <w:t> </w:t>
      </w:r>
      <w:r>
        <w:rPr/>
        <w:t>previsti</w:t>
      </w:r>
      <w:r>
        <w:rPr>
          <w:spacing w:val="19"/>
        </w:rPr>
        <w:t> </w:t>
      </w:r>
      <w:r>
        <w:rPr/>
        <w:t>con</w:t>
      </w:r>
      <w:r>
        <w:rPr>
          <w:spacing w:val="19"/>
        </w:rPr>
        <w:t> </w:t>
      </w:r>
      <w:r>
        <w:rPr/>
        <w:t>la</w:t>
      </w:r>
      <w:r>
        <w:rPr>
          <w:spacing w:val="20"/>
        </w:rPr>
        <w:t> </w:t>
      </w:r>
      <w:r>
        <w:rPr/>
        <w:t>legge</w:t>
      </w:r>
      <w:r>
        <w:rPr>
          <w:spacing w:val="17"/>
        </w:rPr>
        <w:t> </w:t>
      </w:r>
      <w:r>
        <w:rPr/>
        <w:t>di</w:t>
      </w:r>
      <w:r>
        <w:rPr>
          <w:spacing w:val="17"/>
        </w:rPr>
        <w:t> </w:t>
      </w:r>
      <w:r>
        <w:rPr/>
        <w:t>bilancio</w:t>
      </w:r>
      <w:r>
        <w:rPr>
          <w:spacing w:val="19"/>
        </w:rPr>
        <w:t> </w:t>
      </w:r>
      <w:r>
        <w:rPr/>
        <w:t>per</w:t>
      </w:r>
      <w:r>
        <w:rPr>
          <w:spacing w:val="21"/>
        </w:rPr>
        <w:t> </w:t>
      </w:r>
      <w:r>
        <w:rPr/>
        <w:t>il</w:t>
      </w:r>
      <w:r>
        <w:rPr>
          <w:spacing w:val="19"/>
        </w:rPr>
        <w:t> </w:t>
      </w:r>
      <w:r>
        <w:rPr/>
        <w:t>2019,</w:t>
      </w:r>
      <w:r>
        <w:rPr>
          <w:spacing w:val="19"/>
        </w:rPr>
        <w:t> </w:t>
      </w:r>
      <w:r>
        <w:rPr/>
        <w:t>per</w:t>
      </w:r>
      <w:r>
        <w:rPr>
          <w:spacing w:val="18"/>
        </w:rPr>
        <w:t> </w:t>
      </w:r>
      <w:r>
        <w:rPr/>
        <w:t>complessivi</w:t>
      </w:r>
      <w:r>
        <w:rPr>
          <w:spacing w:val="20"/>
        </w:rPr>
        <w:t> </w:t>
      </w:r>
      <w:r>
        <w:rPr/>
        <w:t>2</w:t>
      </w:r>
      <w:r>
        <w:rPr>
          <w:spacing w:val="19"/>
        </w:rPr>
        <w:t> </w:t>
      </w:r>
      <w:r>
        <w:rPr/>
        <w:t>miliardi</w:t>
      </w:r>
      <w:r>
        <w:rPr>
          <w:spacing w:val="18"/>
        </w:rPr>
        <w:t> </w:t>
      </w:r>
      <w:r>
        <w:rPr/>
        <w:t>di</w:t>
      </w:r>
      <w:r>
        <w:rPr>
          <w:spacing w:val="19"/>
        </w:rPr>
        <w:t> </w:t>
      </w:r>
      <w:r>
        <w:rPr/>
        <w:t>euro,</w:t>
      </w:r>
      <w:r>
        <w:rPr>
          <w:spacing w:val="19"/>
        </w:rPr>
        <w:t> </w:t>
      </w:r>
      <w:r>
        <w:rPr/>
        <w:t>a</w:t>
      </w:r>
    </w:p>
    <w:p>
      <w:pPr>
        <w:pStyle w:val="BodyText"/>
        <w:spacing w:line="254" w:lineRule="exact"/>
        <w:ind w:left="1128"/>
        <w:jc w:val="both"/>
      </w:pPr>
      <w:r>
        <w:rPr/>
        <w:t>salvaguardia del conseguimento degli obiettivi programmatici di finanza pubblica.</w:t>
      </w:r>
    </w:p>
    <w:p>
      <w:pPr>
        <w:pStyle w:val="BodyText"/>
        <w:spacing w:line="252" w:lineRule="auto" w:before="14"/>
        <w:ind w:left="1128" w:right="1411" w:firstLine="453"/>
        <w:jc w:val="both"/>
      </w:pPr>
      <w:r>
        <w:rPr/>
        <w:t>Da ultimo, con il D.L. n. 61/2019, recante ‘Misure urgenti in materia di miglioramento</w:t>
      </w:r>
      <w:r>
        <w:rPr>
          <w:spacing w:val="-18"/>
        </w:rPr>
        <w:t> </w:t>
      </w:r>
      <w:r>
        <w:rPr/>
        <w:t>dei</w:t>
      </w:r>
      <w:r>
        <w:rPr>
          <w:spacing w:val="-17"/>
        </w:rPr>
        <w:t> </w:t>
      </w:r>
      <w:r>
        <w:rPr/>
        <w:t>saldi</w:t>
      </w:r>
      <w:r>
        <w:rPr>
          <w:spacing w:val="-18"/>
        </w:rPr>
        <w:t> </w:t>
      </w:r>
      <w:r>
        <w:rPr/>
        <w:t>di</w:t>
      </w:r>
      <w:r>
        <w:rPr>
          <w:spacing w:val="-17"/>
        </w:rPr>
        <w:t> </w:t>
      </w:r>
      <w:r>
        <w:rPr/>
        <w:t>finanza</w:t>
      </w:r>
      <w:r>
        <w:rPr>
          <w:spacing w:val="-17"/>
        </w:rPr>
        <w:t> </w:t>
      </w:r>
      <w:r>
        <w:rPr/>
        <w:t>pubblica’,</w:t>
      </w:r>
      <w:r>
        <w:rPr>
          <w:spacing w:val="-19"/>
        </w:rPr>
        <w:t> </w:t>
      </w:r>
      <w:r>
        <w:rPr/>
        <w:t>è</w:t>
      </w:r>
      <w:r>
        <w:rPr>
          <w:spacing w:val="-19"/>
        </w:rPr>
        <w:t> </w:t>
      </w:r>
      <w:r>
        <w:rPr/>
        <w:t>stato</w:t>
      </w:r>
      <w:r>
        <w:rPr>
          <w:spacing w:val="-17"/>
        </w:rPr>
        <w:t> </w:t>
      </w:r>
      <w:r>
        <w:rPr/>
        <w:t>previsto</w:t>
      </w:r>
      <w:r>
        <w:rPr>
          <w:spacing w:val="-18"/>
        </w:rPr>
        <w:t> </w:t>
      </w:r>
      <w:r>
        <w:rPr/>
        <w:t>che</w:t>
      </w:r>
      <w:r>
        <w:rPr>
          <w:spacing w:val="-19"/>
        </w:rPr>
        <w:t> </w:t>
      </w:r>
      <w:r>
        <w:rPr/>
        <w:t>i</w:t>
      </w:r>
      <w:r>
        <w:rPr>
          <w:spacing w:val="-19"/>
        </w:rPr>
        <w:t> </w:t>
      </w:r>
      <w:r>
        <w:rPr/>
        <w:t>risparmi</w:t>
      </w:r>
      <w:r>
        <w:rPr>
          <w:spacing w:val="-18"/>
        </w:rPr>
        <w:t> </w:t>
      </w:r>
      <w:r>
        <w:rPr/>
        <w:t>derivanti dal</w:t>
      </w:r>
      <w:r>
        <w:rPr>
          <w:spacing w:val="-14"/>
        </w:rPr>
        <w:t> </w:t>
      </w:r>
      <w:r>
        <w:rPr/>
        <w:t>minor</w:t>
      </w:r>
      <w:r>
        <w:rPr>
          <w:spacing w:val="-12"/>
        </w:rPr>
        <w:t> </w:t>
      </w:r>
      <w:r>
        <w:rPr/>
        <w:t>utilizzo</w:t>
      </w:r>
      <w:r>
        <w:rPr>
          <w:spacing w:val="-13"/>
        </w:rPr>
        <w:t> </w:t>
      </w:r>
      <w:r>
        <w:rPr/>
        <w:t>delle</w:t>
      </w:r>
      <w:r>
        <w:rPr>
          <w:spacing w:val="-15"/>
        </w:rPr>
        <w:t> </w:t>
      </w:r>
      <w:r>
        <w:rPr/>
        <w:t>risorse</w:t>
      </w:r>
      <w:r>
        <w:rPr>
          <w:spacing w:val="-12"/>
        </w:rPr>
        <w:t> </w:t>
      </w:r>
      <w:r>
        <w:rPr/>
        <w:t>iscritte</w:t>
      </w:r>
      <w:r>
        <w:rPr>
          <w:spacing w:val="-13"/>
        </w:rPr>
        <w:t> </w:t>
      </w:r>
      <w:r>
        <w:rPr/>
        <w:t>nel</w:t>
      </w:r>
      <w:r>
        <w:rPr>
          <w:spacing w:val="-13"/>
        </w:rPr>
        <w:t> </w:t>
      </w:r>
      <w:r>
        <w:rPr/>
        <w:t>bilancio</w:t>
      </w:r>
      <w:r>
        <w:rPr>
          <w:spacing w:val="-13"/>
        </w:rPr>
        <w:t> </w:t>
      </w:r>
      <w:r>
        <w:rPr/>
        <w:t>dello</w:t>
      </w:r>
      <w:r>
        <w:rPr>
          <w:spacing w:val="-13"/>
        </w:rPr>
        <w:t> </w:t>
      </w:r>
      <w:r>
        <w:rPr/>
        <w:t>Stato</w:t>
      </w:r>
      <w:r>
        <w:rPr>
          <w:spacing w:val="-13"/>
        </w:rPr>
        <w:t> </w:t>
      </w:r>
      <w:r>
        <w:rPr/>
        <w:t>per</w:t>
      </w:r>
      <w:r>
        <w:rPr>
          <w:spacing w:val="-12"/>
        </w:rPr>
        <w:t> </w:t>
      </w:r>
      <w:r>
        <w:rPr/>
        <w:t>l’attuazione</w:t>
      </w:r>
      <w:r>
        <w:rPr>
          <w:spacing w:val="-13"/>
        </w:rPr>
        <w:t> </w:t>
      </w:r>
      <w:r>
        <w:rPr/>
        <w:t>delle disposizioni</w:t>
      </w:r>
      <w:r>
        <w:rPr>
          <w:spacing w:val="-8"/>
        </w:rPr>
        <w:t> </w:t>
      </w:r>
      <w:r>
        <w:rPr/>
        <w:t>relative</w:t>
      </w:r>
      <w:r>
        <w:rPr>
          <w:spacing w:val="-6"/>
        </w:rPr>
        <w:t> </w:t>
      </w:r>
      <w:r>
        <w:rPr/>
        <w:t>all’introduzione</w:t>
      </w:r>
      <w:r>
        <w:rPr>
          <w:spacing w:val="-7"/>
        </w:rPr>
        <w:t> </w:t>
      </w:r>
      <w:r>
        <w:rPr/>
        <w:t>del</w:t>
      </w:r>
      <w:r>
        <w:rPr>
          <w:spacing w:val="-9"/>
        </w:rPr>
        <w:t> </w:t>
      </w:r>
      <w:r>
        <w:rPr/>
        <w:t>reddito</w:t>
      </w:r>
      <w:r>
        <w:rPr>
          <w:spacing w:val="-8"/>
        </w:rPr>
        <w:t> </w:t>
      </w:r>
      <w:r>
        <w:rPr/>
        <w:t>di</w:t>
      </w:r>
      <w:r>
        <w:rPr>
          <w:spacing w:val="-7"/>
        </w:rPr>
        <w:t> </w:t>
      </w:r>
      <w:r>
        <w:rPr/>
        <w:t>cittadinanza</w:t>
      </w:r>
      <w:r>
        <w:rPr>
          <w:spacing w:val="-7"/>
        </w:rPr>
        <w:t> </w:t>
      </w:r>
      <w:r>
        <w:rPr/>
        <w:t>e</w:t>
      </w:r>
      <w:r>
        <w:rPr>
          <w:spacing w:val="-8"/>
        </w:rPr>
        <w:t> </w:t>
      </w:r>
      <w:r>
        <w:rPr/>
        <w:t>al</w:t>
      </w:r>
      <w:r>
        <w:rPr>
          <w:spacing w:val="-7"/>
        </w:rPr>
        <w:t> </w:t>
      </w:r>
      <w:r>
        <w:rPr/>
        <w:t>trattamento</w:t>
      </w:r>
      <w:r>
        <w:rPr>
          <w:spacing w:val="-7"/>
        </w:rPr>
        <w:t> </w:t>
      </w:r>
      <w:r>
        <w:rPr/>
        <w:t>di pensione anticipata siano destinate al miglioramento dei saldi di finanza pubblica. A</w:t>
      </w:r>
      <w:r>
        <w:rPr>
          <w:spacing w:val="-6"/>
        </w:rPr>
        <w:t> </w:t>
      </w:r>
      <w:r>
        <w:rPr/>
        <w:t>salvaguardia</w:t>
      </w:r>
      <w:r>
        <w:rPr>
          <w:spacing w:val="-5"/>
        </w:rPr>
        <w:t> </w:t>
      </w:r>
      <w:r>
        <w:rPr/>
        <w:t>dell’effettivo</w:t>
      </w:r>
      <w:r>
        <w:rPr>
          <w:spacing w:val="-5"/>
        </w:rPr>
        <w:t> </w:t>
      </w:r>
      <w:r>
        <w:rPr/>
        <w:t>realizzo</w:t>
      </w:r>
      <w:r>
        <w:rPr>
          <w:spacing w:val="-5"/>
        </w:rPr>
        <w:t> </w:t>
      </w:r>
      <w:r>
        <w:rPr/>
        <w:t>di</w:t>
      </w:r>
      <w:r>
        <w:rPr>
          <w:spacing w:val="-5"/>
        </w:rPr>
        <w:t> </w:t>
      </w:r>
      <w:r>
        <w:rPr/>
        <w:t>tali</w:t>
      </w:r>
      <w:r>
        <w:rPr>
          <w:spacing w:val="-5"/>
        </w:rPr>
        <w:t> </w:t>
      </w:r>
      <w:r>
        <w:rPr/>
        <w:t>risparmi,</w:t>
      </w:r>
      <w:r>
        <w:rPr>
          <w:spacing w:val="-3"/>
        </w:rPr>
        <w:t> </w:t>
      </w:r>
      <w:r>
        <w:rPr/>
        <w:t>per</w:t>
      </w:r>
      <w:r>
        <w:rPr>
          <w:spacing w:val="-3"/>
        </w:rPr>
        <w:t> </w:t>
      </w:r>
      <w:r>
        <w:rPr/>
        <w:t>un</w:t>
      </w:r>
      <w:r>
        <w:rPr>
          <w:spacing w:val="-8"/>
        </w:rPr>
        <w:t> </w:t>
      </w:r>
      <w:r>
        <w:rPr/>
        <w:t>importo</w:t>
      </w:r>
      <w:r>
        <w:rPr>
          <w:spacing w:val="-6"/>
        </w:rPr>
        <w:t> </w:t>
      </w:r>
      <w:r>
        <w:rPr/>
        <w:t>di</w:t>
      </w:r>
      <w:r>
        <w:rPr>
          <w:spacing w:val="-5"/>
        </w:rPr>
        <w:t> </w:t>
      </w:r>
      <w:r>
        <w:rPr/>
        <w:t>1,5</w:t>
      </w:r>
      <w:r>
        <w:rPr>
          <w:spacing w:val="-4"/>
        </w:rPr>
        <w:t> </w:t>
      </w:r>
      <w:r>
        <w:rPr/>
        <w:t>miliardi</w:t>
      </w:r>
    </w:p>
    <w:p>
      <w:pPr>
        <w:spacing w:after="0" w:line="252" w:lineRule="auto"/>
        <w:jc w:val="both"/>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278" w:right="2264"/>
        <w:jc w:val="both"/>
      </w:pPr>
      <w:r>
        <w:rPr/>
        <w:t>di euro nel 2019, è stato disposto l’accantonamento di un corrispondente importo delle</w:t>
      </w:r>
      <w:r>
        <w:rPr>
          <w:spacing w:val="-5"/>
        </w:rPr>
        <w:t> </w:t>
      </w:r>
      <w:r>
        <w:rPr/>
        <w:t>dotazioni</w:t>
      </w:r>
      <w:r>
        <w:rPr>
          <w:spacing w:val="-5"/>
        </w:rPr>
        <w:t> </w:t>
      </w:r>
      <w:r>
        <w:rPr/>
        <w:t>di</w:t>
      </w:r>
      <w:r>
        <w:rPr>
          <w:spacing w:val="-5"/>
        </w:rPr>
        <w:t> </w:t>
      </w:r>
      <w:r>
        <w:rPr/>
        <w:t>bilancio,</w:t>
      </w:r>
      <w:r>
        <w:rPr>
          <w:spacing w:val="-5"/>
        </w:rPr>
        <w:t> </w:t>
      </w:r>
      <w:r>
        <w:rPr/>
        <w:t>che,</w:t>
      </w:r>
      <w:r>
        <w:rPr>
          <w:spacing w:val="-6"/>
        </w:rPr>
        <w:t> </w:t>
      </w:r>
      <w:r>
        <w:rPr/>
        <w:t>a</w:t>
      </w:r>
      <w:r>
        <w:rPr>
          <w:spacing w:val="-5"/>
        </w:rPr>
        <w:t> </w:t>
      </w:r>
      <w:r>
        <w:rPr/>
        <w:t>seguito</w:t>
      </w:r>
      <w:r>
        <w:rPr>
          <w:spacing w:val="-5"/>
        </w:rPr>
        <w:t> </w:t>
      </w:r>
      <w:r>
        <w:rPr/>
        <w:t>dell’esito</w:t>
      </w:r>
      <w:r>
        <w:rPr>
          <w:spacing w:val="-5"/>
        </w:rPr>
        <w:t> </w:t>
      </w:r>
      <w:r>
        <w:rPr/>
        <w:t>del</w:t>
      </w:r>
      <w:r>
        <w:rPr>
          <w:spacing w:val="-4"/>
        </w:rPr>
        <w:t> </w:t>
      </w:r>
      <w:r>
        <w:rPr/>
        <w:t>monitoraggio</w:t>
      </w:r>
      <w:r>
        <w:rPr>
          <w:spacing w:val="-5"/>
        </w:rPr>
        <w:t> </w:t>
      </w:r>
      <w:r>
        <w:rPr/>
        <w:t>previsto</w:t>
      </w:r>
      <w:r>
        <w:rPr>
          <w:spacing w:val="-5"/>
        </w:rPr>
        <w:t> </w:t>
      </w:r>
      <w:r>
        <w:rPr/>
        <w:t>dalla citata normativa, che ha confermato i suddetti risparmi, sono state rese nuovamente</w:t>
      </w:r>
      <w:r>
        <w:rPr>
          <w:spacing w:val="-1"/>
        </w:rPr>
        <w:t> </w:t>
      </w:r>
      <w:r>
        <w:rPr/>
        <w:t>disponibili.</w:t>
      </w:r>
    </w:p>
    <w:p>
      <w:pPr>
        <w:pStyle w:val="BodyText"/>
        <w:spacing w:before="8"/>
        <w:rPr>
          <w:sz w:val="19"/>
        </w:rPr>
      </w:pPr>
    </w:p>
    <w:p>
      <w:pPr>
        <w:pStyle w:val="Heading6"/>
        <w:ind w:left="768"/>
      </w:pPr>
      <w:r>
        <w:rPr/>
        <w:pict>
          <v:group style="position:absolute;margin-left:70.223999pt;margin-top:2.531523pt;width:412.55pt;height:475.15pt;mso-position-horizontal-relative:page;mso-position-vertical-relative:paragraph;z-index:-266157056" coordorigin="1404,51" coordsize="8251,9503">
            <v:rect style="position:absolute;left:1433;top:50;width:22;height:9503" filled="true" fillcolor="#efefef" stroked="false">
              <v:fill type="solid"/>
            </v:rect>
            <v:shape style="position:absolute;left:1454;top:50;width:8200;height:9503" coordorigin="1455,51" coordsize="8200,9503" path="m9655,3951l1455,3951,1455,4179,1455,4405,1455,4633,1455,4933,1455,5173,1455,5413,1455,5653,1455,5893,1455,5893,1455,6193,1455,6433,1455,6673,1455,6913,1455,7153,1455,7393,1455,7633,1455,7873,1455,8113,1455,8353,1455,8593,1455,8833,1455,9073,1455,9313,1455,9553,9655,9553,9655,9313,9655,9073,9655,8833,9655,8593,9655,8353,9655,8113,9655,7873,9655,7633,9655,7393,9655,7153,9655,6913,9655,6673,9655,6433,9655,6193,9655,5893,9655,5893,9655,5653,9655,5413,9655,5173,9655,4933,9655,4633,9655,4405,9655,4179,9655,3951m9655,3498l1455,3498,1455,3726,1455,3951,9655,3951,9655,3726,9655,3498m9655,2818l1455,2818,1455,3044,1455,3272,1455,3498,9655,3498,9655,3272,9655,3044,9655,2818m9655,2364l1455,2364,1455,2590,1455,2818,9655,2818,9655,2590,9655,2364m9655,1851l1455,1851,1455,2136,1455,2364,9655,2364,9655,2136,9655,1851m9655,51l1455,51,1455,351,1455,651,1455,891,1455,1131,1455,1371,1455,1611,1455,1851,9655,1851,9655,1611,9655,1371,9655,1131,9655,891,9655,651,9655,351,9655,51e" filled="true" fillcolor="#efefef" stroked="false">
              <v:path arrowok="t"/>
              <v:fill type="solid"/>
            </v:shape>
            <v:rect style="position:absolute;left:1404;top:50;width:29;height:9503" filled="true" fillcolor="#086d44" stroked="false">
              <v:fill type="solid"/>
            </v:rect>
            <w10:wrap type="none"/>
          </v:group>
        </w:pict>
      </w:r>
      <w:r>
        <w:rPr/>
        <w:pict>
          <v:shape style="position:absolute;margin-left:70.585953pt;margin-top:5.779662pt;width:15.65pt;height:39.550pt;mso-position-horizontal-relative:page;mso-position-vertical-relative:paragraph;z-index:251851776" type="#_x0000_t202" filled="false" stroked="false">
            <v:textbox inset="0,0,0,0" style="layout-flow:vertical;mso-layout-flow-alt:bottom-to-top">
              <w:txbxContent>
                <w:p>
                  <w:pPr>
                    <w:spacing w:before="20"/>
                    <w:ind w:left="20" w:right="0" w:firstLine="0"/>
                    <w:jc w:val="left"/>
                    <w:rPr>
                      <w:rFonts w:ascii="Franklin Gothic Heavy"/>
                      <w:b/>
                      <w:sz w:val="24"/>
                    </w:rPr>
                  </w:pPr>
                  <w:r>
                    <w:rPr>
                      <w:rFonts w:ascii="Franklin Gothic Heavy"/>
                      <w:b/>
                      <w:color w:val="006247"/>
                      <w:sz w:val="24"/>
                    </w:rPr>
                    <w:t>FOCUS</w:t>
                  </w:r>
                </w:p>
              </w:txbxContent>
            </v:textbox>
            <w10:wrap type="none"/>
          </v:shape>
        </w:pict>
      </w:r>
      <w:r>
        <w:rPr/>
        <w:t>Semplificazioni e sperimentazioni in materia contabile</w:t>
      </w:r>
    </w:p>
    <w:p>
      <w:pPr>
        <w:spacing w:line="254" w:lineRule="auto" w:before="69"/>
        <w:ind w:left="768" w:right="2249" w:firstLine="0"/>
        <w:jc w:val="both"/>
        <w:rPr>
          <w:rFonts w:ascii="Franklin Gothic Book" w:hAnsi="Franklin Gothic Book"/>
          <w:sz w:val="20"/>
        </w:rPr>
      </w:pPr>
      <w:r>
        <w:rPr>
          <w:rFonts w:ascii="Franklin Gothic Book" w:hAnsi="Franklin Gothic Book"/>
          <w:sz w:val="20"/>
        </w:rPr>
        <w:t>Nell’ambito del D.L. n. 32/2019 (articolo 4-quater) sono state introdotte alcune disposizioni ordinamentali in materia di gestione contabile del bilancio dello Stato. Tali modifiche sono dirette ad assicurare la disponibilità in bilancio delle risorse finanziarie in un arco temporale adeguato alla tempistica di realizzazione delle spese di investimento, sulla base dello stato avanzamento</w:t>
      </w:r>
      <w:r>
        <w:rPr>
          <w:rFonts w:ascii="Franklin Gothic Book" w:hAnsi="Franklin Gothic Book"/>
          <w:spacing w:val="-4"/>
          <w:sz w:val="20"/>
        </w:rPr>
        <w:t> </w:t>
      </w:r>
      <w:r>
        <w:rPr>
          <w:rFonts w:ascii="Franklin Gothic Book" w:hAnsi="Franklin Gothic Book"/>
          <w:sz w:val="20"/>
        </w:rPr>
        <w:t>lavori.</w:t>
      </w:r>
      <w:r>
        <w:rPr>
          <w:rFonts w:ascii="Franklin Gothic Book" w:hAnsi="Franklin Gothic Book"/>
          <w:spacing w:val="-2"/>
          <w:sz w:val="20"/>
        </w:rPr>
        <w:t> </w:t>
      </w:r>
      <w:r>
        <w:rPr>
          <w:rFonts w:ascii="Franklin Gothic Book" w:hAnsi="Franklin Gothic Book"/>
          <w:sz w:val="20"/>
        </w:rPr>
        <w:t>A</w:t>
      </w:r>
      <w:r>
        <w:rPr>
          <w:rFonts w:ascii="Franklin Gothic Book" w:hAnsi="Franklin Gothic Book"/>
          <w:spacing w:val="-4"/>
          <w:sz w:val="20"/>
        </w:rPr>
        <w:t> </w:t>
      </w:r>
      <w:r>
        <w:rPr>
          <w:rFonts w:ascii="Franklin Gothic Book" w:hAnsi="Franklin Gothic Book"/>
          <w:sz w:val="20"/>
        </w:rPr>
        <w:t>tal</w:t>
      </w:r>
      <w:r>
        <w:rPr>
          <w:rFonts w:ascii="Franklin Gothic Book" w:hAnsi="Franklin Gothic Book"/>
          <w:spacing w:val="-2"/>
          <w:sz w:val="20"/>
        </w:rPr>
        <w:t> </w:t>
      </w:r>
      <w:r>
        <w:rPr>
          <w:rFonts w:ascii="Franklin Gothic Book" w:hAnsi="Franklin Gothic Book"/>
          <w:sz w:val="20"/>
        </w:rPr>
        <w:t>fine,</w:t>
      </w:r>
      <w:r>
        <w:rPr>
          <w:rFonts w:ascii="Franklin Gothic Book" w:hAnsi="Franklin Gothic Book"/>
          <w:spacing w:val="-2"/>
          <w:sz w:val="20"/>
        </w:rPr>
        <w:t> </w:t>
      </w:r>
      <w:r>
        <w:rPr>
          <w:rFonts w:ascii="Franklin Gothic Book" w:hAnsi="Franklin Gothic Book"/>
          <w:sz w:val="20"/>
        </w:rPr>
        <w:t>si</w:t>
      </w:r>
      <w:r>
        <w:rPr>
          <w:rFonts w:ascii="Franklin Gothic Book" w:hAnsi="Franklin Gothic Book"/>
          <w:spacing w:val="-3"/>
          <w:sz w:val="20"/>
        </w:rPr>
        <w:t> </w:t>
      </w:r>
      <w:r>
        <w:rPr>
          <w:rFonts w:ascii="Franklin Gothic Book" w:hAnsi="Franklin Gothic Book"/>
          <w:sz w:val="20"/>
        </w:rPr>
        <w:t>stabilisce</w:t>
      </w:r>
      <w:r>
        <w:rPr>
          <w:rFonts w:ascii="Franklin Gothic Book" w:hAnsi="Franklin Gothic Book"/>
          <w:spacing w:val="-1"/>
          <w:sz w:val="20"/>
        </w:rPr>
        <w:t> </w:t>
      </w:r>
      <w:r>
        <w:rPr>
          <w:rFonts w:ascii="Franklin Gothic Book" w:hAnsi="Franklin Gothic Book"/>
          <w:sz w:val="20"/>
        </w:rPr>
        <w:t>che,</w:t>
      </w:r>
      <w:r>
        <w:rPr>
          <w:rFonts w:ascii="Franklin Gothic Book" w:hAnsi="Franklin Gothic Book"/>
          <w:spacing w:val="-2"/>
          <w:sz w:val="20"/>
        </w:rPr>
        <w:t> </w:t>
      </w:r>
      <w:r>
        <w:rPr>
          <w:rFonts w:ascii="Franklin Gothic Book" w:hAnsi="Franklin Gothic Book"/>
          <w:sz w:val="20"/>
        </w:rPr>
        <w:t>in</w:t>
      </w:r>
      <w:r>
        <w:rPr>
          <w:rFonts w:ascii="Franklin Gothic Book" w:hAnsi="Franklin Gothic Book"/>
          <w:spacing w:val="-2"/>
          <w:sz w:val="20"/>
        </w:rPr>
        <w:t> </w:t>
      </w:r>
      <w:r>
        <w:rPr>
          <w:rFonts w:ascii="Franklin Gothic Book" w:hAnsi="Franklin Gothic Book"/>
          <w:sz w:val="20"/>
        </w:rPr>
        <w:t>via</w:t>
      </w:r>
      <w:r>
        <w:rPr>
          <w:rFonts w:ascii="Franklin Gothic Book" w:hAnsi="Franklin Gothic Book"/>
          <w:spacing w:val="-3"/>
          <w:sz w:val="20"/>
        </w:rPr>
        <w:t> </w:t>
      </w:r>
      <w:r>
        <w:rPr>
          <w:rFonts w:ascii="Franklin Gothic Book" w:hAnsi="Franklin Gothic Book"/>
          <w:sz w:val="20"/>
        </w:rPr>
        <w:t>sperimentale,</w:t>
      </w:r>
      <w:r>
        <w:rPr>
          <w:rFonts w:ascii="Franklin Gothic Book" w:hAnsi="Franklin Gothic Book"/>
          <w:spacing w:val="-1"/>
          <w:sz w:val="20"/>
        </w:rPr>
        <w:t> </w:t>
      </w:r>
      <w:r>
        <w:rPr>
          <w:rFonts w:ascii="Franklin Gothic Book" w:hAnsi="Franklin Gothic Book"/>
          <w:sz w:val="20"/>
        </w:rPr>
        <w:t>per</w:t>
      </w:r>
      <w:r>
        <w:rPr>
          <w:rFonts w:ascii="Franklin Gothic Book" w:hAnsi="Franklin Gothic Book"/>
          <w:spacing w:val="-4"/>
          <w:sz w:val="20"/>
        </w:rPr>
        <w:t> </w:t>
      </w:r>
      <w:r>
        <w:rPr>
          <w:rFonts w:ascii="Franklin Gothic Book" w:hAnsi="Franklin Gothic Book"/>
          <w:sz w:val="20"/>
        </w:rPr>
        <w:t>gli</w:t>
      </w:r>
      <w:r>
        <w:rPr>
          <w:rFonts w:ascii="Franklin Gothic Book" w:hAnsi="Franklin Gothic Book"/>
          <w:spacing w:val="-3"/>
          <w:sz w:val="20"/>
        </w:rPr>
        <w:t> </w:t>
      </w:r>
      <w:r>
        <w:rPr>
          <w:rFonts w:ascii="Franklin Gothic Book" w:hAnsi="Franklin Gothic Book"/>
          <w:sz w:val="20"/>
        </w:rPr>
        <w:t>anni</w:t>
      </w:r>
      <w:r>
        <w:rPr>
          <w:rFonts w:ascii="Franklin Gothic Book" w:hAnsi="Franklin Gothic Book"/>
          <w:spacing w:val="-2"/>
          <w:sz w:val="20"/>
        </w:rPr>
        <w:t> </w:t>
      </w:r>
      <w:r>
        <w:rPr>
          <w:rFonts w:ascii="Franklin Gothic Book" w:hAnsi="Franklin Gothic Book"/>
          <w:sz w:val="20"/>
        </w:rPr>
        <w:t>2019,</w:t>
      </w:r>
      <w:r>
        <w:rPr>
          <w:rFonts w:ascii="Franklin Gothic Book" w:hAnsi="Franklin Gothic Book"/>
          <w:spacing w:val="-3"/>
          <w:sz w:val="20"/>
        </w:rPr>
        <w:t> </w:t>
      </w:r>
      <w:r>
        <w:rPr>
          <w:rFonts w:ascii="Franklin Gothic Book" w:hAnsi="Franklin Gothic Book"/>
          <w:sz w:val="20"/>
        </w:rPr>
        <w:t>2020 e</w:t>
      </w:r>
      <w:r>
        <w:rPr>
          <w:rFonts w:ascii="Franklin Gothic Book" w:hAnsi="Franklin Gothic Book"/>
          <w:spacing w:val="-1"/>
          <w:sz w:val="20"/>
        </w:rPr>
        <w:t> </w:t>
      </w:r>
      <w:r>
        <w:rPr>
          <w:rFonts w:ascii="Franklin Gothic Book" w:hAnsi="Franklin Gothic Book"/>
          <w:sz w:val="20"/>
        </w:rPr>
        <w:t>2021:</w:t>
      </w:r>
    </w:p>
    <w:p>
      <w:pPr>
        <w:pStyle w:val="ListParagraph"/>
        <w:numPr>
          <w:ilvl w:val="0"/>
          <w:numId w:val="10"/>
        </w:numPr>
        <w:tabs>
          <w:tab w:pos="997" w:val="left" w:leader="none"/>
        </w:tabs>
        <w:spacing w:line="240" w:lineRule="auto" w:before="31" w:after="0"/>
        <w:ind w:left="996" w:right="2247" w:hanging="228"/>
        <w:jc w:val="both"/>
        <w:rPr>
          <w:rFonts w:ascii="Franklin Gothic Book" w:hAnsi="Franklin Gothic Book"/>
          <w:sz w:val="20"/>
        </w:rPr>
      </w:pPr>
      <w:r>
        <w:rPr>
          <w:rFonts w:ascii="Franklin Gothic Book" w:hAnsi="Franklin Gothic Book"/>
          <w:sz w:val="20"/>
        </w:rPr>
        <w:t>le somme da iscrivere nei bilanci di ciascun Ministero, in relazione a variazioni di bilancio connesse</w:t>
      </w:r>
      <w:r>
        <w:rPr>
          <w:rFonts w:ascii="Franklin Gothic Book" w:hAnsi="Franklin Gothic Book"/>
          <w:spacing w:val="-13"/>
          <w:sz w:val="20"/>
        </w:rPr>
        <w:t> </w:t>
      </w:r>
      <w:r>
        <w:rPr>
          <w:rFonts w:ascii="Franklin Gothic Book" w:hAnsi="Franklin Gothic Book"/>
          <w:sz w:val="20"/>
        </w:rPr>
        <w:t>alla</w:t>
      </w:r>
      <w:r>
        <w:rPr>
          <w:rFonts w:ascii="Franklin Gothic Book" w:hAnsi="Franklin Gothic Book"/>
          <w:spacing w:val="-12"/>
          <w:sz w:val="20"/>
        </w:rPr>
        <w:t> </w:t>
      </w:r>
      <w:r>
        <w:rPr>
          <w:rFonts w:ascii="Franklin Gothic Book" w:hAnsi="Franklin Gothic Book"/>
          <w:sz w:val="20"/>
        </w:rPr>
        <w:t>riassegnazione</w:t>
      </w:r>
      <w:r>
        <w:rPr>
          <w:rFonts w:ascii="Franklin Gothic Book" w:hAnsi="Franklin Gothic Book"/>
          <w:spacing w:val="-13"/>
          <w:sz w:val="20"/>
        </w:rPr>
        <w:t> </w:t>
      </w:r>
      <w:r>
        <w:rPr>
          <w:rFonts w:ascii="Franklin Gothic Book" w:hAnsi="Franklin Gothic Book"/>
          <w:sz w:val="20"/>
        </w:rPr>
        <w:t>di</w:t>
      </w:r>
      <w:r>
        <w:rPr>
          <w:rFonts w:ascii="Franklin Gothic Book" w:hAnsi="Franklin Gothic Book"/>
          <w:spacing w:val="-12"/>
          <w:sz w:val="20"/>
        </w:rPr>
        <w:t> </w:t>
      </w:r>
      <w:r>
        <w:rPr>
          <w:rFonts w:ascii="Franklin Gothic Book" w:hAnsi="Franklin Gothic Book"/>
          <w:sz w:val="20"/>
        </w:rPr>
        <w:t>entrate</w:t>
      </w:r>
      <w:r>
        <w:rPr>
          <w:rFonts w:ascii="Franklin Gothic Book" w:hAnsi="Franklin Gothic Book"/>
          <w:spacing w:val="-12"/>
          <w:sz w:val="20"/>
        </w:rPr>
        <w:t> </w:t>
      </w:r>
      <w:r>
        <w:rPr>
          <w:rFonts w:ascii="Franklin Gothic Book" w:hAnsi="Franklin Gothic Book"/>
          <w:sz w:val="20"/>
        </w:rPr>
        <w:t>finalizzate</w:t>
      </w:r>
      <w:r>
        <w:rPr>
          <w:rFonts w:ascii="Franklin Gothic Book" w:hAnsi="Franklin Gothic Book"/>
          <w:spacing w:val="-13"/>
          <w:sz w:val="20"/>
        </w:rPr>
        <w:t> </w:t>
      </w:r>
      <w:r>
        <w:rPr>
          <w:rFonts w:ascii="Franklin Gothic Book" w:hAnsi="Franklin Gothic Book"/>
          <w:sz w:val="20"/>
        </w:rPr>
        <w:t>per</w:t>
      </w:r>
      <w:r>
        <w:rPr>
          <w:rFonts w:ascii="Franklin Gothic Book" w:hAnsi="Franklin Gothic Book"/>
          <w:spacing w:val="-13"/>
          <w:sz w:val="20"/>
        </w:rPr>
        <w:t> </w:t>
      </w:r>
      <w:r>
        <w:rPr>
          <w:rFonts w:ascii="Franklin Gothic Book" w:hAnsi="Franklin Gothic Book"/>
          <w:sz w:val="20"/>
        </w:rPr>
        <w:t>legge</w:t>
      </w:r>
      <w:r>
        <w:rPr>
          <w:rFonts w:ascii="Franklin Gothic Book" w:hAnsi="Franklin Gothic Book"/>
          <w:spacing w:val="-12"/>
          <w:sz w:val="20"/>
        </w:rPr>
        <w:t> </w:t>
      </w:r>
      <w:r>
        <w:rPr>
          <w:rFonts w:ascii="Franklin Gothic Book" w:hAnsi="Franklin Gothic Book"/>
          <w:sz w:val="20"/>
        </w:rPr>
        <w:t>a</w:t>
      </w:r>
      <w:r>
        <w:rPr>
          <w:rFonts w:ascii="Franklin Gothic Book" w:hAnsi="Franklin Gothic Book"/>
          <w:spacing w:val="-12"/>
          <w:sz w:val="20"/>
        </w:rPr>
        <w:t> </w:t>
      </w:r>
      <w:r>
        <w:rPr>
          <w:rFonts w:ascii="Franklin Gothic Book" w:hAnsi="Franklin Gothic Book"/>
          <w:sz w:val="20"/>
        </w:rPr>
        <w:t>specifici</w:t>
      </w:r>
      <w:r>
        <w:rPr>
          <w:rFonts w:ascii="Franklin Gothic Book" w:hAnsi="Franklin Gothic Book"/>
          <w:spacing w:val="-12"/>
          <w:sz w:val="20"/>
        </w:rPr>
        <w:t> </w:t>
      </w:r>
      <w:r>
        <w:rPr>
          <w:rFonts w:ascii="Franklin Gothic Book" w:hAnsi="Franklin Gothic Book"/>
          <w:sz w:val="20"/>
        </w:rPr>
        <w:t>interventi</w:t>
      </w:r>
      <w:r>
        <w:rPr>
          <w:rFonts w:ascii="Franklin Gothic Book" w:hAnsi="Franklin Gothic Book"/>
          <w:spacing w:val="-11"/>
          <w:sz w:val="20"/>
        </w:rPr>
        <w:t> </w:t>
      </w:r>
      <w:r>
        <w:rPr>
          <w:rFonts w:ascii="Franklin Gothic Book" w:hAnsi="Franklin Gothic Book"/>
          <w:sz w:val="20"/>
        </w:rPr>
        <w:t>o</w:t>
      </w:r>
      <w:r>
        <w:rPr>
          <w:rFonts w:ascii="Franklin Gothic Book" w:hAnsi="Franklin Gothic Book"/>
          <w:spacing w:val="-13"/>
          <w:sz w:val="20"/>
        </w:rPr>
        <w:t> </w:t>
      </w:r>
      <w:r>
        <w:rPr>
          <w:rFonts w:ascii="Franklin Gothic Book" w:hAnsi="Franklin Gothic Book"/>
          <w:sz w:val="20"/>
        </w:rPr>
        <w:t>attività, siano assegnate ai pertinenti capitoli in ciascuno degli anni del bilancio pluriennale, in relazione al cronoprogramma degli impegni e dei pagamenti da presentare contestualmente alla richiesta di</w:t>
      </w:r>
      <w:r>
        <w:rPr>
          <w:rFonts w:ascii="Franklin Gothic Book" w:hAnsi="Franklin Gothic Book"/>
          <w:spacing w:val="-3"/>
          <w:sz w:val="20"/>
        </w:rPr>
        <w:t> </w:t>
      </w:r>
      <w:r>
        <w:rPr>
          <w:rFonts w:ascii="Franklin Gothic Book" w:hAnsi="Franklin Gothic Book"/>
          <w:sz w:val="20"/>
        </w:rPr>
        <w:t>variazione;</w:t>
      </w:r>
    </w:p>
    <w:p>
      <w:pPr>
        <w:pStyle w:val="ListParagraph"/>
        <w:numPr>
          <w:ilvl w:val="0"/>
          <w:numId w:val="10"/>
        </w:numPr>
        <w:tabs>
          <w:tab w:pos="997" w:val="left" w:leader="none"/>
        </w:tabs>
        <w:spacing w:line="240" w:lineRule="auto" w:before="0" w:after="0"/>
        <w:ind w:left="996" w:right="2248" w:hanging="228"/>
        <w:jc w:val="both"/>
        <w:rPr>
          <w:rFonts w:ascii="Franklin Gothic Book"/>
          <w:sz w:val="20"/>
        </w:rPr>
      </w:pPr>
      <w:r>
        <w:rPr>
          <w:rFonts w:ascii="Franklin Gothic Book"/>
          <w:sz w:val="20"/>
        </w:rPr>
        <w:t>per le spese in conto capitale i termini di conservazione in bilancio dei residui di stanziamento sono prolungati di un ulteriore esercizio (da uno a due anni) e quelli relativi alla perenzione amministrativa sono prorogati di ulteriori tre esercizi (da tre a sei</w:t>
      </w:r>
      <w:r>
        <w:rPr>
          <w:rFonts w:ascii="Franklin Gothic Book"/>
          <w:spacing w:val="-20"/>
          <w:sz w:val="20"/>
        </w:rPr>
        <w:t> </w:t>
      </w:r>
      <w:r>
        <w:rPr>
          <w:rFonts w:ascii="Franklin Gothic Book"/>
          <w:sz w:val="20"/>
        </w:rPr>
        <w:t>anni);</w:t>
      </w:r>
    </w:p>
    <w:p>
      <w:pPr>
        <w:pStyle w:val="ListParagraph"/>
        <w:numPr>
          <w:ilvl w:val="0"/>
          <w:numId w:val="10"/>
        </w:numPr>
        <w:tabs>
          <w:tab w:pos="997" w:val="left" w:leader="none"/>
        </w:tabs>
        <w:spacing w:line="240" w:lineRule="auto" w:before="1" w:after="0"/>
        <w:ind w:left="996" w:right="2251" w:hanging="228"/>
        <w:jc w:val="both"/>
        <w:rPr>
          <w:rFonts w:ascii="Franklin Gothic Book" w:hAnsi="Franklin Gothic Book"/>
          <w:sz w:val="20"/>
        </w:rPr>
      </w:pPr>
      <w:r>
        <w:rPr>
          <w:rFonts w:ascii="Franklin Gothic Book" w:hAnsi="Franklin Gothic Book"/>
          <w:sz w:val="20"/>
        </w:rPr>
        <w:t>la facoltà di reiscrivere, in sede di disegno di legge di bilancio, nella competenza degli esercizi successivi le somme non impegnate alla chiusura dell’esercizio venga applicata anche</w:t>
      </w:r>
      <w:r>
        <w:rPr>
          <w:rFonts w:ascii="Franklin Gothic Book" w:hAnsi="Franklin Gothic Book"/>
          <w:spacing w:val="-7"/>
          <w:sz w:val="20"/>
        </w:rPr>
        <w:t> </w:t>
      </w:r>
      <w:r>
        <w:rPr>
          <w:rFonts w:ascii="Franklin Gothic Book" w:hAnsi="Franklin Gothic Book"/>
          <w:sz w:val="20"/>
        </w:rPr>
        <w:t>alle</w:t>
      </w:r>
      <w:r>
        <w:rPr>
          <w:rFonts w:ascii="Franklin Gothic Book" w:hAnsi="Franklin Gothic Book"/>
          <w:spacing w:val="-8"/>
          <w:sz w:val="20"/>
        </w:rPr>
        <w:t> </w:t>
      </w:r>
      <w:r>
        <w:rPr>
          <w:rFonts w:ascii="Franklin Gothic Book" w:hAnsi="Franklin Gothic Book"/>
          <w:sz w:val="20"/>
        </w:rPr>
        <w:t>spese</w:t>
      </w:r>
      <w:r>
        <w:rPr>
          <w:rFonts w:ascii="Franklin Gothic Book" w:hAnsi="Franklin Gothic Book"/>
          <w:spacing w:val="-6"/>
          <w:sz w:val="20"/>
        </w:rPr>
        <w:t> </w:t>
      </w:r>
      <w:r>
        <w:rPr>
          <w:rFonts w:ascii="Franklin Gothic Book" w:hAnsi="Franklin Gothic Book"/>
          <w:sz w:val="20"/>
        </w:rPr>
        <w:t>in</w:t>
      </w:r>
      <w:r>
        <w:rPr>
          <w:rFonts w:ascii="Franklin Gothic Book" w:hAnsi="Franklin Gothic Book"/>
          <w:spacing w:val="-5"/>
          <w:sz w:val="20"/>
        </w:rPr>
        <w:t> </w:t>
      </w:r>
      <w:r>
        <w:rPr>
          <w:rFonts w:ascii="Franklin Gothic Book" w:hAnsi="Franklin Gothic Book"/>
          <w:sz w:val="20"/>
        </w:rPr>
        <w:t>conto</w:t>
      </w:r>
      <w:r>
        <w:rPr>
          <w:rFonts w:ascii="Franklin Gothic Book" w:hAnsi="Franklin Gothic Book"/>
          <w:spacing w:val="-7"/>
          <w:sz w:val="20"/>
        </w:rPr>
        <w:t> </w:t>
      </w:r>
      <w:r>
        <w:rPr>
          <w:rFonts w:ascii="Franklin Gothic Book" w:hAnsi="Franklin Gothic Book"/>
          <w:sz w:val="20"/>
        </w:rPr>
        <w:t>capitale</w:t>
      </w:r>
      <w:r>
        <w:rPr>
          <w:rFonts w:ascii="Franklin Gothic Book" w:hAnsi="Franklin Gothic Book"/>
          <w:spacing w:val="-6"/>
          <w:sz w:val="20"/>
        </w:rPr>
        <w:t> </w:t>
      </w:r>
      <w:r>
        <w:rPr>
          <w:rFonts w:ascii="Franklin Gothic Book" w:hAnsi="Franklin Gothic Book"/>
          <w:sz w:val="20"/>
        </w:rPr>
        <w:t>a</w:t>
      </w:r>
      <w:r>
        <w:rPr>
          <w:rFonts w:ascii="Franklin Gothic Book" w:hAnsi="Franklin Gothic Book"/>
          <w:spacing w:val="-7"/>
          <w:sz w:val="20"/>
        </w:rPr>
        <w:t> </w:t>
      </w:r>
      <w:r>
        <w:rPr>
          <w:rFonts w:ascii="Franklin Gothic Book" w:hAnsi="Franklin Gothic Book"/>
          <w:sz w:val="20"/>
        </w:rPr>
        <w:t>carattere</w:t>
      </w:r>
      <w:r>
        <w:rPr>
          <w:rFonts w:ascii="Franklin Gothic Book" w:hAnsi="Franklin Gothic Book"/>
          <w:spacing w:val="-5"/>
          <w:sz w:val="20"/>
        </w:rPr>
        <w:t> </w:t>
      </w:r>
      <w:r>
        <w:rPr>
          <w:rFonts w:ascii="Franklin Gothic Book" w:hAnsi="Franklin Gothic Book"/>
          <w:sz w:val="20"/>
        </w:rPr>
        <w:t>permanente</w:t>
      </w:r>
      <w:r>
        <w:rPr>
          <w:rFonts w:ascii="Franklin Gothic Book" w:hAnsi="Franklin Gothic Book"/>
          <w:spacing w:val="-6"/>
          <w:sz w:val="20"/>
        </w:rPr>
        <w:t> </w:t>
      </w:r>
      <w:r>
        <w:rPr>
          <w:rFonts w:ascii="Franklin Gothic Book" w:hAnsi="Franklin Gothic Book"/>
          <w:sz w:val="20"/>
        </w:rPr>
        <w:t>e</w:t>
      </w:r>
      <w:r>
        <w:rPr>
          <w:rFonts w:ascii="Franklin Gothic Book" w:hAnsi="Franklin Gothic Book"/>
          <w:spacing w:val="-7"/>
          <w:sz w:val="20"/>
        </w:rPr>
        <w:t> </w:t>
      </w:r>
      <w:r>
        <w:rPr>
          <w:rFonts w:ascii="Franklin Gothic Book" w:hAnsi="Franklin Gothic Book"/>
          <w:sz w:val="20"/>
        </w:rPr>
        <w:t>a</w:t>
      </w:r>
      <w:r>
        <w:rPr>
          <w:rFonts w:ascii="Franklin Gothic Book" w:hAnsi="Franklin Gothic Book"/>
          <w:spacing w:val="-4"/>
          <w:sz w:val="20"/>
        </w:rPr>
        <w:t> </w:t>
      </w:r>
      <w:r>
        <w:rPr>
          <w:rFonts w:ascii="Franklin Gothic Book" w:hAnsi="Franklin Gothic Book"/>
          <w:sz w:val="20"/>
        </w:rPr>
        <w:t>quelle</w:t>
      </w:r>
      <w:r>
        <w:rPr>
          <w:rFonts w:ascii="Franklin Gothic Book" w:hAnsi="Franklin Gothic Book"/>
          <w:spacing w:val="-7"/>
          <w:sz w:val="20"/>
        </w:rPr>
        <w:t> </w:t>
      </w:r>
      <w:r>
        <w:rPr>
          <w:rFonts w:ascii="Franklin Gothic Book" w:hAnsi="Franklin Gothic Book"/>
          <w:sz w:val="20"/>
        </w:rPr>
        <w:t>annuali,</w:t>
      </w:r>
      <w:r>
        <w:rPr>
          <w:rFonts w:ascii="Franklin Gothic Book" w:hAnsi="Franklin Gothic Book"/>
          <w:spacing w:val="-6"/>
          <w:sz w:val="20"/>
        </w:rPr>
        <w:t> </w:t>
      </w:r>
      <w:r>
        <w:rPr>
          <w:rFonts w:ascii="Franklin Gothic Book" w:hAnsi="Franklin Gothic Book"/>
          <w:sz w:val="20"/>
        </w:rPr>
        <w:t>anziché</w:t>
      </w:r>
      <w:r>
        <w:rPr>
          <w:rFonts w:ascii="Franklin Gothic Book" w:hAnsi="Franklin Gothic Book"/>
          <w:spacing w:val="-5"/>
          <w:sz w:val="20"/>
        </w:rPr>
        <w:t> </w:t>
      </w:r>
      <w:r>
        <w:rPr>
          <w:rFonts w:ascii="Franklin Gothic Book" w:hAnsi="Franklin Gothic Book"/>
          <w:sz w:val="20"/>
        </w:rPr>
        <w:t>alle sole spese in conto capitale a carattere non permanente.</w:t>
      </w:r>
    </w:p>
    <w:p>
      <w:pPr>
        <w:spacing w:line="254" w:lineRule="auto" w:before="86"/>
        <w:ind w:left="768" w:right="2253" w:firstLine="0"/>
        <w:jc w:val="both"/>
        <w:rPr>
          <w:rFonts w:ascii="Franklin Gothic Book" w:hAnsi="Franklin Gothic Book"/>
          <w:sz w:val="20"/>
        </w:rPr>
      </w:pPr>
      <w:r>
        <w:rPr>
          <w:rFonts w:ascii="Franklin Gothic Book" w:hAnsi="Franklin Gothic Book"/>
          <w:sz w:val="20"/>
        </w:rPr>
        <w:t>Da ultimo, al fine di semplificare e accelerare le procedure di assegnazione di alcuni fondi nel</w:t>
      </w:r>
      <w:r>
        <w:rPr>
          <w:rFonts w:ascii="Franklin Gothic Book" w:hAnsi="Franklin Gothic Book"/>
          <w:spacing w:val="-17"/>
          <w:sz w:val="20"/>
        </w:rPr>
        <w:t> </w:t>
      </w:r>
      <w:r>
        <w:rPr>
          <w:rFonts w:ascii="Franklin Gothic Book" w:hAnsi="Franklin Gothic Book"/>
          <w:sz w:val="20"/>
        </w:rPr>
        <w:t>corso</w:t>
      </w:r>
      <w:r>
        <w:rPr>
          <w:rFonts w:ascii="Franklin Gothic Book" w:hAnsi="Franklin Gothic Book"/>
          <w:spacing w:val="-15"/>
          <w:sz w:val="20"/>
        </w:rPr>
        <w:t> </w:t>
      </w:r>
      <w:r>
        <w:rPr>
          <w:rFonts w:ascii="Franklin Gothic Book" w:hAnsi="Franklin Gothic Book"/>
          <w:sz w:val="20"/>
        </w:rPr>
        <w:t>della</w:t>
      </w:r>
      <w:r>
        <w:rPr>
          <w:rFonts w:ascii="Franklin Gothic Book" w:hAnsi="Franklin Gothic Book"/>
          <w:spacing w:val="-15"/>
          <w:sz w:val="20"/>
        </w:rPr>
        <w:t> </w:t>
      </w:r>
      <w:r>
        <w:rPr>
          <w:rFonts w:ascii="Franklin Gothic Book" w:hAnsi="Franklin Gothic Book"/>
          <w:sz w:val="20"/>
        </w:rPr>
        <w:t>gestione,</w:t>
      </w:r>
      <w:r>
        <w:rPr>
          <w:rFonts w:ascii="Franklin Gothic Book" w:hAnsi="Franklin Gothic Book"/>
          <w:spacing w:val="-15"/>
          <w:sz w:val="20"/>
        </w:rPr>
        <w:t> </w:t>
      </w:r>
      <w:r>
        <w:rPr>
          <w:rFonts w:ascii="Franklin Gothic Book" w:hAnsi="Franklin Gothic Book"/>
          <w:sz w:val="20"/>
        </w:rPr>
        <w:t>è</w:t>
      </w:r>
      <w:r>
        <w:rPr>
          <w:rFonts w:ascii="Franklin Gothic Book" w:hAnsi="Franklin Gothic Book"/>
          <w:spacing w:val="-15"/>
          <w:sz w:val="20"/>
        </w:rPr>
        <w:t> </w:t>
      </w:r>
      <w:r>
        <w:rPr>
          <w:rFonts w:ascii="Franklin Gothic Book" w:hAnsi="Franklin Gothic Book"/>
          <w:sz w:val="20"/>
        </w:rPr>
        <w:t>previsto</w:t>
      </w:r>
      <w:r>
        <w:rPr>
          <w:rFonts w:ascii="Franklin Gothic Book" w:hAnsi="Franklin Gothic Book"/>
          <w:spacing w:val="-16"/>
          <w:sz w:val="20"/>
        </w:rPr>
        <w:t> </w:t>
      </w:r>
      <w:r>
        <w:rPr>
          <w:rFonts w:ascii="Franklin Gothic Book" w:hAnsi="Franklin Gothic Book"/>
          <w:sz w:val="20"/>
        </w:rPr>
        <w:t>che</w:t>
      </w:r>
      <w:r>
        <w:rPr>
          <w:rFonts w:ascii="Franklin Gothic Book" w:hAnsi="Franklin Gothic Book"/>
          <w:spacing w:val="-15"/>
          <w:sz w:val="20"/>
        </w:rPr>
        <w:t> </w:t>
      </w:r>
      <w:r>
        <w:rPr>
          <w:rFonts w:ascii="Franklin Gothic Book" w:hAnsi="Franklin Gothic Book"/>
          <w:sz w:val="20"/>
        </w:rPr>
        <w:t>alcune</w:t>
      </w:r>
      <w:r>
        <w:rPr>
          <w:rFonts w:ascii="Franklin Gothic Book" w:hAnsi="Franklin Gothic Book"/>
          <w:spacing w:val="-15"/>
          <w:sz w:val="20"/>
        </w:rPr>
        <w:t> </w:t>
      </w:r>
      <w:r>
        <w:rPr>
          <w:rFonts w:ascii="Franklin Gothic Book" w:hAnsi="Franklin Gothic Book"/>
          <w:sz w:val="20"/>
        </w:rPr>
        <w:t>variazioni</w:t>
      </w:r>
      <w:r>
        <w:rPr>
          <w:rFonts w:ascii="Franklin Gothic Book" w:hAnsi="Franklin Gothic Book"/>
          <w:spacing w:val="-16"/>
          <w:sz w:val="20"/>
        </w:rPr>
        <w:t> </w:t>
      </w:r>
      <w:r>
        <w:rPr>
          <w:rFonts w:ascii="Franklin Gothic Book" w:hAnsi="Franklin Gothic Book"/>
          <w:sz w:val="20"/>
        </w:rPr>
        <w:t>di</w:t>
      </w:r>
      <w:r>
        <w:rPr>
          <w:rFonts w:ascii="Franklin Gothic Book" w:hAnsi="Franklin Gothic Book"/>
          <w:spacing w:val="-15"/>
          <w:sz w:val="20"/>
        </w:rPr>
        <w:t> </w:t>
      </w:r>
      <w:r>
        <w:rPr>
          <w:rFonts w:ascii="Franklin Gothic Book" w:hAnsi="Franklin Gothic Book"/>
          <w:sz w:val="20"/>
        </w:rPr>
        <w:t>bilancio</w:t>
      </w:r>
      <w:r>
        <w:rPr>
          <w:rFonts w:ascii="Franklin Gothic Book" w:hAnsi="Franklin Gothic Book"/>
          <w:spacing w:val="-16"/>
          <w:sz w:val="20"/>
        </w:rPr>
        <w:t> </w:t>
      </w:r>
      <w:r>
        <w:rPr>
          <w:rFonts w:ascii="Franklin Gothic Book" w:hAnsi="Franklin Gothic Book"/>
          <w:sz w:val="20"/>
        </w:rPr>
        <w:t>siano</w:t>
      </w:r>
      <w:r>
        <w:rPr>
          <w:rFonts w:ascii="Franklin Gothic Book" w:hAnsi="Franklin Gothic Book"/>
          <w:spacing w:val="-15"/>
          <w:sz w:val="20"/>
        </w:rPr>
        <w:t> </w:t>
      </w:r>
      <w:r>
        <w:rPr>
          <w:rFonts w:ascii="Franklin Gothic Book" w:hAnsi="Franklin Gothic Book"/>
          <w:sz w:val="20"/>
        </w:rPr>
        <w:t>disposte</w:t>
      </w:r>
      <w:r>
        <w:rPr>
          <w:rFonts w:ascii="Franklin Gothic Book" w:hAnsi="Franklin Gothic Book"/>
          <w:spacing w:val="-16"/>
          <w:sz w:val="20"/>
        </w:rPr>
        <w:t> </w:t>
      </w:r>
      <w:r>
        <w:rPr>
          <w:rFonts w:ascii="Franklin Gothic Book" w:hAnsi="Franklin Gothic Book"/>
          <w:sz w:val="20"/>
        </w:rPr>
        <w:t>con</w:t>
      </w:r>
      <w:r>
        <w:rPr>
          <w:rFonts w:ascii="Franklin Gothic Book" w:hAnsi="Franklin Gothic Book"/>
          <w:spacing w:val="-15"/>
          <w:sz w:val="20"/>
        </w:rPr>
        <w:t> </w:t>
      </w:r>
      <w:r>
        <w:rPr>
          <w:rFonts w:ascii="Franklin Gothic Book" w:hAnsi="Franklin Gothic Book"/>
          <w:sz w:val="20"/>
        </w:rPr>
        <w:t>decreti del</w:t>
      </w:r>
      <w:r>
        <w:rPr>
          <w:rFonts w:ascii="Franklin Gothic Book" w:hAnsi="Franklin Gothic Book"/>
          <w:spacing w:val="-5"/>
          <w:sz w:val="20"/>
        </w:rPr>
        <w:t> </w:t>
      </w:r>
      <w:r>
        <w:rPr>
          <w:rFonts w:ascii="Franklin Gothic Book" w:hAnsi="Franklin Gothic Book"/>
          <w:sz w:val="20"/>
        </w:rPr>
        <w:t>Ragioniere</w:t>
      </w:r>
      <w:r>
        <w:rPr>
          <w:rFonts w:ascii="Franklin Gothic Book" w:hAnsi="Franklin Gothic Book"/>
          <w:spacing w:val="-3"/>
          <w:sz w:val="20"/>
        </w:rPr>
        <w:t> </w:t>
      </w:r>
      <w:r>
        <w:rPr>
          <w:rFonts w:ascii="Franklin Gothic Book" w:hAnsi="Franklin Gothic Book"/>
          <w:sz w:val="20"/>
        </w:rPr>
        <w:t>generale</w:t>
      </w:r>
      <w:r>
        <w:rPr>
          <w:rFonts w:ascii="Franklin Gothic Book" w:hAnsi="Franklin Gothic Book"/>
          <w:spacing w:val="-4"/>
          <w:sz w:val="20"/>
        </w:rPr>
        <w:t> </w:t>
      </w:r>
      <w:r>
        <w:rPr>
          <w:rFonts w:ascii="Franklin Gothic Book" w:hAnsi="Franklin Gothic Book"/>
          <w:sz w:val="20"/>
        </w:rPr>
        <w:t>dello</w:t>
      </w:r>
      <w:r>
        <w:rPr>
          <w:rFonts w:ascii="Franklin Gothic Book" w:hAnsi="Franklin Gothic Book"/>
          <w:spacing w:val="-2"/>
          <w:sz w:val="20"/>
        </w:rPr>
        <w:t> </w:t>
      </w:r>
      <w:r>
        <w:rPr>
          <w:rFonts w:ascii="Franklin Gothic Book" w:hAnsi="Franklin Gothic Book"/>
          <w:sz w:val="20"/>
        </w:rPr>
        <w:t>Stato</w:t>
      </w:r>
      <w:r>
        <w:rPr>
          <w:rFonts w:ascii="Franklin Gothic Book" w:hAnsi="Franklin Gothic Book"/>
          <w:spacing w:val="-4"/>
          <w:sz w:val="20"/>
        </w:rPr>
        <w:t> </w:t>
      </w:r>
      <w:r>
        <w:rPr>
          <w:rFonts w:ascii="Franklin Gothic Book" w:hAnsi="Franklin Gothic Book"/>
          <w:sz w:val="20"/>
        </w:rPr>
        <w:t>anziché</w:t>
      </w:r>
      <w:r>
        <w:rPr>
          <w:rFonts w:ascii="Franklin Gothic Book" w:hAnsi="Franklin Gothic Book"/>
          <w:spacing w:val="-5"/>
          <w:sz w:val="20"/>
        </w:rPr>
        <w:t> </w:t>
      </w:r>
      <w:r>
        <w:rPr>
          <w:rFonts w:ascii="Franklin Gothic Book" w:hAnsi="Franklin Gothic Book"/>
          <w:sz w:val="20"/>
        </w:rPr>
        <w:t>con</w:t>
      </w:r>
      <w:r>
        <w:rPr>
          <w:rFonts w:ascii="Franklin Gothic Book" w:hAnsi="Franklin Gothic Book"/>
          <w:spacing w:val="-4"/>
          <w:sz w:val="20"/>
        </w:rPr>
        <w:t> </w:t>
      </w:r>
      <w:r>
        <w:rPr>
          <w:rFonts w:ascii="Franklin Gothic Book" w:hAnsi="Franklin Gothic Book"/>
          <w:sz w:val="20"/>
        </w:rPr>
        <w:t>provvedimento</w:t>
      </w:r>
      <w:r>
        <w:rPr>
          <w:rFonts w:ascii="Franklin Gothic Book" w:hAnsi="Franklin Gothic Book"/>
          <w:spacing w:val="-3"/>
          <w:sz w:val="20"/>
        </w:rPr>
        <w:t> </w:t>
      </w:r>
      <w:r>
        <w:rPr>
          <w:rFonts w:ascii="Franklin Gothic Book" w:hAnsi="Franklin Gothic Book"/>
          <w:sz w:val="20"/>
        </w:rPr>
        <w:t>del</w:t>
      </w:r>
      <w:r>
        <w:rPr>
          <w:rFonts w:ascii="Franklin Gothic Book" w:hAnsi="Franklin Gothic Book"/>
          <w:spacing w:val="-5"/>
          <w:sz w:val="20"/>
        </w:rPr>
        <w:t> </w:t>
      </w:r>
      <w:r>
        <w:rPr>
          <w:rFonts w:ascii="Franklin Gothic Book" w:hAnsi="Franklin Gothic Book"/>
          <w:sz w:val="20"/>
        </w:rPr>
        <w:t>Ministro</w:t>
      </w:r>
      <w:r>
        <w:rPr>
          <w:rFonts w:ascii="Franklin Gothic Book" w:hAnsi="Franklin Gothic Book"/>
          <w:spacing w:val="-4"/>
          <w:sz w:val="20"/>
        </w:rPr>
        <w:t> </w:t>
      </w:r>
      <w:r>
        <w:rPr>
          <w:rFonts w:ascii="Franklin Gothic Book" w:hAnsi="Franklin Gothic Book"/>
          <w:sz w:val="20"/>
        </w:rPr>
        <w:t>dell’Economia</w:t>
      </w:r>
      <w:r>
        <w:rPr>
          <w:rFonts w:ascii="Franklin Gothic Book" w:hAnsi="Franklin Gothic Book"/>
          <w:spacing w:val="-3"/>
          <w:sz w:val="20"/>
        </w:rPr>
        <w:t> </w:t>
      </w:r>
      <w:r>
        <w:rPr>
          <w:rFonts w:ascii="Franklin Gothic Book" w:hAnsi="Franklin Gothic Book"/>
          <w:sz w:val="20"/>
        </w:rPr>
        <w:t>e delle Finanze. Si tratta delle seguenti fattispecie previste dalla legge di contabilità e finanza pubblica (Legge n. 196 del 31 dicembre</w:t>
      </w:r>
      <w:r>
        <w:rPr>
          <w:rFonts w:ascii="Franklin Gothic Book" w:hAnsi="Franklin Gothic Book"/>
          <w:spacing w:val="-1"/>
          <w:sz w:val="20"/>
        </w:rPr>
        <w:t> </w:t>
      </w:r>
      <w:r>
        <w:rPr>
          <w:rFonts w:ascii="Franklin Gothic Book" w:hAnsi="Franklin Gothic Book"/>
          <w:sz w:val="20"/>
        </w:rPr>
        <w:t>2009):</w:t>
      </w:r>
    </w:p>
    <w:p>
      <w:pPr>
        <w:pStyle w:val="ListParagraph"/>
        <w:numPr>
          <w:ilvl w:val="0"/>
          <w:numId w:val="11"/>
        </w:numPr>
        <w:tabs>
          <w:tab w:pos="1222" w:val="left" w:leader="none"/>
        </w:tabs>
        <w:spacing w:line="254" w:lineRule="auto" w:before="41" w:after="0"/>
        <w:ind w:left="1221" w:right="2255" w:hanging="454"/>
        <w:jc w:val="both"/>
        <w:rPr>
          <w:rFonts w:ascii="Symbol" w:hAnsi="Symbol"/>
          <w:sz w:val="20"/>
        </w:rPr>
      </w:pPr>
      <w:r>
        <w:rPr>
          <w:rFonts w:ascii="Franklin Gothic Book" w:hAnsi="Franklin Gothic Book"/>
          <w:sz w:val="20"/>
        </w:rPr>
        <w:t>variazioni</w:t>
      </w:r>
      <w:r>
        <w:rPr>
          <w:rFonts w:ascii="Franklin Gothic Book" w:hAnsi="Franklin Gothic Book"/>
          <w:spacing w:val="-6"/>
          <w:sz w:val="20"/>
        </w:rPr>
        <w:t> </w:t>
      </w:r>
      <w:r>
        <w:rPr>
          <w:rFonts w:ascii="Franklin Gothic Book" w:hAnsi="Franklin Gothic Book"/>
          <w:sz w:val="20"/>
        </w:rPr>
        <w:t>di</w:t>
      </w:r>
      <w:r>
        <w:rPr>
          <w:rFonts w:ascii="Franklin Gothic Book" w:hAnsi="Franklin Gothic Book"/>
          <w:spacing w:val="-7"/>
          <w:sz w:val="20"/>
        </w:rPr>
        <w:t> </w:t>
      </w:r>
      <w:r>
        <w:rPr>
          <w:rFonts w:ascii="Franklin Gothic Book" w:hAnsi="Franklin Gothic Book"/>
          <w:sz w:val="20"/>
        </w:rPr>
        <w:t>bilancio</w:t>
      </w:r>
      <w:r>
        <w:rPr>
          <w:rFonts w:ascii="Franklin Gothic Book" w:hAnsi="Franklin Gothic Book"/>
          <w:spacing w:val="-6"/>
          <w:sz w:val="20"/>
        </w:rPr>
        <w:t> </w:t>
      </w:r>
      <w:r>
        <w:rPr>
          <w:rFonts w:ascii="Franklin Gothic Book" w:hAnsi="Franklin Gothic Book"/>
          <w:sz w:val="20"/>
        </w:rPr>
        <w:t>occorrenti</w:t>
      </w:r>
      <w:r>
        <w:rPr>
          <w:rFonts w:ascii="Franklin Gothic Book" w:hAnsi="Franklin Gothic Book"/>
          <w:spacing w:val="-7"/>
          <w:sz w:val="20"/>
        </w:rPr>
        <w:t> </w:t>
      </w:r>
      <w:r>
        <w:rPr>
          <w:rFonts w:ascii="Franklin Gothic Book" w:hAnsi="Franklin Gothic Book"/>
          <w:sz w:val="20"/>
        </w:rPr>
        <w:t>per</w:t>
      </w:r>
      <w:r>
        <w:rPr>
          <w:rFonts w:ascii="Franklin Gothic Book" w:hAnsi="Franklin Gothic Book"/>
          <w:spacing w:val="-7"/>
          <w:sz w:val="20"/>
        </w:rPr>
        <w:t> </w:t>
      </w:r>
      <w:r>
        <w:rPr>
          <w:rFonts w:ascii="Franklin Gothic Book" w:hAnsi="Franklin Gothic Book"/>
          <w:sz w:val="20"/>
        </w:rPr>
        <w:t>l’iscrizione</w:t>
      </w:r>
      <w:r>
        <w:rPr>
          <w:rFonts w:ascii="Franklin Gothic Book" w:hAnsi="Franklin Gothic Book"/>
          <w:spacing w:val="-7"/>
          <w:sz w:val="20"/>
        </w:rPr>
        <w:t> </w:t>
      </w:r>
      <w:r>
        <w:rPr>
          <w:rFonts w:ascii="Franklin Gothic Book" w:hAnsi="Franklin Gothic Book"/>
          <w:sz w:val="20"/>
        </w:rPr>
        <w:t>nei</w:t>
      </w:r>
      <w:r>
        <w:rPr>
          <w:rFonts w:ascii="Franklin Gothic Book" w:hAnsi="Franklin Gothic Book"/>
          <w:spacing w:val="-6"/>
          <w:sz w:val="20"/>
        </w:rPr>
        <w:t> </w:t>
      </w:r>
      <w:r>
        <w:rPr>
          <w:rFonts w:ascii="Franklin Gothic Book" w:hAnsi="Franklin Gothic Book"/>
          <w:sz w:val="20"/>
        </w:rPr>
        <w:t>diversi</w:t>
      </w:r>
      <w:r>
        <w:rPr>
          <w:rFonts w:ascii="Franklin Gothic Book" w:hAnsi="Franklin Gothic Book"/>
          <w:spacing w:val="-5"/>
          <w:sz w:val="20"/>
        </w:rPr>
        <w:t> </w:t>
      </w:r>
      <w:r>
        <w:rPr>
          <w:rFonts w:ascii="Franklin Gothic Book" w:hAnsi="Franklin Gothic Book"/>
          <w:sz w:val="20"/>
        </w:rPr>
        <w:t>stati</w:t>
      </w:r>
      <w:r>
        <w:rPr>
          <w:rFonts w:ascii="Franklin Gothic Book" w:hAnsi="Franklin Gothic Book"/>
          <w:spacing w:val="-9"/>
          <w:sz w:val="20"/>
        </w:rPr>
        <w:t> </w:t>
      </w:r>
      <w:r>
        <w:rPr>
          <w:rFonts w:ascii="Franklin Gothic Book" w:hAnsi="Franklin Gothic Book"/>
          <w:sz w:val="20"/>
        </w:rPr>
        <w:t>di</w:t>
      </w:r>
      <w:r>
        <w:rPr>
          <w:rFonts w:ascii="Franklin Gothic Book" w:hAnsi="Franklin Gothic Book"/>
          <w:spacing w:val="-6"/>
          <w:sz w:val="20"/>
        </w:rPr>
        <w:t> </w:t>
      </w:r>
      <w:r>
        <w:rPr>
          <w:rFonts w:ascii="Franklin Gothic Book" w:hAnsi="Franklin Gothic Book"/>
          <w:sz w:val="20"/>
        </w:rPr>
        <w:t>previsione</w:t>
      </w:r>
      <w:r>
        <w:rPr>
          <w:rFonts w:ascii="Franklin Gothic Book" w:hAnsi="Franklin Gothic Book"/>
          <w:spacing w:val="-7"/>
          <w:sz w:val="20"/>
        </w:rPr>
        <w:t> </w:t>
      </w:r>
      <w:r>
        <w:rPr>
          <w:rFonts w:ascii="Franklin Gothic Book" w:hAnsi="Franklin Gothic Book"/>
          <w:sz w:val="20"/>
        </w:rPr>
        <w:t>della</w:t>
      </w:r>
      <w:r>
        <w:rPr>
          <w:rFonts w:ascii="Franklin Gothic Book" w:hAnsi="Franklin Gothic Book"/>
          <w:spacing w:val="-5"/>
          <w:sz w:val="20"/>
        </w:rPr>
        <w:t> </w:t>
      </w:r>
      <w:r>
        <w:rPr>
          <w:rFonts w:ascii="Franklin Gothic Book" w:hAnsi="Franklin Gothic Book"/>
          <w:sz w:val="20"/>
        </w:rPr>
        <w:t>spesa interessati</w:t>
      </w:r>
      <w:r>
        <w:rPr>
          <w:rFonts w:ascii="Franklin Gothic Book" w:hAnsi="Franklin Gothic Book"/>
          <w:spacing w:val="-5"/>
          <w:sz w:val="20"/>
        </w:rPr>
        <w:t> </w:t>
      </w:r>
      <w:r>
        <w:rPr>
          <w:rFonts w:ascii="Franklin Gothic Book" w:hAnsi="Franklin Gothic Book"/>
          <w:sz w:val="20"/>
        </w:rPr>
        <w:t>delle</w:t>
      </w:r>
      <w:r>
        <w:rPr>
          <w:rFonts w:ascii="Franklin Gothic Book" w:hAnsi="Franklin Gothic Book"/>
          <w:spacing w:val="-5"/>
          <w:sz w:val="20"/>
        </w:rPr>
        <w:t> </w:t>
      </w:r>
      <w:r>
        <w:rPr>
          <w:rFonts w:ascii="Franklin Gothic Book" w:hAnsi="Franklin Gothic Book"/>
          <w:sz w:val="20"/>
        </w:rPr>
        <w:t>somme</w:t>
      </w:r>
      <w:r>
        <w:rPr>
          <w:rFonts w:ascii="Franklin Gothic Book" w:hAnsi="Franklin Gothic Book"/>
          <w:spacing w:val="-2"/>
          <w:sz w:val="20"/>
        </w:rPr>
        <w:t> </w:t>
      </w:r>
      <w:r>
        <w:rPr>
          <w:rFonts w:ascii="Franklin Gothic Book" w:hAnsi="Franklin Gothic Book"/>
          <w:sz w:val="20"/>
        </w:rPr>
        <w:t>versate</w:t>
      </w:r>
      <w:r>
        <w:rPr>
          <w:rFonts w:ascii="Franklin Gothic Book" w:hAnsi="Franklin Gothic Book"/>
          <w:spacing w:val="-5"/>
          <w:sz w:val="20"/>
        </w:rPr>
        <w:t> </w:t>
      </w:r>
      <w:r>
        <w:rPr>
          <w:rFonts w:ascii="Franklin Gothic Book" w:hAnsi="Franklin Gothic Book"/>
          <w:sz w:val="20"/>
        </w:rPr>
        <w:t>all’entrata</w:t>
      </w:r>
      <w:r>
        <w:rPr>
          <w:rFonts w:ascii="Franklin Gothic Book" w:hAnsi="Franklin Gothic Book"/>
          <w:spacing w:val="-4"/>
          <w:sz w:val="20"/>
        </w:rPr>
        <w:t> </w:t>
      </w:r>
      <w:r>
        <w:rPr>
          <w:rFonts w:ascii="Franklin Gothic Book" w:hAnsi="Franklin Gothic Book"/>
          <w:sz w:val="20"/>
        </w:rPr>
        <w:t>del</w:t>
      </w:r>
      <w:r>
        <w:rPr>
          <w:rFonts w:ascii="Franklin Gothic Book" w:hAnsi="Franklin Gothic Book"/>
          <w:spacing w:val="-5"/>
          <w:sz w:val="20"/>
        </w:rPr>
        <w:t> </w:t>
      </w:r>
      <w:r>
        <w:rPr>
          <w:rFonts w:ascii="Franklin Gothic Book" w:hAnsi="Franklin Gothic Book"/>
          <w:sz w:val="20"/>
        </w:rPr>
        <w:t>bilancio</w:t>
      </w:r>
      <w:r>
        <w:rPr>
          <w:rFonts w:ascii="Franklin Gothic Book" w:hAnsi="Franklin Gothic Book"/>
          <w:spacing w:val="-5"/>
          <w:sz w:val="20"/>
        </w:rPr>
        <w:t> </w:t>
      </w:r>
      <w:r>
        <w:rPr>
          <w:rFonts w:ascii="Franklin Gothic Book" w:hAnsi="Franklin Gothic Book"/>
          <w:sz w:val="20"/>
        </w:rPr>
        <w:t>dello</w:t>
      </w:r>
      <w:r>
        <w:rPr>
          <w:rFonts w:ascii="Franklin Gothic Book" w:hAnsi="Franklin Gothic Book"/>
          <w:spacing w:val="-5"/>
          <w:sz w:val="20"/>
        </w:rPr>
        <w:t> </w:t>
      </w:r>
      <w:r>
        <w:rPr>
          <w:rFonts w:ascii="Franklin Gothic Book" w:hAnsi="Franklin Gothic Book"/>
          <w:sz w:val="20"/>
        </w:rPr>
        <w:t>Stato</w:t>
      </w:r>
      <w:r>
        <w:rPr>
          <w:rFonts w:ascii="Franklin Gothic Book" w:hAnsi="Franklin Gothic Book"/>
          <w:spacing w:val="-5"/>
          <w:sz w:val="20"/>
        </w:rPr>
        <w:t> </w:t>
      </w:r>
      <w:r>
        <w:rPr>
          <w:rFonts w:ascii="Franklin Gothic Book" w:hAnsi="Franklin Gothic Book"/>
          <w:sz w:val="20"/>
        </w:rPr>
        <w:t>finalizzate</w:t>
      </w:r>
      <w:r>
        <w:rPr>
          <w:rFonts w:ascii="Franklin Gothic Book" w:hAnsi="Franklin Gothic Book"/>
          <w:spacing w:val="-5"/>
          <w:sz w:val="20"/>
        </w:rPr>
        <w:t> </w:t>
      </w:r>
      <w:r>
        <w:rPr>
          <w:rFonts w:ascii="Franklin Gothic Book" w:hAnsi="Franklin Gothic Book"/>
          <w:sz w:val="20"/>
        </w:rPr>
        <w:t>per</w:t>
      </w:r>
      <w:r>
        <w:rPr>
          <w:rFonts w:ascii="Franklin Gothic Book" w:hAnsi="Franklin Gothic Book"/>
          <w:spacing w:val="-4"/>
          <w:sz w:val="20"/>
        </w:rPr>
        <w:t> </w:t>
      </w:r>
      <w:r>
        <w:rPr>
          <w:rFonts w:ascii="Franklin Gothic Book" w:hAnsi="Franklin Gothic Book"/>
          <w:sz w:val="20"/>
        </w:rPr>
        <w:t>legge al finanziamento di specifici interventi o attività (articolo 24, comma</w:t>
      </w:r>
      <w:r>
        <w:rPr>
          <w:rFonts w:ascii="Franklin Gothic Book" w:hAnsi="Franklin Gothic Book"/>
          <w:spacing w:val="-11"/>
          <w:sz w:val="20"/>
        </w:rPr>
        <w:t> </w:t>
      </w:r>
      <w:r>
        <w:rPr>
          <w:rFonts w:ascii="Franklin Gothic Book" w:hAnsi="Franklin Gothic Book"/>
          <w:sz w:val="20"/>
        </w:rPr>
        <w:t>5-bis);</w:t>
      </w:r>
    </w:p>
    <w:p>
      <w:pPr>
        <w:pStyle w:val="ListParagraph"/>
        <w:numPr>
          <w:ilvl w:val="0"/>
          <w:numId w:val="11"/>
        </w:numPr>
        <w:tabs>
          <w:tab w:pos="1222" w:val="left" w:leader="none"/>
        </w:tabs>
        <w:spacing w:line="225" w:lineRule="exact" w:before="0" w:after="0"/>
        <w:ind w:left="1222" w:right="0" w:hanging="454"/>
        <w:jc w:val="both"/>
        <w:rPr>
          <w:rFonts w:ascii="Symbol" w:hAnsi="Symbol"/>
          <w:sz w:val="20"/>
        </w:rPr>
      </w:pPr>
      <w:r>
        <w:rPr>
          <w:rFonts w:ascii="Franklin Gothic Book" w:hAnsi="Franklin Gothic Book"/>
          <w:sz w:val="20"/>
        </w:rPr>
        <w:t>variazioni</w:t>
      </w:r>
      <w:r>
        <w:rPr>
          <w:rFonts w:ascii="Franklin Gothic Book" w:hAnsi="Franklin Gothic Book"/>
          <w:spacing w:val="6"/>
          <w:sz w:val="20"/>
        </w:rPr>
        <w:t> </w:t>
      </w:r>
      <w:r>
        <w:rPr>
          <w:rFonts w:ascii="Franklin Gothic Book" w:hAnsi="Franklin Gothic Book"/>
          <w:sz w:val="20"/>
        </w:rPr>
        <w:t>di</w:t>
      </w:r>
      <w:r>
        <w:rPr>
          <w:rFonts w:ascii="Franklin Gothic Book" w:hAnsi="Franklin Gothic Book"/>
          <w:spacing w:val="6"/>
          <w:sz w:val="20"/>
        </w:rPr>
        <w:t> </w:t>
      </w:r>
      <w:r>
        <w:rPr>
          <w:rFonts w:ascii="Franklin Gothic Book" w:hAnsi="Franklin Gothic Book"/>
          <w:sz w:val="20"/>
        </w:rPr>
        <w:t>bilancio</w:t>
      </w:r>
      <w:r>
        <w:rPr>
          <w:rFonts w:ascii="Franklin Gothic Book" w:hAnsi="Franklin Gothic Book"/>
          <w:spacing w:val="5"/>
          <w:sz w:val="20"/>
        </w:rPr>
        <w:t> </w:t>
      </w:r>
      <w:r>
        <w:rPr>
          <w:rFonts w:ascii="Franklin Gothic Book" w:hAnsi="Franklin Gothic Book"/>
          <w:sz w:val="20"/>
        </w:rPr>
        <w:t>con</w:t>
      </w:r>
      <w:r>
        <w:rPr>
          <w:rFonts w:ascii="Franklin Gothic Book" w:hAnsi="Franklin Gothic Book"/>
          <w:spacing w:val="8"/>
          <w:sz w:val="20"/>
        </w:rPr>
        <w:t> </w:t>
      </w:r>
      <w:r>
        <w:rPr>
          <w:rFonts w:ascii="Franklin Gothic Book" w:hAnsi="Franklin Gothic Book"/>
          <w:sz w:val="20"/>
        </w:rPr>
        <w:t>prelevamento</w:t>
      </w:r>
      <w:r>
        <w:rPr>
          <w:rFonts w:ascii="Franklin Gothic Book" w:hAnsi="Franklin Gothic Book"/>
          <w:spacing w:val="6"/>
          <w:sz w:val="20"/>
        </w:rPr>
        <w:t> </w:t>
      </w:r>
      <w:r>
        <w:rPr>
          <w:rFonts w:ascii="Franklin Gothic Book" w:hAnsi="Franklin Gothic Book"/>
          <w:sz w:val="20"/>
        </w:rPr>
        <w:t>dai</w:t>
      </w:r>
      <w:r>
        <w:rPr>
          <w:rFonts w:ascii="Franklin Gothic Book" w:hAnsi="Franklin Gothic Book"/>
          <w:spacing w:val="7"/>
          <w:sz w:val="20"/>
        </w:rPr>
        <w:t> </w:t>
      </w:r>
      <w:r>
        <w:rPr>
          <w:rFonts w:ascii="Franklin Gothic Book" w:hAnsi="Franklin Gothic Book"/>
          <w:sz w:val="20"/>
        </w:rPr>
        <w:t>fondi</w:t>
      </w:r>
      <w:r>
        <w:rPr>
          <w:rFonts w:ascii="Franklin Gothic Book" w:hAnsi="Franklin Gothic Book"/>
          <w:spacing w:val="7"/>
          <w:sz w:val="20"/>
        </w:rPr>
        <w:t> </w:t>
      </w:r>
      <w:r>
        <w:rPr>
          <w:rFonts w:ascii="Franklin Gothic Book" w:hAnsi="Franklin Gothic Book"/>
          <w:sz w:val="20"/>
        </w:rPr>
        <w:t>speciali</w:t>
      </w:r>
      <w:r>
        <w:rPr>
          <w:rFonts w:ascii="Franklin Gothic Book" w:hAnsi="Franklin Gothic Book"/>
          <w:spacing w:val="9"/>
          <w:sz w:val="20"/>
        </w:rPr>
        <w:t> </w:t>
      </w:r>
      <w:r>
        <w:rPr>
          <w:rFonts w:ascii="Franklin Gothic Book" w:hAnsi="Franklin Gothic Book"/>
          <w:sz w:val="20"/>
        </w:rPr>
        <w:t>per</w:t>
      </w:r>
      <w:r>
        <w:rPr>
          <w:rFonts w:ascii="Franklin Gothic Book" w:hAnsi="Franklin Gothic Book"/>
          <w:spacing w:val="4"/>
          <w:sz w:val="20"/>
        </w:rPr>
        <w:t> </w:t>
      </w:r>
      <w:r>
        <w:rPr>
          <w:rFonts w:ascii="Franklin Gothic Book" w:hAnsi="Franklin Gothic Book"/>
          <w:sz w:val="20"/>
        </w:rPr>
        <w:t>la</w:t>
      </w:r>
      <w:r>
        <w:rPr>
          <w:rFonts w:ascii="Franklin Gothic Book" w:hAnsi="Franklin Gothic Book"/>
          <w:spacing w:val="8"/>
          <w:sz w:val="20"/>
        </w:rPr>
        <w:t> </w:t>
      </w:r>
      <w:r>
        <w:rPr>
          <w:rFonts w:ascii="Franklin Gothic Book" w:hAnsi="Franklin Gothic Book"/>
          <w:sz w:val="20"/>
        </w:rPr>
        <w:t>reiscrizione</w:t>
      </w:r>
      <w:r>
        <w:rPr>
          <w:rFonts w:ascii="Franklin Gothic Book" w:hAnsi="Franklin Gothic Book"/>
          <w:spacing w:val="6"/>
          <w:sz w:val="20"/>
        </w:rPr>
        <w:t> </w:t>
      </w:r>
      <w:r>
        <w:rPr>
          <w:rFonts w:ascii="Franklin Gothic Book" w:hAnsi="Franklin Gothic Book"/>
          <w:sz w:val="20"/>
        </w:rPr>
        <w:t>in</w:t>
      </w:r>
      <w:r>
        <w:rPr>
          <w:rFonts w:ascii="Franklin Gothic Book" w:hAnsi="Franklin Gothic Book"/>
          <w:spacing w:val="6"/>
          <w:sz w:val="20"/>
        </w:rPr>
        <w:t> </w:t>
      </w:r>
      <w:r>
        <w:rPr>
          <w:rFonts w:ascii="Franklin Gothic Book" w:hAnsi="Franklin Gothic Book"/>
          <w:sz w:val="20"/>
        </w:rPr>
        <w:t>bilancio</w:t>
      </w:r>
    </w:p>
    <w:p>
      <w:pPr>
        <w:spacing w:line="224" w:lineRule="exact" w:before="13"/>
        <w:ind w:left="1221" w:right="0" w:firstLine="0"/>
        <w:jc w:val="both"/>
        <w:rPr>
          <w:rFonts w:ascii="Franklin Gothic Book"/>
          <w:sz w:val="20"/>
        </w:rPr>
      </w:pPr>
      <w:r>
        <w:rPr>
          <w:rFonts w:ascii="Franklin Gothic Book"/>
          <w:sz w:val="20"/>
        </w:rPr>
        <w:t>di residui passivi perenti delle spese correnti e in conto capitale (articolo 27);</w:t>
      </w:r>
    </w:p>
    <w:p>
      <w:pPr>
        <w:pStyle w:val="ListParagraph"/>
        <w:numPr>
          <w:ilvl w:val="0"/>
          <w:numId w:val="11"/>
        </w:numPr>
        <w:tabs>
          <w:tab w:pos="1222" w:val="left" w:leader="none"/>
        </w:tabs>
        <w:spacing w:line="243" w:lineRule="exact" w:before="0" w:after="0"/>
        <w:ind w:left="1222" w:right="0" w:hanging="454"/>
        <w:jc w:val="both"/>
        <w:rPr>
          <w:rFonts w:ascii="Symbol" w:hAnsi="Symbol"/>
          <w:sz w:val="20"/>
        </w:rPr>
      </w:pPr>
      <w:r>
        <w:rPr>
          <w:rFonts w:ascii="Franklin Gothic Book" w:hAnsi="Franklin Gothic Book"/>
          <w:sz w:val="20"/>
        </w:rPr>
        <w:t>variazioni</w:t>
      </w:r>
      <w:r>
        <w:rPr>
          <w:rFonts w:ascii="Franklin Gothic Book" w:hAnsi="Franklin Gothic Book"/>
          <w:spacing w:val="32"/>
          <w:sz w:val="20"/>
        </w:rPr>
        <w:t> </w:t>
      </w:r>
      <w:r>
        <w:rPr>
          <w:rFonts w:ascii="Franklin Gothic Book" w:hAnsi="Franklin Gothic Book"/>
          <w:sz w:val="20"/>
        </w:rPr>
        <w:t>di</w:t>
      </w:r>
      <w:r>
        <w:rPr>
          <w:rFonts w:ascii="Franklin Gothic Book" w:hAnsi="Franklin Gothic Book"/>
          <w:spacing w:val="32"/>
          <w:sz w:val="20"/>
        </w:rPr>
        <w:t> </w:t>
      </w:r>
      <w:r>
        <w:rPr>
          <w:rFonts w:ascii="Franklin Gothic Book" w:hAnsi="Franklin Gothic Book"/>
          <w:sz w:val="20"/>
        </w:rPr>
        <w:t>bilancio</w:t>
      </w:r>
      <w:r>
        <w:rPr>
          <w:rFonts w:ascii="Franklin Gothic Book" w:hAnsi="Franklin Gothic Book"/>
          <w:spacing w:val="32"/>
          <w:sz w:val="20"/>
        </w:rPr>
        <w:t> </w:t>
      </w:r>
      <w:r>
        <w:rPr>
          <w:rFonts w:ascii="Franklin Gothic Book" w:hAnsi="Franklin Gothic Book"/>
          <w:sz w:val="20"/>
        </w:rPr>
        <w:t>con</w:t>
      </w:r>
      <w:r>
        <w:rPr>
          <w:rFonts w:ascii="Franklin Gothic Book" w:hAnsi="Franklin Gothic Book"/>
          <w:spacing w:val="36"/>
          <w:sz w:val="20"/>
        </w:rPr>
        <w:t> </w:t>
      </w:r>
      <w:r>
        <w:rPr>
          <w:rFonts w:ascii="Franklin Gothic Book" w:hAnsi="Franklin Gothic Book"/>
          <w:sz w:val="20"/>
        </w:rPr>
        <w:t>prelevamento</w:t>
      </w:r>
      <w:r>
        <w:rPr>
          <w:rFonts w:ascii="Franklin Gothic Book" w:hAnsi="Franklin Gothic Book"/>
          <w:spacing w:val="33"/>
          <w:sz w:val="20"/>
        </w:rPr>
        <w:t> </w:t>
      </w:r>
      <w:r>
        <w:rPr>
          <w:rFonts w:ascii="Franklin Gothic Book" w:hAnsi="Franklin Gothic Book"/>
          <w:sz w:val="20"/>
        </w:rPr>
        <w:t>dal</w:t>
      </w:r>
      <w:r>
        <w:rPr>
          <w:rFonts w:ascii="Franklin Gothic Book" w:hAnsi="Franklin Gothic Book"/>
          <w:spacing w:val="32"/>
          <w:sz w:val="20"/>
        </w:rPr>
        <w:t> </w:t>
      </w:r>
      <w:r>
        <w:rPr>
          <w:rFonts w:ascii="Franklin Gothic Book" w:hAnsi="Franklin Gothic Book"/>
          <w:sz w:val="20"/>
        </w:rPr>
        <w:t>fondo</w:t>
      </w:r>
      <w:r>
        <w:rPr>
          <w:rFonts w:ascii="Franklin Gothic Book" w:hAnsi="Franklin Gothic Book"/>
          <w:spacing w:val="33"/>
          <w:sz w:val="20"/>
        </w:rPr>
        <w:t> </w:t>
      </w:r>
      <w:r>
        <w:rPr>
          <w:rFonts w:ascii="Franklin Gothic Book" w:hAnsi="Franklin Gothic Book"/>
          <w:sz w:val="20"/>
        </w:rPr>
        <w:t>di</w:t>
      </w:r>
      <w:r>
        <w:rPr>
          <w:rFonts w:ascii="Franklin Gothic Book" w:hAnsi="Franklin Gothic Book"/>
          <w:spacing w:val="32"/>
          <w:sz w:val="20"/>
        </w:rPr>
        <w:t> </w:t>
      </w:r>
      <w:r>
        <w:rPr>
          <w:rFonts w:ascii="Franklin Gothic Book" w:hAnsi="Franklin Gothic Book"/>
          <w:sz w:val="20"/>
        </w:rPr>
        <w:t>riserva</w:t>
      </w:r>
      <w:r>
        <w:rPr>
          <w:rFonts w:ascii="Franklin Gothic Book" w:hAnsi="Franklin Gothic Book"/>
          <w:spacing w:val="35"/>
          <w:sz w:val="20"/>
        </w:rPr>
        <w:t> </w:t>
      </w:r>
      <w:r>
        <w:rPr>
          <w:rFonts w:ascii="Franklin Gothic Book" w:hAnsi="Franklin Gothic Book"/>
          <w:sz w:val="20"/>
        </w:rPr>
        <w:t>per</w:t>
      </w:r>
      <w:r>
        <w:rPr>
          <w:rFonts w:ascii="Franklin Gothic Book" w:hAnsi="Franklin Gothic Book"/>
          <w:spacing w:val="32"/>
          <w:sz w:val="20"/>
        </w:rPr>
        <w:t> </w:t>
      </w:r>
      <w:r>
        <w:rPr>
          <w:rFonts w:ascii="Franklin Gothic Book" w:hAnsi="Franklin Gothic Book"/>
          <w:sz w:val="20"/>
        </w:rPr>
        <w:t>l’integrazione</w:t>
      </w:r>
      <w:r>
        <w:rPr>
          <w:rFonts w:ascii="Franklin Gothic Book" w:hAnsi="Franklin Gothic Book"/>
          <w:spacing w:val="32"/>
          <w:sz w:val="20"/>
        </w:rPr>
        <w:t> </w:t>
      </w:r>
      <w:r>
        <w:rPr>
          <w:rFonts w:ascii="Franklin Gothic Book" w:hAnsi="Franklin Gothic Book"/>
          <w:sz w:val="20"/>
        </w:rPr>
        <w:t>delle</w:t>
      </w:r>
    </w:p>
    <w:p>
      <w:pPr>
        <w:spacing w:line="224" w:lineRule="exact" w:before="12"/>
        <w:ind w:left="1221" w:right="0" w:firstLine="0"/>
        <w:jc w:val="both"/>
        <w:rPr>
          <w:rFonts w:ascii="Franklin Gothic Book"/>
          <w:sz w:val="20"/>
        </w:rPr>
      </w:pPr>
      <w:r>
        <w:rPr>
          <w:rFonts w:ascii="Franklin Gothic Book"/>
          <w:sz w:val="20"/>
        </w:rPr>
        <w:t>autorizzazioni di cassa (articolo 29);</w:t>
      </w:r>
    </w:p>
    <w:p>
      <w:pPr>
        <w:pStyle w:val="ListParagraph"/>
        <w:numPr>
          <w:ilvl w:val="0"/>
          <w:numId w:val="11"/>
        </w:numPr>
        <w:tabs>
          <w:tab w:pos="1222" w:val="left" w:leader="none"/>
        </w:tabs>
        <w:spacing w:line="254" w:lineRule="auto" w:before="0" w:after="0"/>
        <w:ind w:left="1221" w:right="2252" w:hanging="454"/>
        <w:jc w:val="both"/>
        <w:rPr>
          <w:rFonts w:ascii="Symbol" w:hAnsi="Symbol"/>
          <w:sz w:val="20"/>
        </w:rPr>
      </w:pPr>
      <w:r>
        <w:rPr>
          <w:rFonts w:ascii="Franklin Gothic Book" w:hAnsi="Franklin Gothic Book"/>
          <w:sz w:val="20"/>
        </w:rPr>
        <w:t>variazioni compensative disposte nell’ambito dello stato </w:t>
      </w:r>
      <w:r>
        <w:rPr>
          <w:rFonts w:ascii="Franklin Gothic Book" w:hAnsi="Franklin Gothic Book"/>
          <w:spacing w:val="3"/>
          <w:sz w:val="20"/>
        </w:rPr>
        <w:t>di </w:t>
      </w:r>
      <w:r>
        <w:rPr>
          <w:rFonts w:ascii="Franklin Gothic Book" w:hAnsi="Franklin Gothic Book"/>
          <w:sz w:val="20"/>
        </w:rPr>
        <w:t>previsione di ciascun Ministero, aventi ad oggetto stanziamenti di spesa, anche se appartenenti a titoli diversi, iscritti nella categoria 2 (consumi intermedi) e nella categoria 21 (investimenti fissi lordi), con esclusione dei fattori legislativi e comunque nel rispetto dei vincoli di spesa derivanti dagli oneri inderogabili (articolo 33, comma</w:t>
      </w:r>
      <w:r>
        <w:rPr>
          <w:rFonts w:ascii="Franklin Gothic Book" w:hAnsi="Franklin Gothic Book"/>
          <w:spacing w:val="-6"/>
          <w:sz w:val="20"/>
        </w:rPr>
        <w:t> </w:t>
      </w:r>
      <w:r>
        <w:rPr>
          <w:rFonts w:ascii="Franklin Gothic Book" w:hAnsi="Franklin Gothic Book"/>
          <w:sz w:val="20"/>
        </w:rPr>
        <w:t>4-ter);</w:t>
      </w:r>
    </w:p>
    <w:p>
      <w:pPr>
        <w:pStyle w:val="ListParagraph"/>
        <w:numPr>
          <w:ilvl w:val="0"/>
          <w:numId w:val="11"/>
        </w:numPr>
        <w:tabs>
          <w:tab w:pos="1222" w:val="left" w:leader="none"/>
        </w:tabs>
        <w:spacing w:line="228" w:lineRule="exact" w:before="0" w:after="0"/>
        <w:ind w:left="1222" w:right="0" w:hanging="454"/>
        <w:jc w:val="both"/>
        <w:rPr>
          <w:rFonts w:ascii="Symbol" w:hAnsi="Symbol"/>
          <w:sz w:val="22"/>
        </w:rPr>
      </w:pPr>
      <w:r>
        <w:rPr>
          <w:rFonts w:ascii="Franklin Gothic Book" w:hAnsi="Franklin Gothic Book"/>
          <w:sz w:val="20"/>
        </w:rPr>
        <w:t>variazioni</w:t>
      </w:r>
      <w:r>
        <w:rPr>
          <w:rFonts w:ascii="Franklin Gothic Book" w:hAnsi="Franklin Gothic Book"/>
          <w:spacing w:val="17"/>
          <w:sz w:val="20"/>
        </w:rPr>
        <w:t> </w:t>
      </w:r>
      <w:r>
        <w:rPr>
          <w:rFonts w:ascii="Franklin Gothic Book" w:hAnsi="Franklin Gothic Book"/>
          <w:sz w:val="20"/>
        </w:rPr>
        <w:t>di</w:t>
      </w:r>
      <w:r>
        <w:rPr>
          <w:rFonts w:ascii="Franklin Gothic Book" w:hAnsi="Franklin Gothic Book"/>
          <w:spacing w:val="18"/>
          <w:sz w:val="20"/>
        </w:rPr>
        <w:t> </w:t>
      </w:r>
      <w:r>
        <w:rPr>
          <w:rFonts w:ascii="Franklin Gothic Book" w:hAnsi="Franklin Gothic Book"/>
          <w:sz w:val="20"/>
        </w:rPr>
        <w:t>bilancio</w:t>
      </w:r>
      <w:r>
        <w:rPr>
          <w:rFonts w:ascii="Franklin Gothic Book" w:hAnsi="Franklin Gothic Book"/>
          <w:spacing w:val="18"/>
          <w:sz w:val="20"/>
        </w:rPr>
        <w:t> </w:t>
      </w:r>
      <w:r>
        <w:rPr>
          <w:rFonts w:ascii="Franklin Gothic Book" w:hAnsi="Franklin Gothic Book"/>
          <w:sz w:val="20"/>
        </w:rPr>
        <w:t>in</w:t>
      </w:r>
      <w:r>
        <w:rPr>
          <w:rFonts w:ascii="Franklin Gothic Book" w:hAnsi="Franklin Gothic Book"/>
          <w:spacing w:val="18"/>
          <w:sz w:val="20"/>
        </w:rPr>
        <w:t> </w:t>
      </w:r>
      <w:r>
        <w:rPr>
          <w:rFonts w:ascii="Franklin Gothic Book" w:hAnsi="Franklin Gothic Book"/>
          <w:sz w:val="20"/>
        </w:rPr>
        <w:t>termini</w:t>
      </w:r>
      <w:r>
        <w:rPr>
          <w:rFonts w:ascii="Franklin Gothic Book" w:hAnsi="Franklin Gothic Book"/>
          <w:spacing w:val="18"/>
          <w:sz w:val="20"/>
        </w:rPr>
        <w:t> </w:t>
      </w:r>
      <w:r>
        <w:rPr>
          <w:rFonts w:ascii="Franklin Gothic Book" w:hAnsi="Franklin Gothic Book"/>
          <w:sz w:val="20"/>
        </w:rPr>
        <w:t>di</w:t>
      </w:r>
      <w:r>
        <w:rPr>
          <w:rFonts w:ascii="Franklin Gothic Book" w:hAnsi="Franklin Gothic Book"/>
          <w:spacing w:val="17"/>
          <w:sz w:val="20"/>
        </w:rPr>
        <w:t> </w:t>
      </w:r>
      <w:r>
        <w:rPr>
          <w:rFonts w:ascii="Franklin Gothic Book" w:hAnsi="Franklin Gothic Book"/>
          <w:sz w:val="20"/>
        </w:rPr>
        <w:t>competenza,</w:t>
      </w:r>
      <w:r>
        <w:rPr>
          <w:rFonts w:ascii="Franklin Gothic Book" w:hAnsi="Franklin Gothic Book"/>
          <w:spacing w:val="19"/>
          <w:sz w:val="20"/>
        </w:rPr>
        <w:t> </w:t>
      </w:r>
      <w:r>
        <w:rPr>
          <w:rFonts w:ascii="Franklin Gothic Book" w:hAnsi="Franklin Gothic Book"/>
          <w:sz w:val="20"/>
        </w:rPr>
        <w:t>cassa</w:t>
      </w:r>
      <w:r>
        <w:rPr>
          <w:rFonts w:ascii="Franklin Gothic Book" w:hAnsi="Franklin Gothic Book"/>
          <w:spacing w:val="19"/>
          <w:sz w:val="20"/>
        </w:rPr>
        <w:t> </w:t>
      </w:r>
      <w:r>
        <w:rPr>
          <w:rFonts w:ascii="Franklin Gothic Book" w:hAnsi="Franklin Gothic Book"/>
          <w:sz w:val="20"/>
        </w:rPr>
        <w:t>e</w:t>
      </w:r>
      <w:r>
        <w:rPr>
          <w:rFonts w:ascii="Franklin Gothic Book" w:hAnsi="Franklin Gothic Book"/>
          <w:spacing w:val="18"/>
          <w:sz w:val="20"/>
        </w:rPr>
        <w:t> </w:t>
      </w:r>
      <w:r>
        <w:rPr>
          <w:rFonts w:ascii="Franklin Gothic Book" w:hAnsi="Franklin Gothic Book"/>
          <w:sz w:val="20"/>
        </w:rPr>
        <w:t>residui</w:t>
      </w:r>
      <w:r>
        <w:rPr>
          <w:rFonts w:ascii="Franklin Gothic Book" w:hAnsi="Franklin Gothic Book"/>
          <w:spacing w:val="18"/>
          <w:sz w:val="20"/>
        </w:rPr>
        <w:t> </w:t>
      </w:r>
      <w:r>
        <w:rPr>
          <w:rFonts w:ascii="Franklin Gothic Book" w:hAnsi="Franklin Gothic Book"/>
          <w:sz w:val="20"/>
        </w:rPr>
        <w:t>necessarie</w:t>
      </w:r>
      <w:r>
        <w:rPr>
          <w:rFonts w:ascii="Franklin Gothic Book" w:hAnsi="Franklin Gothic Book"/>
          <w:spacing w:val="17"/>
          <w:sz w:val="20"/>
        </w:rPr>
        <w:t> </w:t>
      </w:r>
      <w:r>
        <w:rPr>
          <w:rFonts w:ascii="Franklin Gothic Book" w:hAnsi="Franklin Gothic Book"/>
          <w:sz w:val="20"/>
        </w:rPr>
        <w:t>alla</w:t>
      </w:r>
    </w:p>
    <w:p>
      <w:pPr>
        <w:spacing w:line="254" w:lineRule="auto" w:before="6"/>
        <w:ind w:left="1221" w:right="2251" w:firstLine="0"/>
        <w:jc w:val="both"/>
        <w:rPr>
          <w:rFonts w:ascii="Franklin Gothic Book"/>
          <w:sz w:val="20"/>
        </w:rPr>
      </w:pPr>
      <w:r>
        <w:rPr>
          <w:rFonts w:ascii="Franklin Gothic Book"/>
          <w:sz w:val="20"/>
        </w:rPr>
        <w:t>ripartizione anche tra diversi Ministeri di fondi da ripartire istituiti per legge, salvo che non sia diversamente previsto dalla legge medesima (33, comma 4-sexies).</w:t>
      </w:r>
    </w:p>
    <w:p>
      <w:pPr>
        <w:spacing w:after="0" w:line="254" w:lineRule="auto"/>
        <w:jc w:val="both"/>
        <w:rPr>
          <w:rFonts w:ascii="Franklin Gothic Book"/>
          <w:sz w:val="20"/>
        </w:rPr>
        <w:sectPr>
          <w:pgSz w:w="11910" w:h="16840"/>
          <w:pgMar w:header="838" w:footer="866" w:top="1100" w:bottom="1060" w:left="114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5"/>
        </w:rPr>
      </w:pPr>
    </w:p>
    <w:tbl>
      <w:tblPr>
        <w:tblW w:w="0" w:type="auto"/>
        <w:jc w:val="left"/>
        <w:tblInd w:w="1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39"/>
        <w:gridCol w:w="851"/>
        <w:gridCol w:w="821"/>
        <w:gridCol w:w="822"/>
        <w:gridCol w:w="681"/>
      </w:tblGrid>
      <w:tr>
        <w:trPr>
          <w:trHeight w:val="453" w:hRule="atLeast"/>
        </w:trPr>
        <w:tc>
          <w:tcPr>
            <w:tcW w:w="8314" w:type="dxa"/>
            <w:gridSpan w:val="5"/>
            <w:shd w:val="clear" w:color="auto" w:fill="086939"/>
          </w:tcPr>
          <w:p>
            <w:pPr>
              <w:pStyle w:val="TableParagraph"/>
              <w:spacing w:before="17"/>
              <w:ind w:left="76"/>
              <w:jc w:val="left"/>
              <w:rPr>
                <w:rFonts w:ascii="Franklin Gothic Heavy"/>
                <w:b/>
                <w:sz w:val="17"/>
              </w:rPr>
            </w:pPr>
            <w:r>
              <w:rPr>
                <w:rFonts w:ascii="Franklin Gothic Heavy"/>
                <w:b/>
                <w:color w:val="EFEFEF"/>
                <w:sz w:val="17"/>
              </w:rPr>
              <w:t>TAVOLA III.12: EFFETTI DEL DECRETO LEGGE N. 32 DEL 2019 SULL'INDEBITAMENTO DELLA PA </w:t>
            </w:r>
            <w:r>
              <w:rPr>
                <w:rFonts w:ascii="Franklin Gothic Heavy"/>
                <w:b/>
                <w:color w:val="FFFFFF"/>
                <w:sz w:val="17"/>
              </w:rPr>
              <w:t>(valori in</w:t>
            </w:r>
          </w:p>
          <w:p>
            <w:pPr>
              <w:pStyle w:val="TableParagraph"/>
              <w:spacing w:before="1"/>
              <w:ind w:left="76"/>
              <w:jc w:val="left"/>
              <w:rPr>
                <w:rFonts w:ascii="Franklin Gothic Heavy"/>
                <w:b/>
                <w:sz w:val="17"/>
              </w:rPr>
            </w:pPr>
            <w:r>
              <w:rPr>
                <w:rFonts w:ascii="Franklin Gothic Heavy"/>
                <w:b/>
                <w:color w:val="FFFFFF"/>
                <w:sz w:val="17"/>
              </w:rPr>
              <w:t>milioni; al lordo degli oneri riflessi)</w:t>
            </w:r>
          </w:p>
        </w:tc>
      </w:tr>
      <w:tr>
        <w:trPr>
          <w:trHeight w:val="239" w:hRule="atLeast"/>
        </w:trPr>
        <w:tc>
          <w:tcPr>
            <w:tcW w:w="5139" w:type="dxa"/>
            <w:tcBorders>
              <w:bottom w:val="single" w:sz="4" w:space="0" w:color="000000"/>
            </w:tcBorders>
          </w:tcPr>
          <w:p>
            <w:pPr>
              <w:pStyle w:val="TableParagraph"/>
              <w:jc w:val="left"/>
              <w:rPr>
                <w:rFonts w:ascii="Times New Roman"/>
                <w:sz w:val="16"/>
              </w:rPr>
            </w:pPr>
          </w:p>
        </w:tc>
        <w:tc>
          <w:tcPr>
            <w:tcW w:w="851" w:type="dxa"/>
            <w:tcBorders>
              <w:bottom w:val="single" w:sz="4" w:space="0" w:color="000000"/>
            </w:tcBorders>
          </w:tcPr>
          <w:p>
            <w:pPr>
              <w:pStyle w:val="TableParagraph"/>
              <w:spacing w:before="19"/>
              <w:ind w:right="208"/>
              <w:rPr>
                <w:sz w:val="17"/>
              </w:rPr>
            </w:pPr>
            <w:r>
              <w:rPr>
                <w:sz w:val="17"/>
              </w:rPr>
              <w:t>2019</w:t>
            </w:r>
          </w:p>
        </w:tc>
        <w:tc>
          <w:tcPr>
            <w:tcW w:w="821" w:type="dxa"/>
            <w:tcBorders>
              <w:bottom w:val="single" w:sz="4" w:space="0" w:color="000000"/>
            </w:tcBorders>
          </w:tcPr>
          <w:p>
            <w:pPr>
              <w:pStyle w:val="TableParagraph"/>
              <w:spacing w:before="19"/>
              <w:ind w:right="211"/>
              <w:rPr>
                <w:sz w:val="17"/>
              </w:rPr>
            </w:pPr>
            <w:r>
              <w:rPr>
                <w:sz w:val="17"/>
              </w:rPr>
              <w:t>2020</w:t>
            </w:r>
          </w:p>
        </w:tc>
        <w:tc>
          <w:tcPr>
            <w:tcW w:w="822" w:type="dxa"/>
            <w:tcBorders>
              <w:bottom w:val="single" w:sz="4" w:space="0" w:color="000000"/>
            </w:tcBorders>
          </w:tcPr>
          <w:p>
            <w:pPr>
              <w:pStyle w:val="TableParagraph"/>
              <w:spacing w:before="19"/>
              <w:ind w:right="212"/>
              <w:rPr>
                <w:sz w:val="17"/>
              </w:rPr>
            </w:pPr>
            <w:r>
              <w:rPr>
                <w:sz w:val="17"/>
              </w:rPr>
              <w:t>2021</w:t>
            </w:r>
          </w:p>
        </w:tc>
        <w:tc>
          <w:tcPr>
            <w:tcW w:w="681" w:type="dxa"/>
            <w:tcBorders>
              <w:bottom w:val="single" w:sz="4" w:space="0" w:color="000000"/>
            </w:tcBorders>
          </w:tcPr>
          <w:p>
            <w:pPr>
              <w:pStyle w:val="TableParagraph"/>
              <w:spacing w:before="19"/>
              <w:ind w:right="72"/>
              <w:rPr>
                <w:sz w:val="17"/>
              </w:rPr>
            </w:pPr>
            <w:r>
              <w:rPr>
                <w:sz w:val="17"/>
              </w:rPr>
              <w:t>2022</w:t>
            </w:r>
          </w:p>
        </w:tc>
      </w:tr>
      <w:tr>
        <w:trPr>
          <w:trHeight w:val="375" w:hRule="atLeast"/>
        </w:trPr>
        <w:tc>
          <w:tcPr>
            <w:tcW w:w="5139" w:type="dxa"/>
            <w:tcBorders>
              <w:top w:val="single" w:sz="4" w:space="0" w:color="000000"/>
            </w:tcBorders>
          </w:tcPr>
          <w:p>
            <w:pPr>
              <w:pStyle w:val="TableParagraph"/>
              <w:spacing w:before="36"/>
              <w:ind w:left="76"/>
              <w:jc w:val="left"/>
              <w:rPr>
                <w:sz w:val="17"/>
              </w:rPr>
            </w:pPr>
            <w:r>
              <w:rPr>
                <w:sz w:val="17"/>
              </w:rPr>
              <w:t>MAGGIORI RISORSE</w:t>
            </w:r>
          </w:p>
        </w:tc>
        <w:tc>
          <w:tcPr>
            <w:tcW w:w="851" w:type="dxa"/>
            <w:tcBorders>
              <w:top w:val="single" w:sz="4" w:space="0" w:color="000000"/>
            </w:tcBorders>
          </w:tcPr>
          <w:p>
            <w:pPr>
              <w:pStyle w:val="TableParagraph"/>
              <w:spacing w:before="36"/>
              <w:ind w:right="207"/>
              <w:rPr>
                <w:sz w:val="17"/>
              </w:rPr>
            </w:pPr>
            <w:r>
              <w:rPr>
                <w:sz w:val="17"/>
              </w:rPr>
              <w:t>87</w:t>
            </w:r>
          </w:p>
        </w:tc>
        <w:tc>
          <w:tcPr>
            <w:tcW w:w="821" w:type="dxa"/>
            <w:tcBorders>
              <w:top w:val="single" w:sz="4" w:space="0" w:color="000000"/>
            </w:tcBorders>
          </w:tcPr>
          <w:p>
            <w:pPr>
              <w:pStyle w:val="TableParagraph"/>
              <w:spacing w:before="36"/>
              <w:ind w:right="210"/>
              <w:rPr>
                <w:sz w:val="17"/>
              </w:rPr>
            </w:pPr>
            <w:r>
              <w:rPr>
                <w:sz w:val="17"/>
              </w:rPr>
              <w:t>122</w:t>
            </w:r>
          </w:p>
        </w:tc>
        <w:tc>
          <w:tcPr>
            <w:tcW w:w="822" w:type="dxa"/>
            <w:tcBorders>
              <w:top w:val="single" w:sz="4" w:space="0" w:color="000000"/>
            </w:tcBorders>
          </w:tcPr>
          <w:p>
            <w:pPr>
              <w:pStyle w:val="TableParagraph"/>
              <w:spacing w:before="36"/>
              <w:ind w:right="212"/>
              <w:rPr>
                <w:sz w:val="17"/>
              </w:rPr>
            </w:pPr>
            <w:r>
              <w:rPr>
                <w:sz w:val="17"/>
              </w:rPr>
              <w:t>122</w:t>
            </w:r>
          </w:p>
        </w:tc>
        <w:tc>
          <w:tcPr>
            <w:tcW w:w="681" w:type="dxa"/>
            <w:tcBorders>
              <w:top w:val="single" w:sz="4" w:space="0" w:color="000000"/>
            </w:tcBorders>
          </w:tcPr>
          <w:p>
            <w:pPr>
              <w:pStyle w:val="TableParagraph"/>
              <w:spacing w:before="36"/>
              <w:ind w:right="71"/>
              <w:rPr>
                <w:sz w:val="17"/>
              </w:rPr>
            </w:pPr>
            <w:r>
              <w:rPr>
                <w:sz w:val="17"/>
              </w:rPr>
              <w:t>56</w:t>
            </w:r>
          </w:p>
        </w:tc>
      </w:tr>
      <w:tr>
        <w:trPr>
          <w:trHeight w:val="339" w:hRule="atLeast"/>
        </w:trPr>
        <w:tc>
          <w:tcPr>
            <w:tcW w:w="5139" w:type="dxa"/>
          </w:tcPr>
          <w:p>
            <w:pPr>
              <w:pStyle w:val="TableParagraph"/>
              <w:spacing w:line="172" w:lineRule="exact" w:before="147"/>
              <w:ind w:left="76"/>
              <w:jc w:val="left"/>
              <w:rPr>
                <w:sz w:val="17"/>
              </w:rPr>
            </w:pPr>
            <w:r>
              <w:rPr>
                <w:sz w:val="17"/>
              </w:rPr>
              <w:t>Maggiori entrate</w:t>
            </w:r>
          </w:p>
        </w:tc>
        <w:tc>
          <w:tcPr>
            <w:tcW w:w="851" w:type="dxa"/>
          </w:tcPr>
          <w:p>
            <w:pPr>
              <w:pStyle w:val="TableParagraph"/>
              <w:spacing w:line="172" w:lineRule="exact" w:before="147"/>
              <w:ind w:right="211"/>
              <w:rPr>
                <w:sz w:val="17"/>
              </w:rPr>
            </w:pPr>
            <w:r>
              <w:rPr>
                <w:w w:val="100"/>
                <w:sz w:val="17"/>
              </w:rPr>
              <w:t>3</w:t>
            </w:r>
          </w:p>
        </w:tc>
        <w:tc>
          <w:tcPr>
            <w:tcW w:w="821" w:type="dxa"/>
          </w:tcPr>
          <w:p>
            <w:pPr>
              <w:pStyle w:val="TableParagraph"/>
              <w:spacing w:line="172" w:lineRule="exact" w:before="147"/>
              <w:ind w:right="213"/>
              <w:rPr>
                <w:sz w:val="17"/>
              </w:rPr>
            </w:pPr>
            <w:r>
              <w:rPr>
                <w:w w:val="100"/>
                <w:sz w:val="17"/>
              </w:rPr>
              <w:t>5</w:t>
            </w:r>
          </w:p>
        </w:tc>
        <w:tc>
          <w:tcPr>
            <w:tcW w:w="822" w:type="dxa"/>
          </w:tcPr>
          <w:p>
            <w:pPr>
              <w:pStyle w:val="TableParagraph"/>
              <w:spacing w:line="172" w:lineRule="exact" w:before="147"/>
              <w:ind w:right="214"/>
              <w:rPr>
                <w:sz w:val="17"/>
              </w:rPr>
            </w:pPr>
            <w:r>
              <w:rPr>
                <w:w w:val="100"/>
                <w:sz w:val="17"/>
              </w:rPr>
              <w:t>5</w:t>
            </w:r>
          </w:p>
        </w:tc>
        <w:tc>
          <w:tcPr>
            <w:tcW w:w="681" w:type="dxa"/>
          </w:tcPr>
          <w:p>
            <w:pPr>
              <w:pStyle w:val="TableParagraph"/>
              <w:spacing w:line="172" w:lineRule="exact" w:before="147"/>
              <w:ind w:right="74"/>
              <w:rPr>
                <w:sz w:val="17"/>
              </w:rPr>
            </w:pPr>
            <w:r>
              <w:rPr>
                <w:w w:val="100"/>
                <w:sz w:val="17"/>
              </w:rPr>
              <w:t>0</w:t>
            </w:r>
          </w:p>
        </w:tc>
      </w:tr>
      <w:tr>
        <w:trPr>
          <w:trHeight w:val="411" w:hRule="atLeast"/>
        </w:trPr>
        <w:tc>
          <w:tcPr>
            <w:tcW w:w="5139" w:type="dxa"/>
          </w:tcPr>
          <w:p>
            <w:pPr>
              <w:pStyle w:val="TableParagraph"/>
              <w:ind w:left="76" w:right="277"/>
              <w:jc w:val="left"/>
              <w:rPr>
                <w:i/>
                <w:sz w:val="17"/>
              </w:rPr>
            </w:pPr>
            <w:r>
              <w:rPr>
                <w:i/>
                <w:sz w:val="17"/>
              </w:rPr>
              <w:t>Interventi a favore dei territori colpiti dagli eventi sismici del 2016, </w:t>
            </w:r>
            <w:r>
              <w:rPr>
                <w:i/>
                <w:sz w:val="17"/>
              </w:rPr>
              <w:t>2017 e del 2018 - effetti fiscali e contributivi</w:t>
            </w:r>
          </w:p>
        </w:tc>
        <w:tc>
          <w:tcPr>
            <w:tcW w:w="851" w:type="dxa"/>
          </w:tcPr>
          <w:p>
            <w:pPr>
              <w:pStyle w:val="TableParagraph"/>
              <w:spacing w:before="10"/>
              <w:jc w:val="left"/>
              <w:rPr>
                <w:rFonts w:ascii="Times New Roman"/>
                <w:sz w:val="16"/>
              </w:rPr>
            </w:pPr>
          </w:p>
          <w:p>
            <w:pPr>
              <w:pStyle w:val="TableParagraph"/>
              <w:ind w:right="211"/>
              <w:rPr>
                <w:i/>
                <w:sz w:val="17"/>
              </w:rPr>
            </w:pPr>
            <w:r>
              <w:rPr>
                <w:i/>
                <w:w w:val="100"/>
                <w:sz w:val="17"/>
              </w:rPr>
              <w:t>3</w:t>
            </w:r>
          </w:p>
        </w:tc>
        <w:tc>
          <w:tcPr>
            <w:tcW w:w="821" w:type="dxa"/>
          </w:tcPr>
          <w:p>
            <w:pPr>
              <w:pStyle w:val="TableParagraph"/>
              <w:spacing w:before="10"/>
              <w:jc w:val="left"/>
              <w:rPr>
                <w:rFonts w:ascii="Times New Roman"/>
                <w:sz w:val="16"/>
              </w:rPr>
            </w:pPr>
          </w:p>
          <w:p>
            <w:pPr>
              <w:pStyle w:val="TableParagraph"/>
              <w:ind w:right="213"/>
              <w:rPr>
                <w:i/>
                <w:sz w:val="17"/>
              </w:rPr>
            </w:pPr>
            <w:r>
              <w:rPr>
                <w:i/>
                <w:w w:val="100"/>
                <w:sz w:val="17"/>
              </w:rPr>
              <w:t>5</w:t>
            </w:r>
          </w:p>
        </w:tc>
        <w:tc>
          <w:tcPr>
            <w:tcW w:w="822" w:type="dxa"/>
          </w:tcPr>
          <w:p>
            <w:pPr>
              <w:pStyle w:val="TableParagraph"/>
              <w:spacing w:before="10"/>
              <w:jc w:val="left"/>
              <w:rPr>
                <w:rFonts w:ascii="Times New Roman"/>
                <w:sz w:val="16"/>
              </w:rPr>
            </w:pPr>
          </w:p>
          <w:p>
            <w:pPr>
              <w:pStyle w:val="TableParagraph"/>
              <w:ind w:right="214"/>
              <w:rPr>
                <w:i/>
                <w:sz w:val="17"/>
              </w:rPr>
            </w:pPr>
            <w:r>
              <w:rPr>
                <w:i/>
                <w:w w:val="100"/>
                <w:sz w:val="17"/>
              </w:rPr>
              <w:t>0</w:t>
            </w:r>
          </w:p>
        </w:tc>
        <w:tc>
          <w:tcPr>
            <w:tcW w:w="681" w:type="dxa"/>
          </w:tcPr>
          <w:p>
            <w:pPr>
              <w:pStyle w:val="TableParagraph"/>
              <w:spacing w:before="10"/>
              <w:jc w:val="left"/>
              <w:rPr>
                <w:rFonts w:ascii="Times New Roman"/>
                <w:sz w:val="16"/>
              </w:rPr>
            </w:pPr>
          </w:p>
          <w:p>
            <w:pPr>
              <w:pStyle w:val="TableParagraph"/>
              <w:ind w:right="74"/>
              <w:rPr>
                <w:i/>
                <w:sz w:val="17"/>
              </w:rPr>
            </w:pPr>
            <w:r>
              <w:rPr>
                <w:i/>
                <w:w w:val="100"/>
                <w:sz w:val="17"/>
              </w:rPr>
              <w:t>0</w:t>
            </w:r>
          </w:p>
        </w:tc>
      </w:tr>
      <w:tr>
        <w:trPr>
          <w:trHeight w:val="365" w:hRule="atLeast"/>
        </w:trPr>
        <w:tc>
          <w:tcPr>
            <w:tcW w:w="5139" w:type="dxa"/>
          </w:tcPr>
          <w:p>
            <w:pPr>
              <w:pStyle w:val="TableParagraph"/>
              <w:spacing w:before="25"/>
              <w:ind w:left="76"/>
              <w:jc w:val="left"/>
              <w:rPr>
                <w:i/>
                <w:sz w:val="17"/>
              </w:rPr>
            </w:pPr>
            <w:r>
              <w:rPr>
                <w:i/>
                <w:sz w:val="17"/>
              </w:rPr>
              <w:t>Altro</w:t>
            </w:r>
          </w:p>
        </w:tc>
        <w:tc>
          <w:tcPr>
            <w:tcW w:w="851" w:type="dxa"/>
          </w:tcPr>
          <w:p>
            <w:pPr>
              <w:pStyle w:val="TableParagraph"/>
              <w:spacing w:before="25"/>
              <w:ind w:right="211"/>
              <w:rPr>
                <w:i/>
                <w:sz w:val="17"/>
              </w:rPr>
            </w:pPr>
            <w:r>
              <w:rPr>
                <w:i/>
                <w:w w:val="100"/>
                <w:sz w:val="17"/>
              </w:rPr>
              <w:t>0</w:t>
            </w:r>
          </w:p>
        </w:tc>
        <w:tc>
          <w:tcPr>
            <w:tcW w:w="821" w:type="dxa"/>
          </w:tcPr>
          <w:p>
            <w:pPr>
              <w:pStyle w:val="TableParagraph"/>
              <w:spacing w:before="25"/>
              <w:ind w:right="213"/>
              <w:rPr>
                <w:i/>
                <w:sz w:val="17"/>
              </w:rPr>
            </w:pPr>
            <w:r>
              <w:rPr>
                <w:i/>
                <w:w w:val="100"/>
                <w:sz w:val="17"/>
              </w:rPr>
              <w:t>0</w:t>
            </w:r>
          </w:p>
        </w:tc>
        <w:tc>
          <w:tcPr>
            <w:tcW w:w="822" w:type="dxa"/>
          </w:tcPr>
          <w:p>
            <w:pPr>
              <w:pStyle w:val="TableParagraph"/>
              <w:spacing w:before="25"/>
              <w:ind w:right="214"/>
              <w:rPr>
                <w:i/>
                <w:sz w:val="17"/>
              </w:rPr>
            </w:pPr>
            <w:r>
              <w:rPr>
                <w:i/>
                <w:w w:val="100"/>
                <w:sz w:val="17"/>
              </w:rPr>
              <w:t>5</w:t>
            </w:r>
          </w:p>
        </w:tc>
        <w:tc>
          <w:tcPr>
            <w:tcW w:w="681" w:type="dxa"/>
          </w:tcPr>
          <w:p>
            <w:pPr>
              <w:pStyle w:val="TableParagraph"/>
              <w:spacing w:before="25"/>
              <w:ind w:right="74"/>
              <w:rPr>
                <w:i/>
                <w:sz w:val="17"/>
              </w:rPr>
            </w:pPr>
            <w:r>
              <w:rPr>
                <w:i/>
                <w:w w:val="100"/>
                <w:sz w:val="17"/>
              </w:rPr>
              <w:t>0</w:t>
            </w:r>
          </w:p>
        </w:tc>
      </w:tr>
      <w:tr>
        <w:trPr>
          <w:trHeight w:val="365" w:hRule="atLeast"/>
        </w:trPr>
        <w:tc>
          <w:tcPr>
            <w:tcW w:w="5139" w:type="dxa"/>
          </w:tcPr>
          <w:p>
            <w:pPr>
              <w:pStyle w:val="TableParagraph"/>
              <w:spacing w:before="148"/>
              <w:ind w:left="76"/>
              <w:jc w:val="left"/>
              <w:rPr>
                <w:sz w:val="17"/>
              </w:rPr>
            </w:pPr>
            <w:r>
              <w:rPr>
                <w:sz w:val="17"/>
              </w:rPr>
              <w:t>Minori spese</w:t>
            </w:r>
          </w:p>
        </w:tc>
        <w:tc>
          <w:tcPr>
            <w:tcW w:w="851" w:type="dxa"/>
          </w:tcPr>
          <w:p>
            <w:pPr>
              <w:pStyle w:val="TableParagraph"/>
              <w:spacing w:before="148"/>
              <w:ind w:right="207"/>
              <w:rPr>
                <w:sz w:val="17"/>
              </w:rPr>
            </w:pPr>
            <w:r>
              <w:rPr>
                <w:sz w:val="17"/>
              </w:rPr>
              <w:t>84</w:t>
            </w:r>
          </w:p>
        </w:tc>
        <w:tc>
          <w:tcPr>
            <w:tcW w:w="821" w:type="dxa"/>
          </w:tcPr>
          <w:p>
            <w:pPr>
              <w:pStyle w:val="TableParagraph"/>
              <w:spacing w:before="148"/>
              <w:ind w:right="210"/>
              <w:rPr>
                <w:sz w:val="17"/>
              </w:rPr>
            </w:pPr>
            <w:r>
              <w:rPr>
                <w:sz w:val="17"/>
              </w:rPr>
              <w:t>117</w:t>
            </w:r>
          </w:p>
        </w:tc>
        <w:tc>
          <w:tcPr>
            <w:tcW w:w="822" w:type="dxa"/>
          </w:tcPr>
          <w:p>
            <w:pPr>
              <w:pStyle w:val="TableParagraph"/>
              <w:spacing w:before="148"/>
              <w:ind w:right="212"/>
              <w:rPr>
                <w:sz w:val="17"/>
              </w:rPr>
            </w:pPr>
            <w:r>
              <w:rPr>
                <w:sz w:val="17"/>
              </w:rPr>
              <w:t>117</w:t>
            </w:r>
          </w:p>
        </w:tc>
        <w:tc>
          <w:tcPr>
            <w:tcW w:w="681" w:type="dxa"/>
          </w:tcPr>
          <w:p>
            <w:pPr>
              <w:pStyle w:val="TableParagraph"/>
              <w:spacing w:before="148"/>
              <w:ind w:right="71"/>
              <w:rPr>
                <w:sz w:val="17"/>
              </w:rPr>
            </w:pPr>
            <w:r>
              <w:rPr>
                <w:sz w:val="17"/>
              </w:rPr>
              <w:t>56</w:t>
            </w:r>
          </w:p>
        </w:tc>
      </w:tr>
      <w:tr>
        <w:trPr>
          <w:trHeight w:val="243" w:hRule="atLeast"/>
        </w:trPr>
        <w:tc>
          <w:tcPr>
            <w:tcW w:w="5139" w:type="dxa"/>
          </w:tcPr>
          <w:p>
            <w:pPr>
              <w:pStyle w:val="TableParagraph"/>
              <w:spacing w:before="25"/>
              <w:ind w:left="76"/>
              <w:jc w:val="left"/>
              <w:rPr>
                <w:i/>
                <w:sz w:val="17"/>
              </w:rPr>
            </w:pPr>
            <w:r>
              <w:rPr>
                <w:i/>
                <w:sz w:val="17"/>
              </w:rPr>
              <w:t>Fondi speciali di parte corrente e capitale</w:t>
            </w:r>
          </w:p>
        </w:tc>
        <w:tc>
          <w:tcPr>
            <w:tcW w:w="851" w:type="dxa"/>
          </w:tcPr>
          <w:p>
            <w:pPr>
              <w:pStyle w:val="TableParagraph"/>
              <w:spacing w:before="25"/>
              <w:ind w:right="207"/>
              <w:rPr>
                <w:i/>
                <w:sz w:val="17"/>
              </w:rPr>
            </w:pPr>
            <w:r>
              <w:rPr>
                <w:i/>
                <w:sz w:val="17"/>
              </w:rPr>
              <w:t>13</w:t>
            </w:r>
          </w:p>
        </w:tc>
        <w:tc>
          <w:tcPr>
            <w:tcW w:w="821" w:type="dxa"/>
          </w:tcPr>
          <w:p>
            <w:pPr>
              <w:pStyle w:val="TableParagraph"/>
              <w:spacing w:before="25"/>
              <w:ind w:right="210"/>
              <w:rPr>
                <w:i/>
                <w:sz w:val="17"/>
              </w:rPr>
            </w:pPr>
            <w:r>
              <w:rPr>
                <w:i/>
                <w:sz w:val="17"/>
              </w:rPr>
              <w:t>33</w:t>
            </w:r>
          </w:p>
        </w:tc>
        <w:tc>
          <w:tcPr>
            <w:tcW w:w="822" w:type="dxa"/>
          </w:tcPr>
          <w:p>
            <w:pPr>
              <w:pStyle w:val="TableParagraph"/>
              <w:spacing w:before="25"/>
              <w:ind w:right="212"/>
              <w:rPr>
                <w:i/>
                <w:sz w:val="17"/>
              </w:rPr>
            </w:pPr>
            <w:r>
              <w:rPr>
                <w:i/>
                <w:sz w:val="17"/>
              </w:rPr>
              <w:t>32</w:t>
            </w:r>
          </w:p>
        </w:tc>
        <w:tc>
          <w:tcPr>
            <w:tcW w:w="681" w:type="dxa"/>
          </w:tcPr>
          <w:p>
            <w:pPr>
              <w:pStyle w:val="TableParagraph"/>
              <w:spacing w:before="25"/>
              <w:ind w:right="71"/>
              <w:rPr>
                <w:i/>
                <w:sz w:val="17"/>
              </w:rPr>
            </w:pPr>
            <w:r>
              <w:rPr>
                <w:i/>
                <w:sz w:val="17"/>
              </w:rPr>
              <w:t>31</w:t>
            </w:r>
          </w:p>
        </w:tc>
      </w:tr>
      <w:tr>
        <w:trPr>
          <w:trHeight w:val="218" w:hRule="atLeast"/>
        </w:trPr>
        <w:tc>
          <w:tcPr>
            <w:tcW w:w="5139" w:type="dxa"/>
          </w:tcPr>
          <w:p>
            <w:pPr>
              <w:pStyle w:val="TableParagraph"/>
              <w:spacing w:line="172" w:lineRule="exact" w:before="26"/>
              <w:ind w:left="76"/>
              <w:jc w:val="left"/>
              <w:rPr>
                <w:i/>
                <w:sz w:val="17"/>
              </w:rPr>
            </w:pPr>
            <w:r>
              <w:rPr>
                <w:i/>
                <w:sz w:val="17"/>
              </w:rPr>
              <w:t>Fondi per il riaccertamento dei residui passivi perenti</w:t>
            </w:r>
          </w:p>
        </w:tc>
        <w:tc>
          <w:tcPr>
            <w:tcW w:w="851" w:type="dxa"/>
          </w:tcPr>
          <w:p>
            <w:pPr>
              <w:pStyle w:val="TableParagraph"/>
              <w:spacing w:line="172" w:lineRule="exact" w:before="26"/>
              <w:ind w:right="207"/>
              <w:rPr>
                <w:i/>
                <w:sz w:val="17"/>
              </w:rPr>
            </w:pPr>
            <w:r>
              <w:rPr>
                <w:i/>
                <w:sz w:val="17"/>
              </w:rPr>
              <w:t>20</w:t>
            </w:r>
          </w:p>
        </w:tc>
        <w:tc>
          <w:tcPr>
            <w:tcW w:w="821" w:type="dxa"/>
          </w:tcPr>
          <w:p>
            <w:pPr>
              <w:pStyle w:val="TableParagraph"/>
              <w:spacing w:line="172" w:lineRule="exact" w:before="26"/>
              <w:ind w:right="210"/>
              <w:rPr>
                <w:i/>
                <w:sz w:val="17"/>
              </w:rPr>
            </w:pPr>
            <w:r>
              <w:rPr>
                <w:i/>
                <w:sz w:val="17"/>
              </w:rPr>
              <w:t>25</w:t>
            </w:r>
          </w:p>
        </w:tc>
        <w:tc>
          <w:tcPr>
            <w:tcW w:w="822" w:type="dxa"/>
          </w:tcPr>
          <w:p>
            <w:pPr>
              <w:pStyle w:val="TableParagraph"/>
              <w:spacing w:line="172" w:lineRule="exact" w:before="26"/>
              <w:ind w:right="212"/>
              <w:rPr>
                <w:i/>
                <w:sz w:val="17"/>
              </w:rPr>
            </w:pPr>
            <w:r>
              <w:rPr>
                <w:i/>
                <w:sz w:val="17"/>
              </w:rPr>
              <w:t>60</w:t>
            </w:r>
          </w:p>
        </w:tc>
        <w:tc>
          <w:tcPr>
            <w:tcW w:w="681" w:type="dxa"/>
          </w:tcPr>
          <w:p>
            <w:pPr>
              <w:pStyle w:val="TableParagraph"/>
              <w:spacing w:line="172" w:lineRule="exact" w:before="26"/>
              <w:ind w:right="74"/>
              <w:rPr>
                <w:i/>
                <w:sz w:val="17"/>
              </w:rPr>
            </w:pPr>
            <w:r>
              <w:rPr>
                <w:i/>
                <w:w w:val="100"/>
                <w:sz w:val="17"/>
              </w:rPr>
              <w:t>0</w:t>
            </w:r>
          </w:p>
        </w:tc>
      </w:tr>
      <w:tr>
        <w:trPr>
          <w:trHeight w:val="411" w:hRule="atLeast"/>
        </w:trPr>
        <w:tc>
          <w:tcPr>
            <w:tcW w:w="5139" w:type="dxa"/>
          </w:tcPr>
          <w:p>
            <w:pPr>
              <w:pStyle w:val="TableParagraph"/>
              <w:ind w:left="76" w:right="277"/>
              <w:jc w:val="left"/>
              <w:rPr>
                <w:i/>
                <w:sz w:val="17"/>
              </w:rPr>
            </w:pPr>
            <w:r>
              <w:rPr>
                <w:i/>
                <w:sz w:val="17"/>
              </w:rPr>
              <w:t>Riduzione autorizzazione di spesa per interventi di ricostruzione </w:t>
            </w:r>
            <w:r>
              <w:rPr>
                <w:i/>
                <w:sz w:val="17"/>
              </w:rPr>
              <w:t>privata per il sisma 2009</w:t>
            </w:r>
          </w:p>
        </w:tc>
        <w:tc>
          <w:tcPr>
            <w:tcW w:w="851" w:type="dxa"/>
          </w:tcPr>
          <w:p>
            <w:pPr>
              <w:pStyle w:val="TableParagraph"/>
              <w:spacing w:before="10"/>
              <w:jc w:val="left"/>
              <w:rPr>
                <w:rFonts w:ascii="Times New Roman"/>
                <w:sz w:val="16"/>
              </w:rPr>
            </w:pPr>
          </w:p>
          <w:p>
            <w:pPr>
              <w:pStyle w:val="TableParagraph"/>
              <w:ind w:right="207"/>
              <w:rPr>
                <w:i/>
                <w:sz w:val="17"/>
              </w:rPr>
            </w:pPr>
            <w:r>
              <w:rPr>
                <w:i/>
                <w:sz w:val="17"/>
              </w:rPr>
              <w:t>30</w:t>
            </w:r>
          </w:p>
        </w:tc>
        <w:tc>
          <w:tcPr>
            <w:tcW w:w="821" w:type="dxa"/>
          </w:tcPr>
          <w:p>
            <w:pPr>
              <w:pStyle w:val="TableParagraph"/>
              <w:spacing w:before="10"/>
              <w:jc w:val="left"/>
              <w:rPr>
                <w:rFonts w:ascii="Times New Roman"/>
                <w:sz w:val="16"/>
              </w:rPr>
            </w:pPr>
          </w:p>
          <w:p>
            <w:pPr>
              <w:pStyle w:val="TableParagraph"/>
              <w:ind w:right="210"/>
              <w:rPr>
                <w:i/>
                <w:sz w:val="17"/>
              </w:rPr>
            </w:pPr>
            <w:r>
              <w:rPr>
                <w:i/>
                <w:sz w:val="17"/>
              </w:rPr>
              <w:t>35</w:t>
            </w:r>
          </w:p>
        </w:tc>
        <w:tc>
          <w:tcPr>
            <w:tcW w:w="822" w:type="dxa"/>
          </w:tcPr>
          <w:p>
            <w:pPr>
              <w:pStyle w:val="TableParagraph"/>
              <w:spacing w:before="10"/>
              <w:jc w:val="left"/>
              <w:rPr>
                <w:rFonts w:ascii="Times New Roman"/>
                <w:sz w:val="16"/>
              </w:rPr>
            </w:pPr>
          </w:p>
          <w:p>
            <w:pPr>
              <w:pStyle w:val="TableParagraph"/>
              <w:ind w:right="214"/>
              <w:rPr>
                <w:i/>
                <w:sz w:val="17"/>
              </w:rPr>
            </w:pPr>
            <w:r>
              <w:rPr>
                <w:i/>
                <w:w w:val="100"/>
                <w:sz w:val="17"/>
              </w:rPr>
              <w:t>0</w:t>
            </w:r>
          </w:p>
        </w:tc>
        <w:tc>
          <w:tcPr>
            <w:tcW w:w="681" w:type="dxa"/>
          </w:tcPr>
          <w:p>
            <w:pPr>
              <w:pStyle w:val="TableParagraph"/>
              <w:spacing w:before="10"/>
              <w:jc w:val="left"/>
              <w:rPr>
                <w:rFonts w:ascii="Times New Roman"/>
                <w:sz w:val="16"/>
              </w:rPr>
            </w:pPr>
          </w:p>
          <w:p>
            <w:pPr>
              <w:pStyle w:val="TableParagraph"/>
              <w:ind w:right="74"/>
              <w:rPr>
                <w:i/>
                <w:sz w:val="17"/>
              </w:rPr>
            </w:pPr>
            <w:r>
              <w:rPr>
                <w:i/>
                <w:w w:val="100"/>
                <w:sz w:val="17"/>
              </w:rPr>
              <w:t>0</w:t>
            </w:r>
          </w:p>
        </w:tc>
      </w:tr>
      <w:tr>
        <w:trPr>
          <w:trHeight w:val="243" w:hRule="atLeast"/>
        </w:trPr>
        <w:tc>
          <w:tcPr>
            <w:tcW w:w="5139" w:type="dxa"/>
          </w:tcPr>
          <w:p>
            <w:pPr>
              <w:pStyle w:val="TableParagraph"/>
              <w:spacing w:before="25"/>
              <w:ind w:left="76"/>
              <w:jc w:val="left"/>
              <w:rPr>
                <w:i/>
                <w:sz w:val="17"/>
              </w:rPr>
            </w:pPr>
            <w:r>
              <w:rPr>
                <w:i/>
                <w:sz w:val="17"/>
              </w:rPr>
              <w:t>Fondo per l'edilizia sanitaria</w:t>
            </w:r>
          </w:p>
        </w:tc>
        <w:tc>
          <w:tcPr>
            <w:tcW w:w="851" w:type="dxa"/>
          </w:tcPr>
          <w:p>
            <w:pPr>
              <w:pStyle w:val="TableParagraph"/>
              <w:spacing w:before="25"/>
              <w:ind w:right="211"/>
              <w:rPr>
                <w:i/>
                <w:sz w:val="17"/>
              </w:rPr>
            </w:pPr>
            <w:r>
              <w:rPr>
                <w:i/>
                <w:w w:val="100"/>
                <w:sz w:val="17"/>
              </w:rPr>
              <w:t>5</w:t>
            </w:r>
          </w:p>
        </w:tc>
        <w:tc>
          <w:tcPr>
            <w:tcW w:w="821" w:type="dxa"/>
          </w:tcPr>
          <w:p>
            <w:pPr>
              <w:pStyle w:val="TableParagraph"/>
              <w:spacing w:before="25"/>
              <w:ind w:right="210"/>
              <w:rPr>
                <w:i/>
                <w:sz w:val="17"/>
              </w:rPr>
            </w:pPr>
            <w:r>
              <w:rPr>
                <w:i/>
                <w:sz w:val="17"/>
              </w:rPr>
              <w:t>15</w:t>
            </w:r>
          </w:p>
        </w:tc>
        <w:tc>
          <w:tcPr>
            <w:tcW w:w="822" w:type="dxa"/>
          </w:tcPr>
          <w:p>
            <w:pPr>
              <w:pStyle w:val="TableParagraph"/>
              <w:spacing w:before="25"/>
              <w:ind w:right="212"/>
              <w:rPr>
                <w:i/>
                <w:sz w:val="17"/>
              </w:rPr>
            </w:pPr>
            <w:r>
              <w:rPr>
                <w:i/>
                <w:sz w:val="17"/>
              </w:rPr>
              <w:t>15</w:t>
            </w:r>
          </w:p>
        </w:tc>
        <w:tc>
          <w:tcPr>
            <w:tcW w:w="681" w:type="dxa"/>
          </w:tcPr>
          <w:p>
            <w:pPr>
              <w:pStyle w:val="TableParagraph"/>
              <w:spacing w:before="25"/>
              <w:ind w:right="71"/>
              <w:rPr>
                <w:i/>
                <w:sz w:val="17"/>
              </w:rPr>
            </w:pPr>
            <w:r>
              <w:rPr>
                <w:i/>
                <w:sz w:val="17"/>
              </w:rPr>
              <w:t>15</w:t>
            </w:r>
          </w:p>
        </w:tc>
      </w:tr>
      <w:tr>
        <w:trPr>
          <w:trHeight w:val="245" w:hRule="atLeast"/>
        </w:trPr>
        <w:tc>
          <w:tcPr>
            <w:tcW w:w="5139" w:type="dxa"/>
          </w:tcPr>
          <w:p>
            <w:pPr>
              <w:pStyle w:val="TableParagraph"/>
              <w:spacing w:before="26"/>
              <w:ind w:left="76"/>
              <w:jc w:val="left"/>
              <w:rPr>
                <w:i/>
                <w:sz w:val="17"/>
              </w:rPr>
            </w:pPr>
            <w:r>
              <w:rPr>
                <w:i/>
                <w:sz w:val="17"/>
              </w:rPr>
              <w:t>Fondo per il capitale immateriale</w:t>
            </w:r>
          </w:p>
        </w:tc>
        <w:tc>
          <w:tcPr>
            <w:tcW w:w="851" w:type="dxa"/>
          </w:tcPr>
          <w:p>
            <w:pPr>
              <w:pStyle w:val="TableParagraph"/>
              <w:spacing w:before="26"/>
              <w:ind w:right="207"/>
              <w:rPr>
                <w:i/>
                <w:sz w:val="17"/>
              </w:rPr>
            </w:pPr>
            <w:r>
              <w:rPr>
                <w:i/>
                <w:sz w:val="17"/>
              </w:rPr>
              <w:t>15</w:t>
            </w:r>
          </w:p>
        </w:tc>
        <w:tc>
          <w:tcPr>
            <w:tcW w:w="821" w:type="dxa"/>
          </w:tcPr>
          <w:p>
            <w:pPr>
              <w:pStyle w:val="TableParagraph"/>
              <w:spacing w:before="26"/>
              <w:ind w:right="213"/>
              <w:rPr>
                <w:i/>
                <w:sz w:val="17"/>
              </w:rPr>
            </w:pPr>
            <w:r>
              <w:rPr>
                <w:i/>
                <w:w w:val="100"/>
                <w:sz w:val="17"/>
              </w:rPr>
              <w:t>5</w:t>
            </w:r>
          </w:p>
        </w:tc>
        <w:tc>
          <w:tcPr>
            <w:tcW w:w="822" w:type="dxa"/>
          </w:tcPr>
          <w:p>
            <w:pPr>
              <w:pStyle w:val="TableParagraph"/>
              <w:spacing w:before="26"/>
              <w:ind w:right="214"/>
              <w:rPr>
                <w:i/>
                <w:sz w:val="17"/>
              </w:rPr>
            </w:pPr>
            <w:r>
              <w:rPr>
                <w:i/>
                <w:w w:val="100"/>
                <w:sz w:val="17"/>
              </w:rPr>
              <w:t>5</w:t>
            </w:r>
          </w:p>
        </w:tc>
        <w:tc>
          <w:tcPr>
            <w:tcW w:w="681" w:type="dxa"/>
          </w:tcPr>
          <w:p>
            <w:pPr>
              <w:pStyle w:val="TableParagraph"/>
              <w:spacing w:before="26"/>
              <w:ind w:right="74"/>
              <w:rPr>
                <w:i/>
                <w:sz w:val="17"/>
              </w:rPr>
            </w:pPr>
            <w:r>
              <w:rPr>
                <w:i/>
                <w:w w:val="100"/>
                <w:sz w:val="17"/>
              </w:rPr>
              <w:t>5</w:t>
            </w:r>
          </w:p>
        </w:tc>
      </w:tr>
      <w:tr>
        <w:trPr>
          <w:trHeight w:val="365" w:hRule="atLeast"/>
        </w:trPr>
        <w:tc>
          <w:tcPr>
            <w:tcW w:w="5139" w:type="dxa"/>
          </w:tcPr>
          <w:p>
            <w:pPr>
              <w:pStyle w:val="TableParagraph"/>
              <w:spacing w:before="26"/>
              <w:ind w:left="76"/>
              <w:jc w:val="left"/>
              <w:rPr>
                <w:i/>
                <w:sz w:val="17"/>
              </w:rPr>
            </w:pPr>
            <w:r>
              <w:rPr>
                <w:i/>
                <w:sz w:val="17"/>
              </w:rPr>
              <w:t>Altro</w:t>
            </w:r>
          </w:p>
        </w:tc>
        <w:tc>
          <w:tcPr>
            <w:tcW w:w="851" w:type="dxa"/>
          </w:tcPr>
          <w:p>
            <w:pPr>
              <w:pStyle w:val="TableParagraph"/>
              <w:spacing w:before="26"/>
              <w:ind w:right="211"/>
              <w:rPr>
                <w:i/>
                <w:sz w:val="17"/>
              </w:rPr>
            </w:pPr>
            <w:r>
              <w:rPr>
                <w:i/>
                <w:w w:val="100"/>
                <w:sz w:val="17"/>
              </w:rPr>
              <w:t>2</w:t>
            </w:r>
          </w:p>
        </w:tc>
        <w:tc>
          <w:tcPr>
            <w:tcW w:w="821" w:type="dxa"/>
          </w:tcPr>
          <w:p>
            <w:pPr>
              <w:pStyle w:val="TableParagraph"/>
              <w:spacing w:before="26"/>
              <w:ind w:right="213"/>
              <w:rPr>
                <w:i/>
                <w:sz w:val="17"/>
              </w:rPr>
            </w:pPr>
            <w:r>
              <w:rPr>
                <w:i/>
                <w:w w:val="100"/>
                <w:sz w:val="17"/>
              </w:rPr>
              <w:t>5</w:t>
            </w:r>
          </w:p>
        </w:tc>
        <w:tc>
          <w:tcPr>
            <w:tcW w:w="822" w:type="dxa"/>
          </w:tcPr>
          <w:p>
            <w:pPr>
              <w:pStyle w:val="TableParagraph"/>
              <w:spacing w:before="26"/>
              <w:ind w:right="214"/>
              <w:rPr>
                <w:i/>
                <w:sz w:val="17"/>
              </w:rPr>
            </w:pPr>
            <w:r>
              <w:rPr>
                <w:i/>
                <w:w w:val="100"/>
                <w:sz w:val="17"/>
              </w:rPr>
              <w:t>5</w:t>
            </w:r>
          </w:p>
        </w:tc>
        <w:tc>
          <w:tcPr>
            <w:tcW w:w="681" w:type="dxa"/>
          </w:tcPr>
          <w:p>
            <w:pPr>
              <w:pStyle w:val="TableParagraph"/>
              <w:spacing w:before="26"/>
              <w:ind w:right="74"/>
              <w:rPr>
                <w:i/>
                <w:sz w:val="17"/>
              </w:rPr>
            </w:pPr>
            <w:r>
              <w:rPr>
                <w:i/>
                <w:w w:val="100"/>
                <w:sz w:val="17"/>
              </w:rPr>
              <w:t>5</w:t>
            </w:r>
          </w:p>
        </w:tc>
      </w:tr>
      <w:tr>
        <w:trPr>
          <w:trHeight w:val="487" w:hRule="atLeast"/>
        </w:trPr>
        <w:tc>
          <w:tcPr>
            <w:tcW w:w="5139" w:type="dxa"/>
          </w:tcPr>
          <w:p>
            <w:pPr>
              <w:pStyle w:val="TableParagraph"/>
              <w:spacing w:before="147"/>
              <w:ind w:left="76"/>
              <w:jc w:val="left"/>
              <w:rPr>
                <w:sz w:val="17"/>
              </w:rPr>
            </w:pPr>
            <w:r>
              <w:rPr>
                <w:sz w:val="17"/>
              </w:rPr>
              <w:t>UTILIZZO RISORSE</w:t>
            </w:r>
          </w:p>
        </w:tc>
        <w:tc>
          <w:tcPr>
            <w:tcW w:w="851" w:type="dxa"/>
          </w:tcPr>
          <w:p>
            <w:pPr>
              <w:pStyle w:val="TableParagraph"/>
              <w:spacing w:before="147"/>
              <w:ind w:right="207"/>
              <w:rPr>
                <w:sz w:val="17"/>
              </w:rPr>
            </w:pPr>
            <w:r>
              <w:rPr>
                <w:sz w:val="17"/>
              </w:rPr>
              <w:t>84</w:t>
            </w:r>
          </w:p>
        </w:tc>
        <w:tc>
          <w:tcPr>
            <w:tcW w:w="821" w:type="dxa"/>
          </w:tcPr>
          <w:p>
            <w:pPr>
              <w:pStyle w:val="TableParagraph"/>
              <w:spacing w:before="147"/>
              <w:ind w:right="210"/>
              <w:rPr>
                <w:sz w:val="17"/>
              </w:rPr>
            </w:pPr>
            <w:r>
              <w:rPr>
                <w:sz w:val="17"/>
              </w:rPr>
              <w:t>117</w:t>
            </w:r>
          </w:p>
        </w:tc>
        <w:tc>
          <w:tcPr>
            <w:tcW w:w="822" w:type="dxa"/>
          </w:tcPr>
          <w:p>
            <w:pPr>
              <w:pStyle w:val="TableParagraph"/>
              <w:spacing w:before="147"/>
              <w:ind w:right="212"/>
              <w:rPr>
                <w:sz w:val="17"/>
              </w:rPr>
            </w:pPr>
            <w:r>
              <w:rPr>
                <w:sz w:val="17"/>
              </w:rPr>
              <w:t>122</w:t>
            </w:r>
          </w:p>
        </w:tc>
        <w:tc>
          <w:tcPr>
            <w:tcW w:w="681" w:type="dxa"/>
          </w:tcPr>
          <w:p>
            <w:pPr>
              <w:pStyle w:val="TableParagraph"/>
              <w:spacing w:before="147"/>
              <w:ind w:right="71"/>
              <w:rPr>
                <w:sz w:val="17"/>
              </w:rPr>
            </w:pPr>
            <w:r>
              <w:rPr>
                <w:sz w:val="17"/>
              </w:rPr>
              <w:t>56</w:t>
            </w:r>
          </w:p>
        </w:tc>
      </w:tr>
      <w:tr>
        <w:trPr>
          <w:trHeight w:val="340" w:hRule="atLeast"/>
        </w:trPr>
        <w:tc>
          <w:tcPr>
            <w:tcW w:w="5139" w:type="dxa"/>
          </w:tcPr>
          <w:p>
            <w:pPr>
              <w:pStyle w:val="TableParagraph"/>
              <w:spacing w:line="173" w:lineRule="exact" w:before="147"/>
              <w:ind w:left="76"/>
              <w:jc w:val="left"/>
              <w:rPr>
                <w:sz w:val="17"/>
              </w:rPr>
            </w:pPr>
            <w:r>
              <w:rPr>
                <w:sz w:val="17"/>
              </w:rPr>
              <w:t>Minori entrate</w:t>
            </w:r>
          </w:p>
        </w:tc>
        <w:tc>
          <w:tcPr>
            <w:tcW w:w="851" w:type="dxa"/>
          </w:tcPr>
          <w:p>
            <w:pPr>
              <w:pStyle w:val="TableParagraph"/>
              <w:spacing w:line="173" w:lineRule="exact" w:before="147"/>
              <w:ind w:right="211"/>
              <w:rPr>
                <w:sz w:val="17"/>
              </w:rPr>
            </w:pPr>
            <w:r>
              <w:rPr>
                <w:w w:val="100"/>
                <w:sz w:val="17"/>
              </w:rPr>
              <w:t>2</w:t>
            </w:r>
          </w:p>
        </w:tc>
        <w:tc>
          <w:tcPr>
            <w:tcW w:w="821" w:type="dxa"/>
          </w:tcPr>
          <w:p>
            <w:pPr>
              <w:pStyle w:val="TableParagraph"/>
              <w:spacing w:line="173" w:lineRule="exact" w:before="147"/>
              <w:ind w:right="213"/>
              <w:rPr>
                <w:sz w:val="17"/>
              </w:rPr>
            </w:pPr>
            <w:r>
              <w:rPr>
                <w:w w:val="100"/>
                <w:sz w:val="17"/>
              </w:rPr>
              <w:t>2</w:t>
            </w:r>
          </w:p>
        </w:tc>
        <w:tc>
          <w:tcPr>
            <w:tcW w:w="822" w:type="dxa"/>
          </w:tcPr>
          <w:p>
            <w:pPr>
              <w:pStyle w:val="TableParagraph"/>
              <w:spacing w:line="173" w:lineRule="exact" w:before="147"/>
              <w:ind w:right="214"/>
              <w:rPr>
                <w:sz w:val="17"/>
              </w:rPr>
            </w:pPr>
            <w:r>
              <w:rPr>
                <w:w w:val="100"/>
                <w:sz w:val="17"/>
              </w:rPr>
              <w:t>0</w:t>
            </w:r>
          </w:p>
        </w:tc>
        <w:tc>
          <w:tcPr>
            <w:tcW w:w="681" w:type="dxa"/>
          </w:tcPr>
          <w:p>
            <w:pPr>
              <w:pStyle w:val="TableParagraph"/>
              <w:spacing w:line="173" w:lineRule="exact" w:before="147"/>
              <w:ind w:right="74"/>
              <w:rPr>
                <w:sz w:val="17"/>
              </w:rPr>
            </w:pPr>
            <w:r>
              <w:rPr>
                <w:w w:val="100"/>
                <w:sz w:val="17"/>
              </w:rPr>
              <w:t>0</w:t>
            </w:r>
          </w:p>
        </w:tc>
      </w:tr>
      <w:tr>
        <w:trPr>
          <w:trHeight w:val="532" w:hRule="atLeast"/>
        </w:trPr>
        <w:tc>
          <w:tcPr>
            <w:tcW w:w="5139" w:type="dxa"/>
          </w:tcPr>
          <w:p>
            <w:pPr>
              <w:pStyle w:val="TableParagraph"/>
              <w:spacing w:before="1"/>
              <w:ind w:left="76" w:right="277"/>
              <w:jc w:val="left"/>
              <w:rPr>
                <w:i/>
                <w:sz w:val="17"/>
              </w:rPr>
            </w:pPr>
            <w:r>
              <w:rPr>
                <w:i/>
                <w:sz w:val="17"/>
              </w:rPr>
              <w:t>Interventi a favore dei territori colpiti dagli eventi sismici del 2016, </w:t>
            </w:r>
            <w:r>
              <w:rPr>
                <w:i/>
                <w:sz w:val="17"/>
              </w:rPr>
              <w:t>2017 e del 2018</w:t>
            </w:r>
          </w:p>
        </w:tc>
        <w:tc>
          <w:tcPr>
            <w:tcW w:w="851" w:type="dxa"/>
          </w:tcPr>
          <w:p>
            <w:pPr>
              <w:pStyle w:val="TableParagraph"/>
              <w:spacing w:before="8"/>
              <w:jc w:val="left"/>
              <w:rPr>
                <w:rFonts w:ascii="Times New Roman"/>
                <w:sz w:val="16"/>
              </w:rPr>
            </w:pPr>
          </w:p>
          <w:p>
            <w:pPr>
              <w:pStyle w:val="TableParagraph"/>
              <w:spacing w:before="1"/>
              <w:ind w:right="211"/>
              <w:rPr>
                <w:i/>
                <w:sz w:val="17"/>
              </w:rPr>
            </w:pPr>
            <w:r>
              <w:rPr>
                <w:i/>
                <w:w w:val="100"/>
                <w:sz w:val="17"/>
              </w:rPr>
              <w:t>2</w:t>
            </w:r>
          </w:p>
        </w:tc>
        <w:tc>
          <w:tcPr>
            <w:tcW w:w="821" w:type="dxa"/>
          </w:tcPr>
          <w:p>
            <w:pPr>
              <w:pStyle w:val="TableParagraph"/>
              <w:spacing w:before="8"/>
              <w:jc w:val="left"/>
              <w:rPr>
                <w:rFonts w:ascii="Times New Roman"/>
                <w:sz w:val="16"/>
              </w:rPr>
            </w:pPr>
          </w:p>
          <w:p>
            <w:pPr>
              <w:pStyle w:val="TableParagraph"/>
              <w:spacing w:before="1"/>
              <w:ind w:right="213"/>
              <w:rPr>
                <w:i/>
                <w:sz w:val="17"/>
              </w:rPr>
            </w:pPr>
            <w:r>
              <w:rPr>
                <w:i/>
                <w:w w:val="100"/>
                <w:sz w:val="17"/>
              </w:rPr>
              <w:t>2</w:t>
            </w:r>
          </w:p>
        </w:tc>
        <w:tc>
          <w:tcPr>
            <w:tcW w:w="822" w:type="dxa"/>
          </w:tcPr>
          <w:p>
            <w:pPr>
              <w:pStyle w:val="TableParagraph"/>
              <w:spacing w:before="8"/>
              <w:jc w:val="left"/>
              <w:rPr>
                <w:rFonts w:ascii="Times New Roman"/>
                <w:sz w:val="16"/>
              </w:rPr>
            </w:pPr>
          </w:p>
          <w:p>
            <w:pPr>
              <w:pStyle w:val="TableParagraph"/>
              <w:spacing w:before="1"/>
              <w:ind w:right="214"/>
              <w:rPr>
                <w:i/>
                <w:sz w:val="17"/>
              </w:rPr>
            </w:pPr>
            <w:r>
              <w:rPr>
                <w:i/>
                <w:w w:val="100"/>
                <w:sz w:val="17"/>
              </w:rPr>
              <w:t>0</w:t>
            </w:r>
          </w:p>
        </w:tc>
        <w:tc>
          <w:tcPr>
            <w:tcW w:w="681" w:type="dxa"/>
          </w:tcPr>
          <w:p>
            <w:pPr>
              <w:pStyle w:val="TableParagraph"/>
              <w:spacing w:before="8"/>
              <w:jc w:val="left"/>
              <w:rPr>
                <w:rFonts w:ascii="Times New Roman"/>
                <w:sz w:val="16"/>
              </w:rPr>
            </w:pPr>
          </w:p>
          <w:p>
            <w:pPr>
              <w:pStyle w:val="TableParagraph"/>
              <w:spacing w:before="1"/>
              <w:ind w:right="74"/>
              <w:rPr>
                <w:i/>
                <w:sz w:val="17"/>
              </w:rPr>
            </w:pPr>
            <w:r>
              <w:rPr>
                <w:i/>
                <w:w w:val="100"/>
                <w:sz w:val="17"/>
              </w:rPr>
              <w:t>0</w:t>
            </w:r>
          </w:p>
        </w:tc>
      </w:tr>
      <w:tr>
        <w:trPr>
          <w:trHeight w:val="340" w:hRule="atLeast"/>
        </w:trPr>
        <w:tc>
          <w:tcPr>
            <w:tcW w:w="5139" w:type="dxa"/>
          </w:tcPr>
          <w:p>
            <w:pPr>
              <w:pStyle w:val="TableParagraph"/>
              <w:spacing w:line="173" w:lineRule="exact" w:before="147"/>
              <w:ind w:left="76"/>
              <w:jc w:val="left"/>
              <w:rPr>
                <w:sz w:val="17"/>
              </w:rPr>
            </w:pPr>
            <w:r>
              <w:rPr>
                <w:sz w:val="17"/>
              </w:rPr>
              <w:t>Maggiori spese</w:t>
            </w:r>
          </w:p>
        </w:tc>
        <w:tc>
          <w:tcPr>
            <w:tcW w:w="851" w:type="dxa"/>
          </w:tcPr>
          <w:p>
            <w:pPr>
              <w:pStyle w:val="TableParagraph"/>
              <w:spacing w:line="173" w:lineRule="exact" w:before="147"/>
              <w:ind w:right="207"/>
              <w:rPr>
                <w:sz w:val="17"/>
              </w:rPr>
            </w:pPr>
            <w:r>
              <w:rPr>
                <w:sz w:val="17"/>
              </w:rPr>
              <w:t>83</w:t>
            </w:r>
          </w:p>
        </w:tc>
        <w:tc>
          <w:tcPr>
            <w:tcW w:w="821" w:type="dxa"/>
          </w:tcPr>
          <w:p>
            <w:pPr>
              <w:pStyle w:val="TableParagraph"/>
              <w:spacing w:line="173" w:lineRule="exact" w:before="147"/>
              <w:ind w:right="210"/>
              <w:rPr>
                <w:sz w:val="17"/>
              </w:rPr>
            </w:pPr>
            <w:r>
              <w:rPr>
                <w:sz w:val="17"/>
              </w:rPr>
              <w:t>115</w:t>
            </w:r>
          </w:p>
        </w:tc>
        <w:tc>
          <w:tcPr>
            <w:tcW w:w="822" w:type="dxa"/>
          </w:tcPr>
          <w:p>
            <w:pPr>
              <w:pStyle w:val="TableParagraph"/>
              <w:spacing w:line="173" w:lineRule="exact" w:before="147"/>
              <w:ind w:right="212"/>
              <w:rPr>
                <w:sz w:val="17"/>
              </w:rPr>
            </w:pPr>
            <w:r>
              <w:rPr>
                <w:sz w:val="17"/>
              </w:rPr>
              <w:t>122</w:t>
            </w:r>
          </w:p>
        </w:tc>
        <w:tc>
          <w:tcPr>
            <w:tcW w:w="681" w:type="dxa"/>
          </w:tcPr>
          <w:p>
            <w:pPr>
              <w:pStyle w:val="TableParagraph"/>
              <w:spacing w:line="173" w:lineRule="exact" w:before="147"/>
              <w:ind w:right="71"/>
              <w:rPr>
                <w:sz w:val="17"/>
              </w:rPr>
            </w:pPr>
            <w:r>
              <w:rPr>
                <w:sz w:val="17"/>
              </w:rPr>
              <w:t>56</w:t>
            </w:r>
          </w:p>
        </w:tc>
      </w:tr>
      <w:tr>
        <w:trPr>
          <w:trHeight w:val="385" w:hRule="atLeast"/>
        </w:trPr>
        <w:tc>
          <w:tcPr>
            <w:tcW w:w="5139" w:type="dxa"/>
          </w:tcPr>
          <w:p>
            <w:pPr>
              <w:pStyle w:val="TableParagraph"/>
              <w:spacing w:line="192" w:lineRule="exact" w:before="3"/>
              <w:ind w:left="76" w:right="277"/>
              <w:jc w:val="left"/>
              <w:rPr>
                <w:i/>
                <w:sz w:val="17"/>
              </w:rPr>
            </w:pPr>
            <w:r>
              <w:rPr>
                <w:i/>
                <w:sz w:val="17"/>
              </w:rPr>
              <w:t>Interventi a favore dei territori colpiti dagli eventi sismici del 2016, </w:t>
            </w:r>
            <w:r>
              <w:rPr>
                <w:i/>
                <w:sz w:val="17"/>
              </w:rPr>
              <w:t>2017 e del 2018</w:t>
            </w:r>
          </w:p>
        </w:tc>
        <w:tc>
          <w:tcPr>
            <w:tcW w:w="851" w:type="dxa"/>
          </w:tcPr>
          <w:p>
            <w:pPr>
              <w:pStyle w:val="TableParagraph"/>
              <w:spacing w:before="8"/>
              <w:jc w:val="left"/>
              <w:rPr>
                <w:rFonts w:ascii="Times New Roman"/>
                <w:sz w:val="16"/>
              </w:rPr>
            </w:pPr>
          </w:p>
          <w:p>
            <w:pPr>
              <w:pStyle w:val="TableParagraph"/>
              <w:spacing w:line="172" w:lineRule="exact" w:before="1"/>
              <w:ind w:right="207"/>
              <w:rPr>
                <w:i/>
                <w:sz w:val="17"/>
              </w:rPr>
            </w:pPr>
            <w:r>
              <w:rPr>
                <w:i/>
                <w:sz w:val="17"/>
              </w:rPr>
              <w:t>59</w:t>
            </w:r>
          </w:p>
        </w:tc>
        <w:tc>
          <w:tcPr>
            <w:tcW w:w="821" w:type="dxa"/>
          </w:tcPr>
          <w:p>
            <w:pPr>
              <w:pStyle w:val="TableParagraph"/>
              <w:spacing w:before="8"/>
              <w:jc w:val="left"/>
              <w:rPr>
                <w:rFonts w:ascii="Times New Roman"/>
                <w:sz w:val="16"/>
              </w:rPr>
            </w:pPr>
          </w:p>
          <w:p>
            <w:pPr>
              <w:pStyle w:val="TableParagraph"/>
              <w:spacing w:line="172" w:lineRule="exact" w:before="1"/>
              <w:ind w:right="210"/>
              <w:rPr>
                <w:i/>
                <w:sz w:val="17"/>
              </w:rPr>
            </w:pPr>
            <w:r>
              <w:rPr>
                <w:i/>
                <w:sz w:val="17"/>
              </w:rPr>
              <w:t>88</w:t>
            </w:r>
          </w:p>
        </w:tc>
        <w:tc>
          <w:tcPr>
            <w:tcW w:w="822" w:type="dxa"/>
          </w:tcPr>
          <w:p>
            <w:pPr>
              <w:pStyle w:val="TableParagraph"/>
              <w:spacing w:before="8"/>
              <w:jc w:val="left"/>
              <w:rPr>
                <w:rFonts w:ascii="Times New Roman"/>
                <w:sz w:val="16"/>
              </w:rPr>
            </w:pPr>
          </w:p>
          <w:p>
            <w:pPr>
              <w:pStyle w:val="TableParagraph"/>
              <w:spacing w:line="172" w:lineRule="exact" w:before="1"/>
              <w:ind w:right="212"/>
              <w:rPr>
                <w:i/>
                <w:sz w:val="17"/>
              </w:rPr>
            </w:pPr>
            <w:r>
              <w:rPr>
                <w:i/>
                <w:sz w:val="17"/>
              </w:rPr>
              <w:t>90</w:t>
            </w:r>
          </w:p>
        </w:tc>
        <w:tc>
          <w:tcPr>
            <w:tcW w:w="681" w:type="dxa"/>
          </w:tcPr>
          <w:p>
            <w:pPr>
              <w:pStyle w:val="TableParagraph"/>
              <w:spacing w:before="8"/>
              <w:jc w:val="left"/>
              <w:rPr>
                <w:rFonts w:ascii="Times New Roman"/>
                <w:sz w:val="16"/>
              </w:rPr>
            </w:pPr>
          </w:p>
          <w:p>
            <w:pPr>
              <w:pStyle w:val="TableParagraph"/>
              <w:spacing w:line="172" w:lineRule="exact" w:before="1"/>
              <w:ind w:right="71"/>
              <w:rPr>
                <w:i/>
                <w:sz w:val="17"/>
              </w:rPr>
            </w:pPr>
            <w:r>
              <w:rPr>
                <w:i/>
                <w:sz w:val="17"/>
              </w:rPr>
              <w:t>30</w:t>
            </w:r>
          </w:p>
        </w:tc>
      </w:tr>
      <w:tr>
        <w:trPr>
          <w:trHeight w:val="384" w:hRule="atLeast"/>
        </w:trPr>
        <w:tc>
          <w:tcPr>
            <w:tcW w:w="5139" w:type="dxa"/>
          </w:tcPr>
          <w:p>
            <w:pPr>
              <w:pStyle w:val="TableParagraph"/>
              <w:spacing w:line="191" w:lineRule="exact"/>
              <w:ind w:left="76"/>
              <w:jc w:val="left"/>
              <w:rPr>
                <w:i/>
                <w:sz w:val="17"/>
              </w:rPr>
            </w:pPr>
            <w:r>
              <w:rPr>
                <w:i/>
                <w:sz w:val="17"/>
              </w:rPr>
              <w:t>Sistemi di videosorveglianza delle strutture socio-sanitarie e socio-</w:t>
            </w:r>
          </w:p>
          <w:p>
            <w:pPr>
              <w:pStyle w:val="TableParagraph"/>
              <w:spacing w:line="172" w:lineRule="exact" w:before="1"/>
              <w:ind w:left="76"/>
              <w:jc w:val="left"/>
              <w:rPr>
                <w:i/>
                <w:sz w:val="17"/>
              </w:rPr>
            </w:pPr>
            <w:r>
              <w:rPr>
                <w:i/>
                <w:sz w:val="17"/>
              </w:rPr>
              <w:t>assistenziali per anziani e disabili</w:t>
            </w:r>
          </w:p>
        </w:tc>
        <w:tc>
          <w:tcPr>
            <w:tcW w:w="851" w:type="dxa"/>
          </w:tcPr>
          <w:p>
            <w:pPr>
              <w:pStyle w:val="TableParagraph"/>
              <w:spacing w:before="8"/>
              <w:jc w:val="left"/>
              <w:rPr>
                <w:rFonts w:ascii="Times New Roman"/>
                <w:sz w:val="16"/>
              </w:rPr>
            </w:pPr>
          </w:p>
          <w:p>
            <w:pPr>
              <w:pStyle w:val="TableParagraph"/>
              <w:spacing w:line="172" w:lineRule="exact"/>
              <w:ind w:right="211"/>
              <w:rPr>
                <w:i/>
                <w:sz w:val="17"/>
              </w:rPr>
            </w:pPr>
            <w:r>
              <w:rPr>
                <w:i/>
                <w:w w:val="100"/>
                <w:sz w:val="17"/>
              </w:rPr>
              <w:t>5</w:t>
            </w:r>
          </w:p>
        </w:tc>
        <w:tc>
          <w:tcPr>
            <w:tcW w:w="821" w:type="dxa"/>
          </w:tcPr>
          <w:p>
            <w:pPr>
              <w:pStyle w:val="TableParagraph"/>
              <w:spacing w:before="8"/>
              <w:jc w:val="left"/>
              <w:rPr>
                <w:rFonts w:ascii="Times New Roman"/>
                <w:sz w:val="16"/>
              </w:rPr>
            </w:pPr>
          </w:p>
          <w:p>
            <w:pPr>
              <w:pStyle w:val="TableParagraph"/>
              <w:spacing w:line="172" w:lineRule="exact"/>
              <w:ind w:right="210"/>
              <w:rPr>
                <w:i/>
                <w:sz w:val="17"/>
              </w:rPr>
            </w:pPr>
            <w:r>
              <w:rPr>
                <w:i/>
                <w:sz w:val="17"/>
              </w:rPr>
              <w:t>15</w:t>
            </w:r>
          </w:p>
        </w:tc>
        <w:tc>
          <w:tcPr>
            <w:tcW w:w="822" w:type="dxa"/>
          </w:tcPr>
          <w:p>
            <w:pPr>
              <w:pStyle w:val="TableParagraph"/>
              <w:spacing w:before="8"/>
              <w:jc w:val="left"/>
              <w:rPr>
                <w:rFonts w:ascii="Times New Roman"/>
                <w:sz w:val="16"/>
              </w:rPr>
            </w:pPr>
          </w:p>
          <w:p>
            <w:pPr>
              <w:pStyle w:val="TableParagraph"/>
              <w:spacing w:line="172" w:lineRule="exact"/>
              <w:ind w:right="212"/>
              <w:rPr>
                <w:i/>
                <w:sz w:val="17"/>
              </w:rPr>
            </w:pPr>
            <w:r>
              <w:rPr>
                <w:i/>
                <w:sz w:val="17"/>
              </w:rPr>
              <w:t>15</w:t>
            </w:r>
          </w:p>
        </w:tc>
        <w:tc>
          <w:tcPr>
            <w:tcW w:w="681" w:type="dxa"/>
          </w:tcPr>
          <w:p>
            <w:pPr>
              <w:pStyle w:val="TableParagraph"/>
              <w:spacing w:before="8"/>
              <w:jc w:val="left"/>
              <w:rPr>
                <w:rFonts w:ascii="Times New Roman"/>
                <w:sz w:val="16"/>
              </w:rPr>
            </w:pPr>
          </w:p>
          <w:p>
            <w:pPr>
              <w:pStyle w:val="TableParagraph"/>
              <w:spacing w:line="172" w:lineRule="exact"/>
              <w:ind w:right="71"/>
              <w:rPr>
                <w:i/>
                <w:sz w:val="17"/>
              </w:rPr>
            </w:pPr>
            <w:r>
              <w:rPr>
                <w:i/>
                <w:sz w:val="17"/>
              </w:rPr>
              <w:t>15</w:t>
            </w:r>
          </w:p>
        </w:tc>
      </w:tr>
      <w:tr>
        <w:trPr>
          <w:trHeight w:val="383" w:hRule="atLeast"/>
        </w:trPr>
        <w:tc>
          <w:tcPr>
            <w:tcW w:w="5139" w:type="dxa"/>
          </w:tcPr>
          <w:p>
            <w:pPr>
              <w:pStyle w:val="TableParagraph"/>
              <w:spacing w:line="192" w:lineRule="exact" w:before="2"/>
              <w:ind w:left="76" w:right="516"/>
              <w:jc w:val="left"/>
              <w:rPr>
                <w:i/>
                <w:sz w:val="17"/>
              </w:rPr>
            </w:pPr>
            <w:r>
              <w:rPr>
                <w:i/>
                <w:sz w:val="17"/>
              </w:rPr>
              <w:t>Acquisto, costruzione e adeguamento sedi di servizio del Corpo </w:t>
            </w:r>
            <w:r>
              <w:rPr>
                <w:i/>
                <w:sz w:val="17"/>
              </w:rPr>
              <w:t>nazionale dei VV.FF.</w:t>
            </w:r>
          </w:p>
        </w:tc>
        <w:tc>
          <w:tcPr>
            <w:tcW w:w="851" w:type="dxa"/>
          </w:tcPr>
          <w:p>
            <w:pPr>
              <w:pStyle w:val="TableParagraph"/>
              <w:spacing w:before="7"/>
              <w:jc w:val="left"/>
              <w:rPr>
                <w:rFonts w:ascii="Times New Roman"/>
                <w:sz w:val="16"/>
              </w:rPr>
            </w:pPr>
          </w:p>
          <w:p>
            <w:pPr>
              <w:pStyle w:val="TableParagraph"/>
              <w:spacing w:line="172" w:lineRule="exact"/>
              <w:ind w:right="211"/>
              <w:rPr>
                <w:i/>
                <w:sz w:val="17"/>
              </w:rPr>
            </w:pPr>
            <w:r>
              <w:rPr>
                <w:i/>
                <w:w w:val="100"/>
                <w:sz w:val="17"/>
              </w:rPr>
              <w:t>5</w:t>
            </w:r>
          </w:p>
        </w:tc>
        <w:tc>
          <w:tcPr>
            <w:tcW w:w="821" w:type="dxa"/>
          </w:tcPr>
          <w:p>
            <w:pPr>
              <w:pStyle w:val="TableParagraph"/>
              <w:spacing w:before="7"/>
              <w:jc w:val="left"/>
              <w:rPr>
                <w:rFonts w:ascii="Times New Roman"/>
                <w:sz w:val="16"/>
              </w:rPr>
            </w:pPr>
          </w:p>
          <w:p>
            <w:pPr>
              <w:pStyle w:val="TableParagraph"/>
              <w:spacing w:line="172" w:lineRule="exact"/>
              <w:ind w:right="213"/>
              <w:rPr>
                <w:i/>
                <w:sz w:val="17"/>
              </w:rPr>
            </w:pPr>
            <w:r>
              <w:rPr>
                <w:i/>
                <w:w w:val="100"/>
                <w:sz w:val="17"/>
              </w:rPr>
              <w:t>5</w:t>
            </w:r>
          </w:p>
        </w:tc>
        <w:tc>
          <w:tcPr>
            <w:tcW w:w="822" w:type="dxa"/>
          </w:tcPr>
          <w:p>
            <w:pPr>
              <w:pStyle w:val="TableParagraph"/>
              <w:spacing w:before="7"/>
              <w:jc w:val="left"/>
              <w:rPr>
                <w:rFonts w:ascii="Times New Roman"/>
                <w:sz w:val="16"/>
              </w:rPr>
            </w:pPr>
          </w:p>
          <w:p>
            <w:pPr>
              <w:pStyle w:val="TableParagraph"/>
              <w:spacing w:line="172" w:lineRule="exact"/>
              <w:ind w:right="214"/>
              <w:rPr>
                <w:i/>
                <w:sz w:val="17"/>
              </w:rPr>
            </w:pPr>
            <w:r>
              <w:rPr>
                <w:i/>
                <w:w w:val="100"/>
                <w:sz w:val="17"/>
              </w:rPr>
              <w:t>5</w:t>
            </w:r>
          </w:p>
        </w:tc>
        <w:tc>
          <w:tcPr>
            <w:tcW w:w="681" w:type="dxa"/>
          </w:tcPr>
          <w:p>
            <w:pPr>
              <w:pStyle w:val="TableParagraph"/>
              <w:spacing w:before="7"/>
              <w:jc w:val="left"/>
              <w:rPr>
                <w:rFonts w:ascii="Times New Roman"/>
                <w:sz w:val="16"/>
              </w:rPr>
            </w:pPr>
          </w:p>
          <w:p>
            <w:pPr>
              <w:pStyle w:val="TableParagraph"/>
              <w:spacing w:line="172" w:lineRule="exact"/>
              <w:ind w:right="74"/>
              <w:rPr>
                <w:i/>
                <w:sz w:val="17"/>
              </w:rPr>
            </w:pPr>
            <w:r>
              <w:rPr>
                <w:i/>
                <w:w w:val="100"/>
                <w:sz w:val="17"/>
              </w:rPr>
              <w:t>5</w:t>
            </w:r>
          </w:p>
        </w:tc>
      </w:tr>
      <w:tr>
        <w:trPr>
          <w:trHeight w:val="410" w:hRule="atLeast"/>
        </w:trPr>
        <w:tc>
          <w:tcPr>
            <w:tcW w:w="5139" w:type="dxa"/>
          </w:tcPr>
          <w:p>
            <w:pPr>
              <w:pStyle w:val="TableParagraph"/>
              <w:spacing w:line="242" w:lineRule="auto"/>
              <w:ind w:left="76" w:right="223"/>
              <w:jc w:val="left"/>
              <w:rPr>
                <w:i/>
                <w:sz w:val="17"/>
              </w:rPr>
            </w:pPr>
            <w:r>
              <w:rPr>
                <w:i/>
                <w:sz w:val="17"/>
              </w:rPr>
              <w:t>Piattaforma Unica Nazionale (PUN) e Piano nazionale infrastrutture </w:t>
            </w:r>
            <w:r>
              <w:rPr>
                <w:i/>
                <w:sz w:val="17"/>
              </w:rPr>
              <w:t>per la ricarica dei veicoli alimentati ad energia elettrica</w:t>
            </w:r>
          </w:p>
        </w:tc>
        <w:tc>
          <w:tcPr>
            <w:tcW w:w="851" w:type="dxa"/>
          </w:tcPr>
          <w:p>
            <w:pPr>
              <w:pStyle w:val="TableParagraph"/>
              <w:spacing w:before="8"/>
              <w:jc w:val="left"/>
              <w:rPr>
                <w:rFonts w:ascii="Times New Roman"/>
                <w:sz w:val="16"/>
              </w:rPr>
            </w:pPr>
          </w:p>
          <w:p>
            <w:pPr>
              <w:pStyle w:val="TableParagraph"/>
              <w:ind w:right="207"/>
              <w:rPr>
                <w:i/>
                <w:sz w:val="17"/>
              </w:rPr>
            </w:pPr>
            <w:r>
              <w:rPr>
                <w:i/>
                <w:sz w:val="17"/>
              </w:rPr>
              <w:t>10</w:t>
            </w:r>
          </w:p>
        </w:tc>
        <w:tc>
          <w:tcPr>
            <w:tcW w:w="821" w:type="dxa"/>
          </w:tcPr>
          <w:p>
            <w:pPr>
              <w:pStyle w:val="TableParagraph"/>
              <w:spacing w:before="8"/>
              <w:jc w:val="left"/>
              <w:rPr>
                <w:rFonts w:ascii="Times New Roman"/>
                <w:sz w:val="16"/>
              </w:rPr>
            </w:pPr>
          </w:p>
          <w:p>
            <w:pPr>
              <w:pStyle w:val="TableParagraph"/>
              <w:ind w:right="213"/>
              <w:rPr>
                <w:i/>
                <w:sz w:val="17"/>
              </w:rPr>
            </w:pPr>
            <w:r>
              <w:rPr>
                <w:i/>
                <w:w w:val="100"/>
                <w:sz w:val="17"/>
              </w:rPr>
              <w:t>0</w:t>
            </w:r>
          </w:p>
        </w:tc>
        <w:tc>
          <w:tcPr>
            <w:tcW w:w="822" w:type="dxa"/>
          </w:tcPr>
          <w:p>
            <w:pPr>
              <w:pStyle w:val="TableParagraph"/>
              <w:spacing w:before="8"/>
              <w:jc w:val="left"/>
              <w:rPr>
                <w:rFonts w:ascii="Times New Roman"/>
                <w:sz w:val="16"/>
              </w:rPr>
            </w:pPr>
          </w:p>
          <w:p>
            <w:pPr>
              <w:pStyle w:val="TableParagraph"/>
              <w:ind w:right="214"/>
              <w:rPr>
                <w:i/>
                <w:sz w:val="17"/>
              </w:rPr>
            </w:pPr>
            <w:r>
              <w:rPr>
                <w:i/>
                <w:w w:val="100"/>
                <w:sz w:val="17"/>
              </w:rPr>
              <w:t>0</w:t>
            </w:r>
          </w:p>
        </w:tc>
        <w:tc>
          <w:tcPr>
            <w:tcW w:w="681" w:type="dxa"/>
          </w:tcPr>
          <w:p>
            <w:pPr>
              <w:pStyle w:val="TableParagraph"/>
              <w:spacing w:before="8"/>
              <w:jc w:val="left"/>
              <w:rPr>
                <w:rFonts w:ascii="Times New Roman"/>
                <w:sz w:val="16"/>
              </w:rPr>
            </w:pPr>
          </w:p>
          <w:p>
            <w:pPr>
              <w:pStyle w:val="TableParagraph"/>
              <w:ind w:right="74"/>
              <w:rPr>
                <w:i/>
                <w:sz w:val="17"/>
              </w:rPr>
            </w:pPr>
            <w:r>
              <w:rPr>
                <w:i/>
                <w:w w:val="100"/>
                <w:sz w:val="17"/>
              </w:rPr>
              <w:t>0</w:t>
            </w:r>
          </w:p>
        </w:tc>
      </w:tr>
      <w:tr>
        <w:trPr>
          <w:trHeight w:val="339" w:hRule="atLeast"/>
        </w:trPr>
        <w:tc>
          <w:tcPr>
            <w:tcW w:w="5139" w:type="dxa"/>
          </w:tcPr>
          <w:p>
            <w:pPr>
              <w:pStyle w:val="TableParagraph"/>
              <w:spacing w:before="25"/>
              <w:ind w:left="76"/>
              <w:jc w:val="left"/>
              <w:rPr>
                <w:i/>
                <w:sz w:val="17"/>
              </w:rPr>
            </w:pPr>
            <w:r>
              <w:rPr>
                <w:i/>
                <w:sz w:val="17"/>
              </w:rPr>
              <w:t>Altro</w:t>
            </w:r>
          </w:p>
        </w:tc>
        <w:tc>
          <w:tcPr>
            <w:tcW w:w="851" w:type="dxa"/>
          </w:tcPr>
          <w:p>
            <w:pPr>
              <w:pStyle w:val="TableParagraph"/>
              <w:spacing w:before="25"/>
              <w:ind w:right="211"/>
              <w:rPr>
                <w:i/>
                <w:sz w:val="17"/>
              </w:rPr>
            </w:pPr>
            <w:r>
              <w:rPr>
                <w:i/>
                <w:w w:val="100"/>
                <w:sz w:val="17"/>
              </w:rPr>
              <w:t>4</w:t>
            </w:r>
          </w:p>
        </w:tc>
        <w:tc>
          <w:tcPr>
            <w:tcW w:w="821" w:type="dxa"/>
          </w:tcPr>
          <w:p>
            <w:pPr>
              <w:pStyle w:val="TableParagraph"/>
              <w:spacing w:before="25"/>
              <w:ind w:right="213"/>
              <w:rPr>
                <w:i/>
                <w:sz w:val="17"/>
              </w:rPr>
            </w:pPr>
            <w:r>
              <w:rPr>
                <w:i/>
                <w:w w:val="100"/>
                <w:sz w:val="17"/>
              </w:rPr>
              <w:t>7</w:t>
            </w:r>
          </w:p>
        </w:tc>
        <w:tc>
          <w:tcPr>
            <w:tcW w:w="822" w:type="dxa"/>
          </w:tcPr>
          <w:p>
            <w:pPr>
              <w:pStyle w:val="TableParagraph"/>
              <w:spacing w:before="25"/>
              <w:ind w:right="212"/>
              <w:rPr>
                <w:i/>
                <w:sz w:val="17"/>
              </w:rPr>
            </w:pPr>
            <w:r>
              <w:rPr>
                <w:i/>
                <w:sz w:val="17"/>
              </w:rPr>
              <w:t>12</w:t>
            </w:r>
          </w:p>
        </w:tc>
        <w:tc>
          <w:tcPr>
            <w:tcW w:w="681" w:type="dxa"/>
          </w:tcPr>
          <w:p>
            <w:pPr>
              <w:pStyle w:val="TableParagraph"/>
              <w:spacing w:before="25"/>
              <w:ind w:right="74"/>
              <w:rPr>
                <w:i/>
                <w:sz w:val="17"/>
              </w:rPr>
            </w:pPr>
            <w:r>
              <w:rPr>
                <w:i/>
                <w:w w:val="100"/>
                <w:sz w:val="17"/>
              </w:rPr>
              <w:t>6</w:t>
            </w:r>
          </w:p>
        </w:tc>
      </w:tr>
      <w:tr>
        <w:trPr>
          <w:trHeight w:val="452" w:hRule="atLeast"/>
        </w:trPr>
        <w:tc>
          <w:tcPr>
            <w:tcW w:w="5139" w:type="dxa"/>
            <w:tcBorders>
              <w:bottom w:val="single" w:sz="8" w:space="0" w:color="000000"/>
            </w:tcBorders>
          </w:tcPr>
          <w:p>
            <w:pPr>
              <w:pStyle w:val="TableParagraph"/>
              <w:spacing w:before="122"/>
              <w:ind w:left="76"/>
              <w:jc w:val="left"/>
              <w:rPr>
                <w:sz w:val="17"/>
              </w:rPr>
            </w:pPr>
            <w:r>
              <w:rPr>
                <w:sz w:val="17"/>
              </w:rPr>
              <w:t>EFFETTO SULL'INDEBITAMENTO NETTO</w:t>
            </w:r>
          </w:p>
        </w:tc>
        <w:tc>
          <w:tcPr>
            <w:tcW w:w="851" w:type="dxa"/>
            <w:tcBorders>
              <w:bottom w:val="single" w:sz="8" w:space="0" w:color="000000"/>
            </w:tcBorders>
          </w:tcPr>
          <w:p>
            <w:pPr>
              <w:pStyle w:val="TableParagraph"/>
              <w:spacing w:before="122"/>
              <w:ind w:right="211"/>
              <w:rPr>
                <w:sz w:val="17"/>
              </w:rPr>
            </w:pPr>
            <w:r>
              <w:rPr>
                <w:w w:val="100"/>
                <w:sz w:val="17"/>
              </w:rPr>
              <w:t>3</w:t>
            </w:r>
          </w:p>
        </w:tc>
        <w:tc>
          <w:tcPr>
            <w:tcW w:w="821" w:type="dxa"/>
            <w:tcBorders>
              <w:bottom w:val="single" w:sz="8" w:space="0" w:color="000000"/>
            </w:tcBorders>
          </w:tcPr>
          <w:p>
            <w:pPr>
              <w:pStyle w:val="TableParagraph"/>
              <w:spacing w:before="122"/>
              <w:ind w:right="213"/>
              <w:rPr>
                <w:sz w:val="17"/>
              </w:rPr>
            </w:pPr>
            <w:r>
              <w:rPr>
                <w:w w:val="100"/>
                <w:sz w:val="17"/>
              </w:rPr>
              <w:t>5</w:t>
            </w:r>
          </w:p>
        </w:tc>
        <w:tc>
          <w:tcPr>
            <w:tcW w:w="822" w:type="dxa"/>
            <w:tcBorders>
              <w:bottom w:val="single" w:sz="8" w:space="0" w:color="000000"/>
            </w:tcBorders>
          </w:tcPr>
          <w:p>
            <w:pPr>
              <w:pStyle w:val="TableParagraph"/>
              <w:spacing w:before="122"/>
              <w:ind w:right="214"/>
              <w:rPr>
                <w:sz w:val="17"/>
              </w:rPr>
            </w:pPr>
            <w:r>
              <w:rPr>
                <w:w w:val="100"/>
                <w:sz w:val="17"/>
              </w:rPr>
              <w:t>0</w:t>
            </w:r>
          </w:p>
        </w:tc>
        <w:tc>
          <w:tcPr>
            <w:tcW w:w="681" w:type="dxa"/>
            <w:tcBorders>
              <w:bottom w:val="single" w:sz="8" w:space="0" w:color="000000"/>
            </w:tcBorders>
          </w:tcPr>
          <w:p>
            <w:pPr>
              <w:pStyle w:val="TableParagraph"/>
              <w:spacing w:before="122"/>
              <w:ind w:right="74"/>
              <w:rPr>
                <w:sz w:val="17"/>
              </w:rPr>
            </w:pPr>
            <w:r>
              <w:rPr>
                <w:w w:val="100"/>
                <w:sz w:val="17"/>
              </w:rPr>
              <w:t>0</w:t>
            </w:r>
          </w:p>
        </w:tc>
      </w:tr>
      <w:tr>
        <w:trPr>
          <w:trHeight w:val="243" w:hRule="atLeast"/>
        </w:trPr>
        <w:tc>
          <w:tcPr>
            <w:tcW w:w="5139" w:type="dxa"/>
            <w:tcBorders>
              <w:top w:val="single" w:sz="8" w:space="0" w:color="000000"/>
              <w:bottom w:val="single" w:sz="12" w:space="0" w:color="086939"/>
            </w:tcBorders>
          </w:tcPr>
          <w:p>
            <w:pPr>
              <w:pStyle w:val="TableParagraph"/>
              <w:spacing w:before="9"/>
              <w:ind w:left="76"/>
              <w:jc w:val="left"/>
              <w:rPr>
                <w:sz w:val="17"/>
              </w:rPr>
            </w:pPr>
            <w:r>
              <w:rPr>
                <w:sz w:val="17"/>
              </w:rPr>
              <w:t>Nota: eventuali imprecisioni derivano da arrotondamenti.</w:t>
            </w:r>
          </w:p>
        </w:tc>
        <w:tc>
          <w:tcPr>
            <w:tcW w:w="851" w:type="dxa"/>
            <w:tcBorders>
              <w:top w:val="single" w:sz="8" w:space="0" w:color="000000"/>
              <w:bottom w:val="single" w:sz="12" w:space="0" w:color="086939"/>
            </w:tcBorders>
          </w:tcPr>
          <w:p>
            <w:pPr>
              <w:pStyle w:val="TableParagraph"/>
              <w:jc w:val="left"/>
              <w:rPr>
                <w:rFonts w:ascii="Times New Roman"/>
                <w:sz w:val="16"/>
              </w:rPr>
            </w:pPr>
          </w:p>
        </w:tc>
        <w:tc>
          <w:tcPr>
            <w:tcW w:w="821" w:type="dxa"/>
            <w:tcBorders>
              <w:top w:val="single" w:sz="8" w:space="0" w:color="000000"/>
              <w:bottom w:val="single" w:sz="12" w:space="0" w:color="086939"/>
            </w:tcBorders>
          </w:tcPr>
          <w:p>
            <w:pPr>
              <w:pStyle w:val="TableParagraph"/>
              <w:jc w:val="left"/>
              <w:rPr>
                <w:rFonts w:ascii="Times New Roman"/>
                <w:sz w:val="16"/>
              </w:rPr>
            </w:pPr>
          </w:p>
        </w:tc>
        <w:tc>
          <w:tcPr>
            <w:tcW w:w="822" w:type="dxa"/>
            <w:tcBorders>
              <w:top w:val="single" w:sz="8" w:space="0" w:color="000000"/>
              <w:bottom w:val="single" w:sz="12" w:space="0" w:color="086939"/>
            </w:tcBorders>
          </w:tcPr>
          <w:p>
            <w:pPr>
              <w:pStyle w:val="TableParagraph"/>
              <w:jc w:val="left"/>
              <w:rPr>
                <w:rFonts w:ascii="Times New Roman"/>
                <w:sz w:val="16"/>
              </w:rPr>
            </w:pPr>
          </w:p>
        </w:tc>
        <w:tc>
          <w:tcPr>
            <w:tcW w:w="681" w:type="dxa"/>
            <w:tcBorders>
              <w:top w:val="single" w:sz="8" w:space="0" w:color="000000"/>
              <w:bottom w:val="single" w:sz="12" w:space="0" w:color="086939"/>
            </w:tcBorders>
          </w:tcPr>
          <w:p>
            <w:pPr>
              <w:pStyle w:val="TableParagraph"/>
              <w:jc w:val="left"/>
              <w:rPr>
                <w:rFonts w:ascii="Times New Roman"/>
                <w:sz w:val="16"/>
              </w:rPr>
            </w:pPr>
          </w:p>
        </w:tc>
      </w:tr>
    </w:tbl>
    <w:p>
      <w:pPr>
        <w:spacing w:after="0"/>
        <w:jc w:val="left"/>
        <w:rPr>
          <w:rFonts w:ascii="Times New Roman"/>
          <w:sz w:val="16"/>
        </w:rPr>
        <w:sectPr>
          <w:pgSz w:w="11910" w:h="16840"/>
          <w:pgMar w:header="838" w:footer="866" w:top="1100" w:bottom="1060" w:left="114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5"/>
        </w:rPr>
      </w:pP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42"/>
        <w:gridCol w:w="686"/>
        <w:gridCol w:w="690"/>
        <w:gridCol w:w="691"/>
        <w:gridCol w:w="623"/>
      </w:tblGrid>
      <w:tr>
        <w:trPr>
          <w:trHeight w:val="441" w:hRule="atLeast"/>
        </w:trPr>
        <w:tc>
          <w:tcPr>
            <w:tcW w:w="9932" w:type="dxa"/>
            <w:gridSpan w:val="5"/>
            <w:shd w:val="clear" w:color="auto" w:fill="086939"/>
          </w:tcPr>
          <w:p>
            <w:pPr>
              <w:pStyle w:val="TableParagraph"/>
              <w:spacing w:before="17"/>
              <w:ind w:left="76"/>
              <w:jc w:val="left"/>
              <w:rPr>
                <w:rFonts w:ascii="Franklin Gothic Heavy"/>
                <w:b/>
                <w:sz w:val="17"/>
              </w:rPr>
            </w:pPr>
            <w:r>
              <w:rPr>
                <w:rFonts w:ascii="Franklin Gothic Heavy"/>
                <w:b/>
                <w:color w:val="EFEFEF"/>
                <w:sz w:val="17"/>
              </w:rPr>
              <w:t>TAVOLA III.13: EFFETTI DEL DECRETO LEGGE N. 34 DEL 2019 SULL'INDEBITAMENTO DELLA PA (</w:t>
            </w:r>
            <w:r>
              <w:rPr>
                <w:rFonts w:ascii="Franklin Gothic Heavy"/>
                <w:b/>
                <w:color w:val="FFFFFF"/>
                <w:sz w:val="17"/>
              </w:rPr>
              <w:t>valori in milioni; al lordo degli</w:t>
            </w:r>
          </w:p>
          <w:p>
            <w:pPr>
              <w:pStyle w:val="TableParagraph"/>
              <w:spacing w:before="1"/>
              <w:ind w:left="76"/>
              <w:jc w:val="left"/>
              <w:rPr>
                <w:rFonts w:ascii="Franklin Gothic Heavy"/>
                <w:b/>
                <w:sz w:val="17"/>
              </w:rPr>
            </w:pPr>
            <w:r>
              <w:rPr>
                <w:rFonts w:ascii="Franklin Gothic Heavy"/>
                <w:b/>
                <w:color w:val="FFFFFF"/>
                <w:sz w:val="17"/>
              </w:rPr>
              <w:t>oneri riflessi)</w:t>
            </w:r>
          </w:p>
        </w:tc>
      </w:tr>
      <w:tr>
        <w:trPr>
          <w:trHeight w:val="188" w:hRule="atLeast"/>
        </w:trPr>
        <w:tc>
          <w:tcPr>
            <w:tcW w:w="7242" w:type="dxa"/>
            <w:tcBorders>
              <w:bottom w:val="single" w:sz="4" w:space="0" w:color="000000"/>
            </w:tcBorders>
          </w:tcPr>
          <w:p>
            <w:pPr>
              <w:pStyle w:val="TableParagraph"/>
              <w:jc w:val="left"/>
              <w:rPr>
                <w:rFonts w:ascii="Times New Roman"/>
                <w:sz w:val="12"/>
              </w:rPr>
            </w:pPr>
          </w:p>
        </w:tc>
        <w:tc>
          <w:tcPr>
            <w:tcW w:w="686" w:type="dxa"/>
            <w:tcBorders>
              <w:bottom w:val="single" w:sz="4" w:space="0" w:color="000000"/>
            </w:tcBorders>
          </w:tcPr>
          <w:p>
            <w:pPr>
              <w:pStyle w:val="TableParagraph"/>
              <w:spacing w:line="160" w:lineRule="exact"/>
              <w:ind w:right="135"/>
              <w:rPr>
                <w:sz w:val="17"/>
              </w:rPr>
            </w:pPr>
            <w:r>
              <w:rPr>
                <w:sz w:val="17"/>
              </w:rPr>
              <w:t>2019</w:t>
            </w:r>
          </w:p>
        </w:tc>
        <w:tc>
          <w:tcPr>
            <w:tcW w:w="690" w:type="dxa"/>
            <w:tcBorders>
              <w:bottom w:val="single" w:sz="4" w:space="0" w:color="000000"/>
            </w:tcBorders>
          </w:tcPr>
          <w:p>
            <w:pPr>
              <w:pStyle w:val="TableParagraph"/>
              <w:spacing w:line="160" w:lineRule="exact"/>
              <w:ind w:right="134"/>
              <w:rPr>
                <w:sz w:val="17"/>
              </w:rPr>
            </w:pPr>
            <w:r>
              <w:rPr>
                <w:sz w:val="17"/>
              </w:rPr>
              <w:t>2020</w:t>
            </w:r>
          </w:p>
        </w:tc>
        <w:tc>
          <w:tcPr>
            <w:tcW w:w="691" w:type="dxa"/>
            <w:tcBorders>
              <w:bottom w:val="single" w:sz="4" w:space="0" w:color="000000"/>
            </w:tcBorders>
          </w:tcPr>
          <w:p>
            <w:pPr>
              <w:pStyle w:val="TableParagraph"/>
              <w:spacing w:line="160" w:lineRule="exact"/>
              <w:ind w:right="136"/>
              <w:rPr>
                <w:sz w:val="17"/>
              </w:rPr>
            </w:pPr>
            <w:r>
              <w:rPr>
                <w:sz w:val="17"/>
              </w:rPr>
              <w:t>2021</w:t>
            </w:r>
          </w:p>
        </w:tc>
        <w:tc>
          <w:tcPr>
            <w:tcW w:w="623" w:type="dxa"/>
            <w:tcBorders>
              <w:bottom w:val="single" w:sz="4" w:space="0" w:color="000000"/>
            </w:tcBorders>
          </w:tcPr>
          <w:p>
            <w:pPr>
              <w:pStyle w:val="TableParagraph"/>
              <w:spacing w:line="160" w:lineRule="exact"/>
              <w:ind w:right="65"/>
              <w:rPr>
                <w:sz w:val="17"/>
              </w:rPr>
            </w:pPr>
            <w:r>
              <w:rPr>
                <w:sz w:val="17"/>
              </w:rPr>
              <w:t>2022</w:t>
            </w:r>
          </w:p>
        </w:tc>
      </w:tr>
      <w:tr>
        <w:trPr>
          <w:trHeight w:val="237" w:hRule="atLeast"/>
        </w:trPr>
        <w:tc>
          <w:tcPr>
            <w:tcW w:w="7242" w:type="dxa"/>
            <w:tcBorders>
              <w:top w:val="single" w:sz="4" w:space="0" w:color="000000"/>
            </w:tcBorders>
          </w:tcPr>
          <w:p>
            <w:pPr>
              <w:pStyle w:val="TableParagraph"/>
              <w:spacing w:line="167" w:lineRule="exact"/>
              <w:ind w:left="76"/>
              <w:jc w:val="left"/>
              <w:rPr>
                <w:sz w:val="16"/>
              </w:rPr>
            </w:pPr>
            <w:r>
              <w:rPr>
                <w:sz w:val="16"/>
              </w:rPr>
              <w:t>MAGGIORI RISORSE</w:t>
            </w:r>
          </w:p>
        </w:tc>
        <w:tc>
          <w:tcPr>
            <w:tcW w:w="686" w:type="dxa"/>
            <w:tcBorders>
              <w:top w:val="single" w:sz="4" w:space="0" w:color="000000"/>
            </w:tcBorders>
          </w:tcPr>
          <w:p>
            <w:pPr>
              <w:pStyle w:val="TableParagraph"/>
              <w:spacing w:line="167" w:lineRule="exact"/>
              <w:ind w:right="136"/>
              <w:rPr>
                <w:sz w:val="16"/>
              </w:rPr>
            </w:pPr>
            <w:r>
              <w:rPr>
                <w:sz w:val="16"/>
              </w:rPr>
              <w:t>694</w:t>
            </w:r>
          </w:p>
        </w:tc>
        <w:tc>
          <w:tcPr>
            <w:tcW w:w="690" w:type="dxa"/>
            <w:tcBorders>
              <w:top w:val="single" w:sz="4" w:space="0" w:color="000000"/>
            </w:tcBorders>
          </w:tcPr>
          <w:p>
            <w:pPr>
              <w:pStyle w:val="TableParagraph"/>
              <w:spacing w:line="167" w:lineRule="exact"/>
              <w:ind w:right="134"/>
              <w:rPr>
                <w:sz w:val="16"/>
              </w:rPr>
            </w:pPr>
            <w:r>
              <w:rPr>
                <w:sz w:val="16"/>
              </w:rPr>
              <w:t>1.100</w:t>
            </w:r>
          </w:p>
        </w:tc>
        <w:tc>
          <w:tcPr>
            <w:tcW w:w="691" w:type="dxa"/>
            <w:tcBorders>
              <w:top w:val="single" w:sz="4" w:space="0" w:color="000000"/>
            </w:tcBorders>
          </w:tcPr>
          <w:p>
            <w:pPr>
              <w:pStyle w:val="TableParagraph"/>
              <w:spacing w:line="167" w:lineRule="exact"/>
              <w:ind w:right="136"/>
              <w:rPr>
                <w:sz w:val="16"/>
              </w:rPr>
            </w:pPr>
            <w:r>
              <w:rPr>
                <w:sz w:val="16"/>
              </w:rPr>
              <w:t>1.403</w:t>
            </w:r>
          </w:p>
        </w:tc>
        <w:tc>
          <w:tcPr>
            <w:tcW w:w="623" w:type="dxa"/>
            <w:tcBorders>
              <w:top w:val="single" w:sz="4" w:space="0" w:color="000000"/>
            </w:tcBorders>
          </w:tcPr>
          <w:p>
            <w:pPr>
              <w:pStyle w:val="TableParagraph"/>
              <w:spacing w:line="167" w:lineRule="exact"/>
              <w:ind w:right="66"/>
              <w:rPr>
                <w:sz w:val="16"/>
              </w:rPr>
            </w:pPr>
            <w:r>
              <w:rPr>
                <w:sz w:val="16"/>
              </w:rPr>
              <w:t>1.175</w:t>
            </w:r>
          </w:p>
        </w:tc>
      </w:tr>
      <w:tr>
        <w:trPr>
          <w:trHeight w:val="249" w:hRule="atLeast"/>
        </w:trPr>
        <w:tc>
          <w:tcPr>
            <w:tcW w:w="7242" w:type="dxa"/>
          </w:tcPr>
          <w:p>
            <w:pPr>
              <w:pStyle w:val="TableParagraph"/>
              <w:spacing w:line="162" w:lineRule="exact" w:before="68"/>
              <w:ind w:left="76"/>
              <w:jc w:val="left"/>
              <w:rPr>
                <w:sz w:val="16"/>
              </w:rPr>
            </w:pPr>
            <w:r>
              <w:rPr>
                <w:sz w:val="16"/>
              </w:rPr>
              <w:t>Maggiori entrate</w:t>
            </w:r>
          </w:p>
        </w:tc>
        <w:tc>
          <w:tcPr>
            <w:tcW w:w="686" w:type="dxa"/>
          </w:tcPr>
          <w:p>
            <w:pPr>
              <w:pStyle w:val="TableParagraph"/>
              <w:spacing w:line="162" w:lineRule="exact" w:before="68"/>
              <w:ind w:right="135"/>
              <w:rPr>
                <w:sz w:val="16"/>
              </w:rPr>
            </w:pPr>
            <w:r>
              <w:rPr>
                <w:w w:val="100"/>
                <w:sz w:val="16"/>
              </w:rPr>
              <w:t>4</w:t>
            </w:r>
          </w:p>
        </w:tc>
        <w:tc>
          <w:tcPr>
            <w:tcW w:w="690" w:type="dxa"/>
          </w:tcPr>
          <w:p>
            <w:pPr>
              <w:pStyle w:val="TableParagraph"/>
              <w:spacing w:line="162" w:lineRule="exact" w:before="68"/>
              <w:ind w:right="135"/>
              <w:rPr>
                <w:sz w:val="16"/>
              </w:rPr>
            </w:pPr>
            <w:r>
              <w:rPr>
                <w:sz w:val="16"/>
              </w:rPr>
              <w:t>361</w:t>
            </w:r>
          </w:p>
        </w:tc>
        <w:tc>
          <w:tcPr>
            <w:tcW w:w="691" w:type="dxa"/>
          </w:tcPr>
          <w:p>
            <w:pPr>
              <w:pStyle w:val="TableParagraph"/>
              <w:spacing w:line="162" w:lineRule="exact" w:before="68"/>
              <w:ind w:right="137"/>
              <w:rPr>
                <w:sz w:val="16"/>
              </w:rPr>
            </w:pPr>
            <w:r>
              <w:rPr>
                <w:sz w:val="16"/>
              </w:rPr>
              <w:t>394</w:t>
            </w:r>
          </w:p>
        </w:tc>
        <w:tc>
          <w:tcPr>
            <w:tcW w:w="623" w:type="dxa"/>
          </w:tcPr>
          <w:p>
            <w:pPr>
              <w:pStyle w:val="TableParagraph"/>
              <w:spacing w:line="162" w:lineRule="exact" w:before="68"/>
              <w:ind w:right="66"/>
              <w:rPr>
                <w:sz w:val="16"/>
              </w:rPr>
            </w:pPr>
            <w:r>
              <w:rPr>
                <w:sz w:val="16"/>
              </w:rPr>
              <w:t>303</w:t>
            </w:r>
          </w:p>
        </w:tc>
      </w:tr>
      <w:tr>
        <w:trPr>
          <w:trHeight w:val="181" w:hRule="atLeast"/>
        </w:trPr>
        <w:tc>
          <w:tcPr>
            <w:tcW w:w="7242" w:type="dxa"/>
          </w:tcPr>
          <w:p>
            <w:pPr>
              <w:pStyle w:val="TableParagraph"/>
              <w:spacing w:line="160" w:lineRule="exact"/>
              <w:ind w:left="76"/>
              <w:jc w:val="left"/>
              <w:rPr>
                <w:i/>
                <w:sz w:val="16"/>
              </w:rPr>
            </w:pPr>
            <w:r>
              <w:rPr>
                <w:i/>
                <w:sz w:val="16"/>
              </w:rPr>
              <w:t>Revisione mini-IRES</w:t>
            </w:r>
          </w:p>
        </w:tc>
        <w:tc>
          <w:tcPr>
            <w:tcW w:w="686" w:type="dxa"/>
          </w:tcPr>
          <w:p>
            <w:pPr>
              <w:pStyle w:val="TableParagraph"/>
              <w:spacing w:line="160" w:lineRule="exact"/>
              <w:ind w:right="135"/>
              <w:rPr>
                <w:i/>
                <w:sz w:val="16"/>
              </w:rPr>
            </w:pPr>
            <w:r>
              <w:rPr>
                <w:i/>
                <w:w w:val="100"/>
                <w:sz w:val="16"/>
              </w:rPr>
              <w:t>0</w:t>
            </w:r>
          </w:p>
        </w:tc>
        <w:tc>
          <w:tcPr>
            <w:tcW w:w="690" w:type="dxa"/>
          </w:tcPr>
          <w:p>
            <w:pPr>
              <w:pStyle w:val="TableParagraph"/>
              <w:spacing w:line="160" w:lineRule="exact"/>
              <w:ind w:right="135"/>
              <w:rPr>
                <w:i/>
                <w:sz w:val="16"/>
              </w:rPr>
            </w:pPr>
            <w:r>
              <w:rPr>
                <w:i/>
                <w:sz w:val="16"/>
              </w:rPr>
              <w:t>217</w:t>
            </w:r>
          </w:p>
        </w:tc>
        <w:tc>
          <w:tcPr>
            <w:tcW w:w="691" w:type="dxa"/>
          </w:tcPr>
          <w:p>
            <w:pPr>
              <w:pStyle w:val="TableParagraph"/>
              <w:spacing w:line="160" w:lineRule="exact"/>
              <w:ind w:right="137"/>
              <w:rPr>
                <w:i/>
                <w:sz w:val="16"/>
              </w:rPr>
            </w:pPr>
            <w:r>
              <w:rPr>
                <w:i/>
                <w:sz w:val="16"/>
              </w:rPr>
              <w:t>259</w:t>
            </w:r>
          </w:p>
        </w:tc>
        <w:tc>
          <w:tcPr>
            <w:tcW w:w="623" w:type="dxa"/>
          </w:tcPr>
          <w:p>
            <w:pPr>
              <w:pStyle w:val="TableParagraph"/>
              <w:spacing w:line="160" w:lineRule="exact"/>
              <w:ind w:right="66"/>
              <w:rPr>
                <w:i/>
                <w:sz w:val="16"/>
              </w:rPr>
            </w:pPr>
            <w:r>
              <w:rPr>
                <w:i/>
                <w:sz w:val="16"/>
              </w:rPr>
              <w:t>169</w:t>
            </w:r>
          </w:p>
        </w:tc>
      </w:tr>
      <w:tr>
        <w:trPr>
          <w:trHeight w:val="363" w:hRule="atLeast"/>
        </w:trPr>
        <w:tc>
          <w:tcPr>
            <w:tcW w:w="7242" w:type="dxa"/>
          </w:tcPr>
          <w:p>
            <w:pPr>
              <w:pStyle w:val="TableParagraph"/>
              <w:spacing w:line="182" w:lineRule="exact"/>
              <w:ind w:left="76" w:right="357"/>
              <w:jc w:val="left"/>
              <w:rPr>
                <w:i/>
                <w:sz w:val="16"/>
              </w:rPr>
            </w:pPr>
            <w:r>
              <w:rPr>
                <w:i/>
                <w:sz w:val="16"/>
              </w:rPr>
              <w:t>Recupero gettito imposta di bollo virtuale su fatture elettroniche attraverso procedure automatizzate </w:t>
            </w:r>
            <w:r>
              <w:rPr>
                <w:i/>
                <w:sz w:val="16"/>
              </w:rPr>
              <w:t>Agenzia delle entrate</w:t>
            </w:r>
          </w:p>
        </w:tc>
        <w:tc>
          <w:tcPr>
            <w:tcW w:w="686" w:type="dxa"/>
          </w:tcPr>
          <w:p>
            <w:pPr>
              <w:pStyle w:val="TableParagraph"/>
              <w:spacing w:before="9"/>
              <w:jc w:val="left"/>
              <w:rPr>
                <w:rFonts w:ascii="Times New Roman"/>
                <w:sz w:val="15"/>
              </w:rPr>
            </w:pPr>
          </w:p>
          <w:p>
            <w:pPr>
              <w:pStyle w:val="TableParagraph"/>
              <w:spacing w:line="162" w:lineRule="exact"/>
              <w:ind w:right="135"/>
              <w:rPr>
                <w:i/>
                <w:sz w:val="16"/>
              </w:rPr>
            </w:pPr>
            <w:r>
              <w:rPr>
                <w:i/>
                <w:w w:val="100"/>
                <w:sz w:val="16"/>
              </w:rPr>
              <w:t>0</w:t>
            </w:r>
          </w:p>
        </w:tc>
        <w:tc>
          <w:tcPr>
            <w:tcW w:w="690" w:type="dxa"/>
          </w:tcPr>
          <w:p>
            <w:pPr>
              <w:pStyle w:val="TableParagraph"/>
              <w:spacing w:before="9"/>
              <w:jc w:val="left"/>
              <w:rPr>
                <w:rFonts w:ascii="Times New Roman"/>
                <w:sz w:val="15"/>
              </w:rPr>
            </w:pPr>
          </w:p>
          <w:p>
            <w:pPr>
              <w:pStyle w:val="TableParagraph"/>
              <w:spacing w:line="162" w:lineRule="exact"/>
              <w:ind w:right="135"/>
              <w:rPr>
                <w:i/>
                <w:sz w:val="16"/>
              </w:rPr>
            </w:pPr>
            <w:r>
              <w:rPr>
                <w:i/>
                <w:sz w:val="16"/>
              </w:rPr>
              <w:t>57</w:t>
            </w:r>
          </w:p>
        </w:tc>
        <w:tc>
          <w:tcPr>
            <w:tcW w:w="691" w:type="dxa"/>
          </w:tcPr>
          <w:p>
            <w:pPr>
              <w:pStyle w:val="TableParagraph"/>
              <w:spacing w:before="9"/>
              <w:jc w:val="left"/>
              <w:rPr>
                <w:rFonts w:ascii="Times New Roman"/>
                <w:sz w:val="15"/>
              </w:rPr>
            </w:pPr>
          </w:p>
          <w:p>
            <w:pPr>
              <w:pStyle w:val="TableParagraph"/>
              <w:spacing w:line="162" w:lineRule="exact"/>
              <w:ind w:right="137"/>
              <w:rPr>
                <w:i/>
                <w:sz w:val="16"/>
              </w:rPr>
            </w:pPr>
            <w:r>
              <w:rPr>
                <w:i/>
                <w:sz w:val="16"/>
              </w:rPr>
              <w:t>76</w:t>
            </w:r>
          </w:p>
        </w:tc>
        <w:tc>
          <w:tcPr>
            <w:tcW w:w="623" w:type="dxa"/>
          </w:tcPr>
          <w:p>
            <w:pPr>
              <w:pStyle w:val="TableParagraph"/>
              <w:spacing w:before="9"/>
              <w:jc w:val="left"/>
              <w:rPr>
                <w:rFonts w:ascii="Times New Roman"/>
                <w:sz w:val="15"/>
              </w:rPr>
            </w:pPr>
          </w:p>
          <w:p>
            <w:pPr>
              <w:pStyle w:val="TableParagraph"/>
              <w:spacing w:line="162" w:lineRule="exact"/>
              <w:ind w:right="66"/>
              <w:rPr>
                <w:i/>
                <w:sz w:val="16"/>
              </w:rPr>
            </w:pPr>
            <w:r>
              <w:rPr>
                <w:i/>
                <w:sz w:val="16"/>
              </w:rPr>
              <w:t>76</w:t>
            </w:r>
          </w:p>
        </w:tc>
      </w:tr>
      <w:tr>
        <w:trPr>
          <w:trHeight w:val="181" w:hRule="atLeast"/>
        </w:trPr>
        <w:tc>
          <w:tcPr>
            <w:tcW w:w="7242" w:type="dxa"/>
          </w:tcPr>
          <w:p>
            <w:pPr>
              <w:pStyle w:val="TableParagraph"/>
              <w:spacing w:line="160" w:lineRule="exact"/>
              <w:ind w:left="76"/>
              <w:jc w:val="left"/>
              <w:rPr>
                <w:i/>
                <w:sz w:val="16"/>
              </w:rPr>
            </w:pPr>
            <w:r>
              <w:rPr>
                <w:i/>
                <w:sz w:val="16"/>
              </w:rPr>
              <w:t>Incentivo fiscale per promuovere la crescita dell'Italia meridionale - canone annuo DTA e effetti fiscali</w:t>
            </w:r>
          </w:p>
        </w:tc>
        <w:tc>
          <w:tcPr>
            <w:tcW w:w="686" w:type="dxa"/>
          </w:tcPr>
          <w:p>
            <w:pPr>
              <w:pStyle w:val="TableParagraph"/>
              <w:spacing w:line="160" w:lineRule="exact"/>
              <w:ind w:right="135"/>
              <w:rPr>
                <w:i/>
                <w:sz w:val="16"/>
              </w:rPr>
            </w:pPr>
            <w:r>
              <w:rPr>
                <w:i/>
                <w:w w:val="100"/>
                <w:sz w:val="16"/>
              </w:rPr>
              <w:t>0</w:t>
            </w:r>
          </w:p>
        </w:tc>
        <w:tc>
          <w:tcPr>
            <w:tcW w:w="690" w:type="dxa"/>
          </w:tcPr>
          <w:p>
            <w:pPr>
              <w:pStyle w:val="TableParagraph"/>
              <w:spacing w:line="160" w:lineRule="exact"/>
              <w:ind w:right="135"/>
              <w:rPr>
                <w:i/>
                <w:sz w:val="16"/>
              </w:rPr>
            </w:pPr>
            <w:r>
              <w:rPr>
                <w:i/>
                <w:sz w:val="16"/>
              </w:rPr>
              <w:t>67</w:t>
            </w:r>
          </w:p>
        </w:tc>
        <w:tc>
          <w:tcPr>
            <w:tcW w:w="691" w:type="dxa"/>
          </w:tcPr>
          <w:p>
            <w:pPr>
              <w:pStyle w:val="TableParagraph"/>
              <w:spacing w:line="160" w:lineRule="exact"/>
              <w:ind w:right="137"/>
              <w:rPr>
                <w:i/>
                <w:sz w:val="16"/>
              </w:rPr>
            </w:pPr>
            <w:r>
              <w:rPr>
                <w:i/>
                <w:sz w:val="16"/>
              </w:rPr>
              <w:t>41</w:t>
            </w:r>
          </w:p>
        </w:tc>
        <w:tc>
          <w:tcPr>
            <w:tcW w:w="623" w:type="dxa"/>
          </w:tcPr>
          <w:p>
            <w:pPr>
              <w:pStyle w:val="TableParagraph"/>
              <w:spacing w:line="160" w:lineRule="exact"/>
              <w:ind w:right="66"/>
              <w:rPr>
                <w:i/>
                <w:sz w:val="16"/>
              </w:rPr>
            </w:pPr>
            <w:r>
              <w:rPr>
                <w:i/>
                <w:sz w:val="16"/>
              </w:rPr>
              <w:t>40</w:t>
            </w:r>
          </w:p>
        </w:tc>
      </w:tr>
      <w:tr>
        <w:trPr>
          <w:trHeight w:val="181" w:hRule="atLeast"/>
        </w:trPr>
        <w:tc>
          <w:tcPr>
            <w:tcW w:w="7242" w:type="dxa"/>
          </w:tcPr>
          <w:p>
            <w:pPr>
              <w:pStyle w:val="TableParagraph"/>
              <w:spacing w:line="161" w:lineRule="exact"/>
              <w:ind w:left="76"/>
              <w:jc w:val="left"/>
              <w:rPr>
                <w:i/>
                <w:sz w:val="16"/>
              </w:rPr>
            </w:pPr>
            <w:r>
              <w:rPr>
                <w:i/>
                <w:sz w:val="16"/>
              </w:rPr>
              <w:t>Estensione del sisma bonus agli immobili situati nelle zone classificate "a rischio sismico 2 e 3"</w:t>
            </w:r>
          </w:p>
        </w:tc>
        <w:tc>
          <w:tcPr>
            <w:tcW w:w="686" w:type="dxa"/>
          </w:tcPr>
          <w:p>
            <w:pPr>
              <w:pStyle w:val="TableParagraph"/>
              <w:spacing w:line="161" w:lineRule="exact"/>
              <w:ind w:right="135"/>
              <w:rPr>
                <w:i/>
                <w:sz w:val="16"/>
              </w:rPr>
            </w:pPr>
            <w:r>
              <w:rPr>
                <w:i/>
                <w:w w:val="100"/>
                <w:sz w:val="16"/>
              </w:rPr>
              <w:t>1</w:t>
            </w:r>
          </w:p>
        </w:tc>
        <w:tc>
          <w:tcPr>
            <w:tcW w:w="690" w:type="dxa"/>
          </w:tcPr>
          <w:p>
            <w:pPr>
              <w:pStyle w:val="TableParagraph"/>
              <w:spacing w:line="161" w:lineRule="exact"/>
              <w:ind w:right="134"/>
              <w:rPr>
                <w:i/>
                <w:sz w:val="16"/>
              </w:rPr>
            </w:pPr>
            <w:r>
              <w:rPr>
                <w:i/>
                <w:w w:val="100"/>
                <w:sz w:val="16"/>
              </w:rPr>
              <w:t>9</w:t>
            </w:r>
          </w:p>
        </w:tc>
        <w:tc>
          <w:tcPr>
            <w:tcW w:w="691" w:type="dxa"/>
          </w:tcPr>
          <w:p>
            <w:pPr>
              <w:pStyle w:val="TableParagraph"/>
              <w:spacing w:line="161" w:lineRule="exact"/>
              <w:ind w:right="136"/>
              <w:rPr>
                <w:i/>
                <w:sz w:val="16"/>
              </w:rPr>
            </w:pPr>
            <w:r>
              <w:rPr>
                <w:i/>
                <w:w w:val="100"/>
                <w:sz w:val="16"/>
              </w:rPr>
              <w:t>5</w:t>
            </w:r>
          </w:p>
        </w:tc>
        <w:tc>
          <w:tcPr>
            <w:tcW w:w="623" w:type="dxa"/>
          </w:tcPr>
          <w:p>
            <w:pPr>
              <w:pStyle w:val="TableParagraph"/>
              <w:spacing w:line="161" w:lineRule="exact"/>
              <w:ind w:right="66"/>
              <w:rPr>
                <w:i/>
                <w:sz w:val="16"/>
              </w:rPr>
            </w:pPr>
            <w:r>
              <w:rPr>
                <w:i/>
                <w:w w:val="100"/>
                <w:sz w:val="16"/>
              </w:rPr>
              <w:t>4</w:t>
            </w:r>
          </w:p>
        </w:tc>
      </w:tr>
      <w:tr>
        <w:trPr>
          <w:trHeight w:val="249" w:hRule="atLeast"/>
        </w:trPr>
        <w:tc>
          <w:tcPr>
            <w:tcW w:w="7242" w:type="dxa"/>
          </w:tcPr>
          <w:p>
            <w:pPr>
              <w:pStyle w:val="TableParagraph"/>
              <w:ind w:left="76"/>
              <w:jc w:val="left"/>
              <w:rPr>
                <w:i/>
                <w:sz w:val="16"/>
              </w:rPr>
            </w:pPr>
            <w:r>
              <w:rPr>
                <w:i/>
                <w:sz w:val="16"/>
              </w:rPr>
              <w:t>Altro</w:t>
            </w:r>
          </w:p>
        </w:tc>
        <w:tc>
          <w:tcPr>
            <w:tcW w:w="686" w:type="dxa"/>
          </w:tcPr>
          <w:p>
            <w:pPr>
              <w:pStyle w:val="TableParagraph"/>
              <w:ind w:right="135"/>
              <w:rPr>
                <w:i/>
                <w:sz w:val="16"/>
              </w:rPr>
            </w:pPr>
            <w:r>
              <w:rPr>
                <w:i/>
                <w:w w:val="100"/>
                <w:sz w:val="16"/>
              </w:rPr>
              <w:t>3</w:t>
            </w:r>
          </w:p>
        </w:tc>
        <w:tc>
          <w:tcPr>
            <w:tcW w:w="690" w:type="dxa"/>
          </w:tcPr>
          <w:p>
            <w:pPr>
              <w:pStyle w:val="TableParagraph"/>
              <w:ind w:right="135"/>
              <w:rPr>
                <w:i/>
                <w:sz w:val="16"/>
              </w:rPr>
            </w:pPr>
            <w:r>
              <w:rPr>
                <w:i/>
                <w:sz w:val="16"/>
              </w:rPr>
              <w:t>11</w:t>
            </w:r>
          </w:p>
        </w:tc>
        <w:tc>
          <w:tcPr>
            <w:tcW w:w="691" w:type="dxa"/>
          </w:tcPr>
          <w:p>
            <w:pPr>
              <w:pStyle w:val="TableParagraph"/>
              <w:ind w:right="137"/>
              <w:rPr>
                <w:i/>
                <w:sz w:val="16"/>
              </w:rPr>
            </w:pPr>
            <w:r>
              <w:rPr>
                <w:i/>
                <w:sz w:val="16"/>
              </w:rPr>
              <w:t>13</w:t>
            </w:r>
          </w:p>
        </w:tc>
        <w:tc>
          <w:tcPr>
            <w:tcW w:w="623" w:type="dxa"/>
          </w:tcPr>
          <w:p>
            <w:pPr>
              <w:pStyle w:val="TableParagraph"/>
              <w:ind w:right="66"/>
              <w:rPr>
                <w:i/>
                <w:sz w:val="16"/>
              </w:rPr>
            </w:pPr>
            <w:r>
              <w:rPr>
                <w:i/>
                <w:sz w:val="16"/>
              </w:rPr>
              <w:t>15</w:t>
            </w:r>
          </w:p>
        </w:tc>
      </w:tr>
      <w:tr>
        <w:trPr>
          <w:trHeight w:val="249" w:hRule="atLeast"/>
        </w:trPr>
        <w:tc>
          <w:tcPr>
            <w:tcW w:w="7242" w:type="dxa"/>
          </w:tcPr>
          <w:p>
            <w:pPr>
              <w:pStyle w:val="TableParagraph"/>
              <w:spacing w:line="162" w:lineRule="exact" w:before="68"/>
              <w:ind w:left="76"/>
              <w:jc w:val="left"/>
              <w:rPr>
                <w:sz w:val="16"/>
              </w:rPr>
            </w:pPr>
            <w:r>
              <w:rPr>
                <w:sz w:val="16"/>
              </w:rPr>
              <w:t>Minori spese</w:t>
            </w:r>
          </w:p>
        </w:tc>
        <w:tc>
          <w:tcPr>
            <w:tcW w:w="686" w:type="dxa"/>
          </w:tcPr>
          <w:p>
            <w:pPr>
              <w:pStyle w:val="TableParagraph"/>
              <w:spacing w:line="162" w:lineRule="exact" w:before="68"/>
              <w:ind w:right="136"/>
              <w:rPr>
                <w:sz w:val="16"/>
              </w:rPr>
            </w:pPr>
            <w:r>
              <w:rPr>
                <w:sz w:val="16"/>
              </w:rPr>
              <w:t>689</w:t>
            </w:r>
          </w:p>
        </w:tc>
        <w:tc>
          <w:tcPr>
            <w:tcW w:w="690" w:type="dxa"/>
          </w:tcPr>
          <w:p>
            <w:pPr>
              <w:pStyle w:val="TableParagraph"/>
              <w:spacing w:line="162" w:lineRule="exact" w:before="68"/>
              <w:ind w:right="135"/>
              <w:rPr>
                <w:sz w:val="16"/>
              </w:rPr>
            </w:pPr>
            <w:r>
              <w:rPr>
                <w:sz w:val="16"/>
              </w:rPr>
              <w:t>740</w:t>
            </w:r>
          </w:p>
        </w:tc>
        <w:tc>
          <w:tcPr>
            <w:tcW w:w="691" w:type="dxa"/>
          </w:tcPr>
          <w:p>
            <w:pPr>
              <w:pStyle w:val="TableParagraph"/>
              <w:spacing w:line="162" w:lineRule="exact" w:before="68"/>
              <w:ind w:right="136"/>
              <w:rPr>
                <w:sz w:val="16"/>
              </w:rPr>
            </w:pPr>
            <w:r>
              <w:rPr>
                <w:sz w:val="16"/>
              </w:rPr>
              <w:t>1.009</w:t>
            </w:r>
          </w:p>
        </w:tc>
        <w:tc>
          <w:tcPr>
            <w:tcW w:w="623" w:type="dxa"/>
          </w:tcPr>
          <w:p>
            <w:pPr>
              <w:pStyle w:val="TableParagraph"/>
              <w:spacing w:line="162" w:lineRule="exact" w:before="68"/>
              <w:ind w:right="66"/>
              <w:rPr>
                <w:sz w:val="16"/>
              </w:rPr>
            </w:pPr>
            <w:r>
              <w:rPr>
                <w:sz w:val="16"/>
              </w:rPr>
              <w:t>872</w:t>
            </w:r>
          </w:p>
        </w:tc>
      </w:tr>
      <w:tr>
        <w:trPr>
          <w:trHeight w:val="181" w:hRule="atLeast"/>
        </w:trPr>
        <w:tc>
          <w:tcPr>
            <w:tcW w:w="7242" w:type="dxa"/>
          </w:tcPr>
          <w:p>
            <w:pPr>
              <w:pStyle w:val="TableParagraph"/>
              <w:spacing w:line="160" w:lineRule="exact"/>
              <w:ind w:left="76"/>
              <w:jc w:val="left"/>
              <w:rPr>
                <w:i/>
                <w:sz w:val="16"/>
              </w:rPr>
            </w:pPr>
            <w:r>
              <w:rPr>
                <w:i/>
                <w:sz w:val="16"/>
              </w:rPr>
              <w:t>Fondo per il capitale immateriale, la competitività e la produttività</w:t>
            </w:r>
          </w:p>
        </w:tc>
        <w:tc>
          <w:tcPr>
            <w:tcW w:w="686" w:type="dxa"/>
          </w:tcPr>
          <w:p>
            <w:pPr>
              <w:pStyle w:val="TableParagraph"/>
              <w:spacing w:line="160" w:lineRule="exact"/>
              <w:ind w:right="136"/>
              <w:rPr>
                <w:i/>
                <w:sz w:val="16"/>
              </w:rPr>
            </w:pPr>
            <w:r>
              <w:rPr>
                <w:i/>
                <w:sz w:val="16"/>
              </w:rPr>
              <w:t>10</w:t>
            </w:r>
          </w:p>
        </w:tc>
        <w:tc>
          <w:tcPr>
            <w:tcW w:w="690" w:type="dxa"/>
          </w:tcPr>
          <w:p>
            <w:pPr>
              <w:pStyle w:val="TableParagraph"/>
              <w:spacing w:line="160" w:lineRule="exact"/>
              <w:ind w:right="135"/>
              <w:rPr>
                <w:i/>
                <w:sz w:val="16"/>
              </w:rPr>
            </w:pPr>
            <w:r>
              <w:rPr>
                <w:i/>
                <w:sz w:val="16"/>
              </w:rPr>
              <w:t>120</w:t>
            </w:r>
          </w:p>
        </w:tc>
        <w:tc>
          <w:tcPr>
            <w:tcW w:w="691" w:type="dxa"/>
          </w:tcPr>
          <w:p>
            <w:pPr>
              <w:pStyle w:val="TableParagraph"/>
              <w:spacing w:line="160" w:lineRule="exact"/>
              <w:ind w:right="137"/>
              <w:rPr>
                <w:i/>
                <w:sz w:val="16"/>
              </w:rPr>
            </w:pPr>
            <w:r>
              <w:rPr>
                <w:i/>
                <w:sz w:val="16"/>
              </w:rPr>
              <w:t>245</w:t>
            </w:r>
          </w:p>
        </w:tc>
        <w:tc>
          <w:tcPr>
            <w:tcW w:w="623" w:type="dxa"/>
          </w:tcPr>
          <w:p>
            <w:pPr>
              <w:pStyle w:val="TableParagraph"/>
              <w:spacing w:line="160" w:lineRule="exact"/>
              <w:ind w:right="66"/>
              <w:rPr>
                <w:i/>
                <w:sz w:val="16"/>
              </w:rPr>
            </w:pPr>
            <w:r>
              <w:rPr>
                <w:i/>
                <w:sz w:val="16"/>
              </w:rPr>
              <w:t>245</w:t>
            </w:r>
          </w:p>
        </w:tc>
      </w:tr>
      <w:tr>
        <w:trPr>
          <w:trHeight w:val="181" w:hRule="atLeast"/>
        </w:trPr>
        <w:tc>
          <w:tcPr>
            <w:tcW w:w="7242" w:type="dxa"/>
          </w:tcPr>
          <w:p>
            <w:pPr>
              <w:pStyle w:val="TableParagraph"/>
              <w:spacing w:line="161" w:lineRule="exact"/>
              <w:ind w:left="76"/>
              <w:jc w:val="left"/>
              <w:rPr>
                <w:i/>
                <w:sz w:val="16"/>
              </w:rPr>
            </w:pPr>
            <w:r>
              <w:rPr>
                <w:i/>
                <w:sz w:val="16"/>
              </w:rPr>
              <w:t>Fondo per interventi strutturali di politica economica</w:t>
            </w:r>
          </w:p>
        </w:tc>
        <w:tc>
          <w:tcPr>
            <w:tcW w:w="686" w:type="dxa"/>
          </w:tcPr>
          <w:p>
            <w:pPr>
              <w:pStyle w:val="TableParagraph"/>
              <w:spacing w:line="161" w:lineRule="exact"/>
              <w:ind w:right="136"/>
              <w:rPr>
                <w:i/>
                <w:sz w:val="16"/>
              </w:rPr>
            </w:pPr>
            <w:r>
              <w:rPr>
                <w:i/>
                <w:sz w:val="16"/>
              </w:rPr>
              <w:t>54</w:t>
            </w:r>
          </w:p>
        </w:tc>
        <w:tc>
          <w:tcPr>
            <w:tcW w:w="690" w:type="dxa"/>
          </w:tcPr>
          <w:p>
            <w:pPr>
              <w:pStyle w:val="TableParagraph"/>
              <w:spacing w:line="161" w:lineRule="exact"/>
              <w:ind w:right="135"/>
              <w:rPr>
                <w:i/>
                <w:sz w:val="16"/>
              </w:rPr>
            </w:pPr>
            <w:r>
              <w:rPr>
                <w:i/>
                <w:sz w:val="16"/>
              </w:rPr>
              <w:t>95</w:t>
            </w:r>
          </w:p>
        </w:tc>
        <w:tc>
          <w:tcPr>
            <w:tcW w:w="691" w:type="dxa"/>
          </w:tcPr>
          <w:p>
            <w:pPr>
              <w:pStyle w:val="TableParagraph"/>
              <w:spacing w:line="161" w:lineRule="exact"/>
              <w:ind w:right="137"/>
              <w:rPr>
                <w:i/>
                <w:sz w:val="16"/>
              </w:rPr>
            </w:pPr>
            <w:r>
              <w:rPr>
                <w:i/>
                <w:sz w:val="16"/>
              </w:rPr>
              <w:t>112</w:t>
            </w:r>
          </w:p>
        </w:tc>
        <w:tc>
          <w:tcPr>
            <w:tcW w:w="623" w:type="dxa"/>
          </w:tcPr>
          <w:p>
            <w:pPr>
              <w:pStyle w:val="TableParagraph"/>
              <w:spacing w:line="161" w:lineRule="exact"/>
              <w:ind w:right="66"/>
              <w:rPr>
                <w:i/>
                <w:sz w:val="16"/>
              </w:rPr>
            </w:pPr>
            <w:r>
              <w:rPr>
                <w:i/>
                <w:sz w:val="16"/>
              </w:rPr>
              <w:t>193</w:t>
            </w:r>
          </w:p>
        </w:tc>
      </w:tr>
      <w:tr>
        <w:trPr>
          <w:trHeight w:val="181" w:hRule="atLeast"/>
        </w:trPr>
        <w:tc>
          <w:tcPr>
            <w:tcW w:w="7242" w:type="dxa"/>
          </w:tcPr>
          <w:p>
            <w:pPr>
              <w:pStyle w:val="TableParagraph"/>
              <w:spacing w:line="160" w:lineRule="exact"/>
              <w:ind w:left="76"/>
              <w:jc w:val="left"/>
              <w:rPr>
                <w:i/>
                <w:sz w:val="16"/>
              </w:rPr>
            </w:pPr>
            <w:r>
              <w:rPr>
                <w:i/>
                <w:sz w:val="16"/>
              </w:rPr>
              <w:t>Fondi per il riaccertamento dei residui passivi perenti</w:t>
            </w:r>
          </w:p>
        </w:tc>
        <w:tc>
          <w:tcPr>
            <w:tcW w:w="686" w:type="dxa"/>
          </w:tcPr>
          <w:p>
            <w:pPr>
              <w:pStyle w:val="TableParagraph"/>
              <w:spacing w:line="160" w:lineRule="exact"/>
              <w:ind w:right="136"/>
              <w:rPr>
                <w:i/>
                <w:sz w:val="16"/>
              </w:rPr>
            </w:pPr>
            <w:r>
              <w:rPr>
                <w:i/>
                <w:sz w:val="16"/>
              </w:rPr>
              <w:t>43</w:t>
            </w:r>
          </w:p>
        </w:tc>
        <w:tc>
          <w:tcPr>
            <w:tcW w:w="690" w:type="dxa"/>
          </w:tcPr>
          <w:p>
            <w:pPr>
              <w:pStyle w:val="TableParagraph"/>
              <w:spacing w:line="160" w:lineRule="exact"/>
              <w:ind w:right="135"/>
              <w:rPr>
                <w:i/>
                <w:sz w:val="16"/>
              </w:rPr>
            </w:pPr>
            <w:r>
              <w:rPr>
                <w:i/>
                <w:sz w:val="16"/>
              </w:rPr>
              <w:t>118</w:t>
            </w:r>
          </w:p>
        </w:tc>
        <w:tc>
          <w:tcPr>
            <w:tcW w:w="691" w:type="dxa"/>
          </w:tcPr>
          <w:p>
            <w:pPr>
              <w:pStyle w:val="TableParagraph"/>
              <w:spacing w:line="160" w:lineRule="exact"/>
              <w:ind w:right="137"/>
              <w:rPr>
                <w:i/>
                <w:sz w:val="16"/>
              </w:rPr>
            </w:pPr>
            <w:r>
              <w:rPr>
                <w:i/>
                <w:sz w:val="16"/>
              </w:rPr>
              <w:t>140</w:t>
            </w:r>
          </w:p>
        </w:tc>
        <w:tc>
          <w:tcPr>
            <w:tcW w:w="623" w:type="dxa"/>
          </w:tcPr>
          <w:p>
            <w:pPr>
              <w:pStyle w:val="TableParagraph"/>
              <w:spacing w:line="160" w:lineRule="exact"/>
              <w:ind w:right="66"/>
              <w:rPr>
                <w:i/>
                <w:sz w:val="16"/>
              </w:rPr>
            </w:pPr>
            <w:r>
              <w:rPr>
                <w:i/>
                <w:sz w:val="16"/>
              </w:rPr>
              <w:t>40</w:t>
            </w:r>
          </w:p>
        </w:tc>
      </w:tr>
      <w:tr>
        <w:trPr>
          <w:trHeight w:val="181" w:hRule="atLeast"/>
        </w:trPr>
        <w:tc>
          <w:tcPr>
            <w:tcW w:w="7242" w:type="dxa"/>
          </w:tcPr>
          <w:p>
            <w:pPr>
              <w:pStyle w:val="TableParagraph"/>
              <w:spacing w:line="161" w:lineRule="exact"/>
              <w:ind w:left="76"/>
              <w:jc w:val="left"/>
              <w:rPr>
                <w:i/>
                <w:sz w:val="16"/>
              </w:rPr>
            </w:pPr>
            <w:r>
              <w:rPr>
                <w:i/>
                <w:sz w:val="16"/>
              </w:rPr>
              <w:t>Fondo per l'attuazione del programma di Governo</w:t>
            </w:r>
          </w:p>
        </w:tc>
        <w:tc>
          <w:tcPr>
            <w:tcW w:w="686" w:type="dxa"/>
          </w:tcPr>
          <w:p>
            <w:pPr>
              <w:pStyle w:val="TableParagraph"/>
              <w:spacing w:line="161" w:lineRule="exact"/>
              <w:ind w:right="136"/>
              <w:rPr>
                <w:i/>
                <w:sz w:val="16"/>
              </w:rPr>
            </w:pPr>
            <w:r>
              <w:rPr>
                <w:i/>
                <w:sz w:val="16"/>
              </w:rPr>
              <w:t>53</w:t>
            </w:r>
          </w:p>
        </w:tc>
        <w:tc>
          <w:tcPr>
            <w:tcW w:w="690" w:type="dxa"/>
          </w:tcPr>
          <w:p>
            <w:pPr>
              <w:pStyle w:val="TableParagraph"/>
              <w:spacing w:line="161" w:lineRule="exact"/>
              <w:ind w:right="135"/>
              <w:rPr>
                <w:i/>
                <w:sz w:val="16"/>
              </w:rPr>
            </w:pPr>
            <w:r>
              <w:rPr>
                <w:i/>
                <w:sz w:val="16"/>
              </w:rPr>
              <w:t>86</w:t>
            </w:r>
          </w:p>
        </w:tc>
        <w:tc>
          <w:tcPr>
            <w:tcW w:w="691" w:type="dxa"/>
          </w:tcPr>
          <w:p>
            <w:pPr>
              <w:pStyle w:val="TableParagraph"/>
              <w:spacing w:line="161" w:lineRule="exact"/>
              <w:ind w:right="137"/>
              <w:rPr>
                <w:i/>
                <w:sz w:val="16"/>
              </w:rPr>
            </w:pPr>
            <w:r>
              <w:rPr>
                <w:i/>
                <w:sz w:val="16"/>
              </w:rPr>
              <w:t>143</w:t>
            </w:r>
          </w:p>
        </w:tc>
        <w:tc>
          <w:tcPr>
            <w:tcW w:w="623" w:type="dxa"/>
          </w:tcPr>
          <w:p>
            <w:pPr>
              <w:pStyle w:val="TableParagraph"/>
              <w:spacing w:line="161" w:lineRule="exact"/>
              <w:ind w:right="66"/>
              <w:rPr>
                <w:i/>
                <w:sz w:val="16"/>
              </w:rPr>
            </w:pPr>
            <w:r>
              <w:rPr>
                <w:i/>
                <w:w w:val="100"/>
                <w:sz w:val="16"/>
              </w:rPr>
              <w:t>6</w:t>
            </w:r>
          </w:p>
        </w:tc>
      </w:tr>
      <w:tr>
        <w:trPr>
          <w:trHeight w:val="363" w:hRule="atLeast"/>
        </w:trPr>
        <w:tc>
          <w:tcPr>
            <w:tcW w:w="7242" w:type="dxa"/>
          </w:tcPr>
          <w:p>
            <w:pPr>
              <w:pStyle w:val="TableParagraph"/>
              <w:spacing w:line="182" w:lineRule="exact" w:before="2"/>
              <w:ind w:left="76" w:right="572"/>
              <w:jc w:val="left"/>
              <w:rPr>
                <w:i/>
                <w:sz w:val="16"/>
              </w:rPr>
            </w:pPr>
            <w:r>
              <w:rPr>
                <w:i/>
                <w:sz w:val="16"/>
              </w:rPr>
              <w:t>Riduzione del limite di spesa annuo della gestione commissariale per il piano di rientro del debito </w:t>
            </w:r>
            <w:r>
              <w:rPr>
                <w:i/>
                <w:sz w:val="16"/>
              </w:rPr>
              <w:t>pregresso del Comune di Roma</w:t>
            </w:r>
          </w:p>
        </w:tc>
        <w:tc>
          <w:tcPr>
            <w:tcW w:w="686" w:type="dxa"/>
          </w:tcPr>
          <w:p>
            <w:pPr>
              <w:pStyle w:val="TableParagraph"/>
              <w:spacing w:before="10"/>
              <w:jc w:val="left"/>
              <w:rPr>
                <w:rFonts w:ascii="Times New Roman"/>
                <w:sz w:val="15"/>
              </w:rPr>
            </w:pPr>
          </w:p>
          <w:p>
            <w:pPr>
              <w:pStyle w:val="TableParagraph"/>
              <w:spacing w:line="161" w:lineRule="exact"/>
              <w:ind w:right="135"/>
              <w:rPr>
                <w:i/>
                <w:sz w:val="16"/>
              </w:rPr>
            </w:pPr>
            <w:r>
              <w:rPr>
                <w:i/>
                <w:w w:val="100"/>
                <w:sz w:val="16"/>
              </w:rPr>
              <w:t>0</w:t>
            </w:r>
          </w:p>
        </w:tc>
        <w:tc>
          <w:tcPr>
            <w:tcW w:w="690" w:type="dxa"/>
          </w:tcPr>
          <w:p>
            <w:pPr>
              <w:pStyle w:val="TableParagraph"/>
              <w:spacing w:before="10"/>
              <w:jc w:val="left"/>
              <w:rPr>
                <w:rFonts w:ascii="Times New Roman"/>
                <w:sz w:val="15"/>
              </w:rPr>
            </w:pPr>
          </w:p>
          <w:p>
            <w:pPr>
              <w:pStyle w:val="TableParagraph"/>
              <w:spacing w:line="161" w:lineRule="exact"/>
              <w:ind w:right="135"/>
              <w:rPr>
                <w:i/>
                <w:sz w:val="16"/>
              </w:rPr>
            </w:pPr>
            <w:r>
              <w:rPr>
                <w:i/>
                <w:sz w:val="16"/>
              </w:rPr>
              <w:t>75</w:t>
            </w:r>
          </w:p>
        </w:tc>
        <w:tc>
          <w:tcPr>
            <w:tcW w:w="691" w:type="dxa"/>
          </w:tcPr>
          <w:p>
            <w:pPr>
              <w:pStyle w:val="TableParagraph"/>
              <w:spacing w:before="10"/>
              <w:jc w:val="left"/>
              <w:rPr>
                <w:rFonts w:ascii="Times New Roman"/>
                <w:sz w:val="15"/>
              </w:rPr>
            </w:pPr>
          </w:p>
          <w:p>
            <w:pPr>
              <w:pStyle w:val="TableParagraph"/>
              <w:spacing w:line="161" w:lineRule="exact"/>
              <w:ind w:right="137"/>
              <w:rPr>
                <w:i/>
                <w:sz w:val="16"/>
              </w:rPr>
            </w:pPr>
            <w:r>
              <w:rPr>
                <w:i/>
                <w:sz w:val="16"/>
              </w:rPr>
              <w:t>75</w:t>
            </w:r>
          </w:p>
        </w:tc>
        <w:tc>
          <w:tcPr>
            <w:tcW w:w="623" w:type="dxa"/>
          </w:tcPr>
          <w:p>
            <w:pPr>
              <w:pStyle w:val="TableParagraph"/>
              <w:spacing w:before="10"/>
              <w:jc w:val="left"/>
              <w:rPr>
                <w:rFonts w:ascii="Times New Roman"/>
                <w:sz w:val="15"/>
              </w:rPr>
            </w:pPr>
          </w:p>
          <w:p>
            <w:pPr>
              <w:pStyle w:val="TableParagraph"/>
              <w:spacing w:line="161" w:lineRule="exact"/>
              <w:ind w:right="66"/>
              <w:rPr>
                <w:i/>
                <w:sz w:val="16"/>
              </w:rPr>
            </w:pPr>
            <w:r>
              <w:rPr>
                <w:i/>
                <w:sz w:val="16"/>
              </w:rPr>
              <w:t>75</w:t>
            </w:r>
          </w:p>
        </w:tc>
      </w:tr>
      <w:tr>
        <w:trPr>
          <w:trHeight w:val="179" w:hRule="atLeast"/>
        </w:trPr>
        <w:tc>
          <w:tcPr>
            <w:tcW w:w="7242" w:type="dxa"/>
          </w:tcPr>
          <w:p>
            <w:pPr>
              <w:pStyle w:val="TableParagraph"/>
              <w:spacing w:line="159" w:lineRule="exact"/>
              <w:ind w:left="76"/>
              <w:jc w:val="left"/>
              <w:rPr>
                <w:i/>
                <w:sz w:val="16"/>
              </w:rPr>
            </w:pPr>
            <w:r>
              <w:rPr>
                <w:i/>
                <w:sz w:val="16"/>
              </w:rPr>
              <w:t>Fondo sviluppo e coesione</w:t>
            </w:r>
          </w:p>
        </w:tc>
        <w:tc>
          <w:tcPr>
            <w:tcW w:w="686" w:type="dxa"/>
          </w:tcPr>
          <w:p>
            <w:pPr>
              <w:pStyle w:val="TableParagraph"/>
              <w:spacing w:line="159" w:lineRule="exact"/>
              <w:ind w:right="136"/>
              <w:rPr>
                <w:i/>
                <w:sz w:val="16"/>
              </w:rPr>
            </w:pPr>
            <w:r>
              <w:rPr>
                <w:i/>
                <w:sz w:val="16"/>
              </w:rPr>
              <w:t>190</w:t>
            </w:r>
          </w:p>
        </w:tc>
        <w:tc>
          <w:tcPr>
            <w:tcW w:w="690" w:type="dxa"/>
          </w:tcPr>
          <w:p>
            <w:pPr>
              <w:pStyle w:val="TableParagraph"/>
              <w:spacing w:line="159" w:lineRule="exact"/>
              <w:ind w:right="135"/>
              <w:rPr>
                <w:i/>
                <w:sz w:val="16"/>
              </w:rPr>
            </w:pPr>
            <w:r>
              <w:rPr>
                <w:i/>
                <w:sz w:val="16"/>
              </w:rPr>
              <w:t>30</w:t>
            </w:r>
          </w:p>
        </w:tc>
        <w:tc>
          <w:tcPr>
            <w:tcW w:w="691" w:type="dxa"/>
          </w:tcPr>
          <w:p>
            <w:pPr>
              <w:pStyle w:val="TableParagraph"/>
              <w:spacing w:line="159" w:lineRule="exact"/>
              <w:ind w:right="136"/>
              <w:rPr>
                <w:i/>
                <w:sz w:val="16"/>
              </w:rPr>
            </w:pPr>
            <w:r>
              <w:rPr>
                <w:i/>
                <w:w w:val="100"/>
                <w:sz w:val="16"/>
              </w:rPr>
              <w:t>0</w:t>
            </w:r>
          </w:p>
        </w:tc>
        <w:tc>
          <w:tcPr>
            <w:tcW w:w="623" w:type="dxa"/>
          </w:tcPr>
          <w:p>
            <w:pPr>
              <w:pStyle w:val="TableParagraph"/>
              <w:spacing w:line="159" w:lineRule="exact"/>
              <w:ind w:right="66"/>
              <w:rPr>
                <w:i/>
                <w:sz w:val="16"/>
              </w:rPr>
            </w:pPr>
            <w:r>
              <w:rPr>
                <w:i/>
                <w:w w:val="100"/>
                <w:sz w:val="16"/>
              </w:rPr>
              <w:t>0</w:t>
            </w:r>
          </w:p>
        </w:tc>
      </w:tr>
      <w:tr>
        <w:trPr>
          <w:trHeight w:val="362" w:hRule="atLeast"/>
        </w:trPr>
        <w:tc>
          <w:tcPr>
            <w:tcW w:w="7242" w:type="dxa"/>
          </w:tcPr>
          <w:p>
            <w:pPr>
              <w:pStyle w:val="TableParagraph"/>
              <w:spacing w:line="180" w:lineRule="exact" w:before="3"/>
              <w:ind w:left="76" w:right="129"/>
              <w:jc w:val="left"/>
              <w:rPr>
                <w:i/>
                <w:sz w:val="16"/>
              </w:rPr>
            </w:pPr>
            <w:r>
              <w:rPr>
                <w:i/>
                <w:sz w:val="16"/>
              </w:rPr>
              <w:t>Fondo finalizzato agli investimenti per la messa in sicurezza del territorio e delle strade nell'ambito degli </w:t>
            </w:r>
            <w:r>
              <w:rPr>
                <w:i/>
                <w:sz w:val="16"/>
              </w:rPr>
              <w:t>accordi tra lo Stato e le Regioni a Statuto Speciale</w:t>
            </w:r>
          </w:p>
        </w:tc>
        <w:tc>
          <w:tcPr>
            <w:tcW w:w="686" w:type="dxa"/>
          </w:tcPr>
          <w:p>
            <w:pPr>
              <w:pStyle w:val="TableParagraph"/>
              <w:spacing w:before="8"/>
              <w:jc w:val="left"/>
              <w:rPr>
                <w:rFonts w:ascii="Times New Roman"/>
                <w:sz w:val="15"/>
              </w:rPr>
            </w:pPr>
          </w:p>
          <w:p>
            <w:pPr>
              <w:pStyle w:val="TableParagraph"/>
              <w:spacing w:line="162" w:lineRule="exact"/>
              <w:ind w:right="136"/>
              <w:rPr>
                <w:i/>
                <w:sz w:val="16"/>
              </w:rPr>
            </w:pPr>
            <w:r>
              <w:rPr>
                <w:i/>
                <w:sz w:val="16"/>
              </w:rPr>
              <w:t>15</w:t>
            </w:r>
          </w:p>
        </w:tc>
        <w:tc>
          <w:tcPr>
            <w:tcW w:w="690" w:type="dxa"/>
          </w:tcPr>
          <w:p>
            <w:pPr>
              <w:pStyle w:val="TableParagraph"/>
              <w:spacing w:before="8"/>
              <w:jc w:val="left"/>
              <w:rPr>
                <w:rFonts w:ascii="Times New Roman"/>
                <w:sz w:val="15"/>
              </w:rPr>
            </w:pPr>
          </w:p>
          <w:p>
            <w:pPr>
              <w:pStyle w:val="TableParagraph"/>
              <w:spacing w:line="162" w:lineRule="exact"/>
              <w:ind w:right="135"/>
              <w:rPr>
                <w:i/>
                <w:sz w:val="16"/>
              </w:rPr>
            </w:pPr>
            <w:r>
              <w:rPr>
                <w:i/>
                <w:sz w:val="16"/>
              </w:rPr>
              <w:t>15</w:t>
            </w:r>
          </w:p>
        </w:tc>
        <w:tc>
          <w:tcPr>
            <w:tcW w:w="691" w:type="dxa"/>
          </w:tcPr>
          <w:p>
            <w:pPr>
              <w:pStyle w:val="TableParagraph"/>
              <w:spacing w:before="8"/>
              <w:jc w:val="left"/>
              <w:rPr>
                <w:rFonts w:ascii="Times New Roman"/>
                <w:sz w:val="15"/>
              </w:rPr>
            </w:pPr>
          </w:p>
          <w:p>
            <w:pPr>
              <w:pStyle w:val="TableParagraph"/>
              <w:spacing w:line="162" w:lineRule="exact"/>
              <w:ind w:right="137"/>
              <w:rPr>
                <w:i/>
                <w:sz w:val="16"/>
              </w:rPr>
            </w:pPr>
            <w:r>
              <w:rPr>
                <w:i/>
                <w:sz w:val="16"/>
              </w:rPr>
              <w:t>80</w:t>
            </w:r>
          </w:p>
        </w:tc>
        <w:tc>
          <w:tcPr>
            <w:tcW w:w="623" w:type="dxa"/>
          </w:tcPr>
          <w:p>
            <w:pPr>
              <w:pStyle w:val="TableParagraph"/>
              <w:spacing w:before="8"/>
              <w:jc w:val="left"/>
              <w:rPr>
                <w:rFonts w:ascii="Times New Roman"/>
                <w:sz w:val="15"/>
              </w:rPr>
            </w:pPr>
          </w:p>
          <w:p>
            <w:pPr>
              <w:pStyle w:val="TableParagraph"/>
              <w:spacing w:line="162" w:lineRule="exact"/>
              <w:ind w:right="66"/>
              <w:rPr>
                <w:i/>
                <w:sz w:val="16"/>
              </w:rPr>
            </w:pPr>
            <w:r>
              <w:rPr>
                <w:i/>
                <w:sz w:val="16"/>
              </w:rPr>
              <w:t>80</w:t>
            </w:r>
          </w:p>
        </w:tc>
      </w:tr>
      <w:tr>
        <w:trPr>
          <w:trHeight w:val="181" w:hRule="atLeast"/>
        </w:trPr>
        <w:tc>
          <w:tcPr>
            <w:tcW w:w="7242" w:type="dxa"/>
          </w:tcPr>
          <w:p>
            <w:pPr>
              <w:pStyle w:val="TableParagraph"/>
              <w:spacing w:line="162" w:lineRule="exact"/>
              <w:ind w:left="76"/>
              <w:jc w:val="left"/>
              <w:rPr>
                <w:i/>
                <w:sz w:val="16"/>
              </w:rPr>
            </w:pPr>
            <w:r>
              <w:rPr>
                <w:i/>
                <w:sz w:val="16"/>
              </w:rPr>
              <w:t>Rimodulazione risorse per l'edilizia sanitaria</w:t>
            </w:r>
          </w:p>
        </w:tc>
        <w:tc>
          <w:tcPr>
            <w:tcW w:w="686" w:type="dxa"/>
          </w:tcPr>
          <w:p>
            <w:pPr>
              <w:pStyle w:val="TableParagraph"/>
              <w:spacing w:line="162" w:lineRule="exact"/>
              <w:ind w:right="136"/>
              <w:rPr>
                <w:i/>
                <w:sz w:val="16"/>
              </w:rPr>
            </w:pPr>
            <w:r>
              <w:rPr>
                <w:i/>
                <w:sz w:val="16"/>
              </w:rPr>
              <w:t>50</w:t>
            </w:r>
          </w:p>
        </w:tc>
        <w:tc>
          <w:tcPr>
            <w:tcW w:w="690" w:type="dxa"/>
          </w:tcPr>
          <w:p>
            <w:pPr>
              <w:pStyle w:val="TableParagraph"/>
              <w:spacing w:line="162" w:lineRule="exact"/>
              <w:ind w:right="135"/>
              <w:rPr>
                <w:i/>
                <w:sz w:val="16"/>
              </w:rPr>
            </w:pPr>
            <w:r>
              <w:rPr>
                <w:i/>
                <w:sz w:val="16"/>
              </w:rPr>
              <w:t>80</w:t>
            </w:r>
          </w:p>
        </w:tc>
        <w:tc>
          <w:tcPr>
            <w:tcW w:w="691" w:type="dxa"/>
          </w:tcPr>
          <w:p>
            <w:pPr>
              <w:pStyle w:val="TableParagraph"/>
              <w:spacing w:line="162" w:lineRule="exact"/>
              <w:ind w:right="137"/>
              <w:rPr>
                <w:i/>
                <w:sz w:val="16"/>
              </w:rPr>
            </w:pPr>
            <w:r>
              <w:rPr>
                <w:i/>
                <w:sz w:val="16"/>
              </w:rPr>
              <w:t>45</w:t>
            </w:r>
          </w:p>
        </w:tc>
        <w:tc>
          <w:tcPr>
            <w:tcW w:w="623" w:type="dxa"/>
          </w:tcPr>
          <w:p>
            <w:pPr>
              <w:pStyle w:val="TableParagraph"/>
              <w:spacing w:line="162" w:lineRule="exact"/>
              <w:ind w:right="66"/>
              <w:rPr>
                <w:i/>
                <w:sz w:val="16"/>
              </w:rPr>
            </w:pPr>
            <w:r>
              <w:rPr>
                <w:i/>
                <w:w w:val="100"/>
                <w:sz w:val="16"/>
              </w:rPr>
              <w:t>0</w:t>
            </w:r>
          </w:p>
        </w:tc>
      </w:tr>
      <w:tr>
        <w:trPr>
          <w:trHeight w:val="181" w:hRule="atLeast"/>
        </w:trPr>
        <w:tc>
          <w:tcPr>
            <w:tcW w:w="7242" w:type="dxa"/>
          </w:tcPr>
          <w:p>
            <w:pPr>
              <w:pStyle w:val="TableParagraph"/>
              <w:spacing w:line="160" w:lineRule="exact"/>
              <w:ind w:left="76"/>
              <w:jc w:val="left"/>
              <w:rPr>
                <w:i/>
                <w:sz w:val="16"/>
              </w:rPr>
            </w:pPr>
            <w:r>
              <w:rPr>
                <w:i/>
                <w:sz w:val="16"/>
              </w:rPr>
              <w:t>Card 18enni</w:t>
            </w:r>
          </w:p>
        </w:tc>
        <w:tc>
          <w:tcPr>
            <w:tcW w:w="686" w:type="dxa"/>
          </w:tcPr>
          <w:p>
            <w:pPr>
              <w:pStyle w:val="TableParagraph"/>
              <w:spacing w:line="160" w:lineRule="exact"/>
              <w:ind w:right="136"/>
              <w:rPr>
                <w:i/>
                <w:sz w:val="16"/>
              </w:rPr>
            </w:pPr>
            <w:r>
              <w:rPr>
                <w:i/>
                <w:sz w:val="16"/>
              </w:rPr>
              <w:t>100</w:t>
            </w:r>
          </w:p>
        </w:tc>
        <w:tc>
          <w:tcPr>
            <w:tcW w:w="690" w:type="dxa"/>
          </w:tcPr>
          <w:p>
            <w:pPr>
              <w:pStyle w:val="TableParagraph"/>
              <w:spacing w:line="160" w:lineRule="exact"/>
              <w:ind w:right="134"/>
              <w:rPr>
                <w:i/>
                <w:sz w:val="16"/>
              </w:rPr>
            </w:pPr>
            <w:r>
              <w:rPr>
                <w:i/>
                <w:w w:val="100"/>
                <w:sz w:val="16"/>
              </w:rPr>
              <w:t>0</w:t>
            </w:r>
          </w:p>
        </w:tc>
        <w:tc>
          <w:tcPr>
            <w:tcW w:w="691" w:type="dxa"/>
          </w:tcPr>
          <w:p>
            <w:pPr>
              <w:pStyle w:val="TableParagraph"/>
              <w:spacing w:line="160" w:lineRule="exact"/>
              <w:ind w:right="136"/>
              <w:rPr>
                <w:i/>
                <w:sz w:val="16"/>
              </w:rPr>
            </w:pPr>
            <w:r>
              <w:rPr>
                <w:i/>
                <w:w w:val="100"/>
                <w:sz w:val="16"/>
              </w:rPr>
              <w:t>0</w:t>
            </w:r>
          </w:p>
        </w:tc>
        <w:tc>
          <w:tcPr>
            <w:tcW w:w="623" w:type="dxa"/>
          </w:tcPr>
          <w:p>
            <w:pPr>
              <w:pStyle w:val="TableParagraph"/>
              <w:spacing w:line="160" w:lineRule="exact"/>
              <w:ind w:right="66"/>
              <w:rPr>
                <w:i/>
                <w:sz w:val="16"/>
              </w:rPr>
            </w:pPr>
            <w:r>
              <w:rPr>
                <w:i/>
                <w:w w:val="100"/>
                <w:sz w:val="16"/>
              </w:rPr>
              <w:t>0</w:t>
            </w:r>
          </w:p>
        </w:tc>
      </w:tr>
      <w:tr>
        <w:trPr>
          <w:trHeight w:val="362" w:hRule="atLeast"/>
        </w:trPr>
        <w:tc>
          <w:tcPr>
            <w:tcW w:w="7242" w:type="dxa"/>
          </w:tcPr>
          <w:p>
            <w:pPr>
              <w:pStyle w:val="TableParagraph"/>
              <w:spacing w:line="182" w:lineRule="exact"/>
              <w:ind w:left="76" w:right="398"/>
              <w:jc w:val="left"/>
              <w:rPr>
                <w:i/>
                <w:sz w:val="16"/>
              </w:rPr>
            </w:pPr>
            <w:r>
              <w:rPr>
                <w:i/>
                <w:sz w:val="16"/>
              </w:rPr>
              <w:t>Contributi in conto interessi da corrispondere alla Cassa depositi e prestiti per il finanziamento degli </w:t>
            </w:r>
            <w:r>
              <w:rPr>
                <w:i/>
                <w:sz w:val="16"/>
              </w:rPr>
              <w:t>interessi a carico del fondo rotativo per il sostegno alle imprese</w:t>
            </w:r>
          </w:p>
        </w:tc>
        <w:tc>
          <w:tcPr>
            <w:tcW w:w="686" w:type="dxa"/>
          </w:tcPr>
          <w:p>
            <w:pPr>
              <w:pStyle w:val="TableParagraph"/>
              <w:spacing w:before="9"/>
              <w:jc w:val="left"/>
              <w:rPr>
                <w:rFonts w:ascii="Times New Roman"/>
                <w:sz w:val="15"/>
              </w:rPr>
            </w:pPr>
          </w:p>
          <w:p>
            <w:pPr>
              <w:pStyle w:val="TableParagraph"/>
              <w:spacing w:line="160" w:lineRule="exact"/>
              <w:ind w:right="136"/>
              <w:rPr>
                <w:i/>
                <w:sz w:val="16"/>
              </w:rPr>
            </w:pPr>
            <w:r>
              <w:rPr>
                <w:i/>
                <w:sz w:val="16"/>
              </w:rPr>
              <w:t>37</w:t>
            </w:r>
          </w:p>
        </w:tc>
        <w:tc>
          <w:tcPr>
            <w:tcW w:w="690" w:type="dxa"/>
          </w:tcPr>
          <w:p>
            <w:pPr>
              <w:pStyle w:val="TableParagraph"/>
              <w:spacing w:before="9"/>
              <w:jc w:val="left"/>
              <w:rPr>
                <w:rFonts w:ascii="Times New Roman"/>
                <w:sz w:val="15"/>
              </w:rPr>
            </w:pPr>
          </w:p>
          <w:p>
            <w:pPr>
              <w:pStyle w:val="TableParagraph"/>
              <w:spacing w:line="160" w:lineRule="exact"/>
              <w:ind w:right="135"/>
              <w:rPr>
                <w:i/>
                <w:sz w:val="16"/>
              </w:rPr>
            </w:pPr>
            <w:r>
              <w:rPr>
                <w:i/>
                <w:sz w:val="16"/>
              </w:rPr>
              <w:t>30</w:t>
            </w:r>
          </w:p>
        </w:tc>
        <w:tc>
          <w:tcPr>
            <w:tcW w:w="691" w:type="dxa"/>
          </w:tcPr>
          <w:p>
            <w:pPr>
              <w:pStyle w:val="TableParagraph"/>
              <w:spacing w:before="9"/>
              <w:jc w:val="left"/>
              <w:rPr>
                <w:rFonts w:ascii="Times New Roman"/>
                <w:sz w:val="15"/>
              </w:rPr>
            </w:pPr>
          </w:p>
          <w:p>
            <w:pPr>
              <w:pStyle w:val="TableParagraph"/>
              <w:spacing w:line="160" w:lineRule="exact"/>
              <w:ind w:right="137"/>
              <w:rPr>
                <w:i/>
                <w:sz w:val="16"/>
              </w:rPr>
            </w:pPr>
            <w:r>
              <w:rPr>
                <w:i/>
                <w:sz w:val="16"/>
              </w:rPr>
              <w:t>30</w:t>
            </w:r>
          </w:p>
        </w:tc>
        <w:tc>
          <w:tcPr>
            <w:tcW w:w="623" w:type="dxa"/>
          </w:tcPr>
          <w:p>
            <w:pPr>
              <w:pStyle w:val="TableParagraph"/>
              <w:spacing w:before="9"/>
              <w:jc w:val="left"/>
              <w:rPr>
                <w:rFonts w:ascii="Times New Roman"/>
                <w:sz w:val="15"/>
              </w:rPr>
            </w:pPr>
          </w:p>
          <w:p>
            <w:pPr>
              <w:pStyle w:val="TableParagraph"/>
              <w:spacing w:line="160" w:lineRule="exact"/>
              <w:ind w:right="66"/>
              <w:rPr>
                <w:i/>
                <w:sz w:val="16"/>
              </w:rPr>
            </w:pPr>
            <w:r>
              <w:rPr>
                <w:i/>
                <w:w w:val="100"/>
                <w:sz w:val="16"/>
              </w:rPr>
              <w:t>0</w:t>
            </w:r>
          </w:p>
        </w:tc>
      </w:tr>
      <w:tr>
        <w:trPr>
          <w:trHeight w:val="179" w:hRule="atLeast"/>
        </w:trPr>
        <w:tc>
          <w:tcPr>
            <w:tcW w:w="7242" w:type="dxa"/>
          </w:tcPr>
          <w:p>
            <w:pPr>
              <w:pStyle w:val="TableParagraph"/>
              <w:spacing w:line="160" w:lineRule="exact"/>
              <w:ind w:left="76"/>
              <w:jc w:val="left"/>
              <w:rPr>
                <w:i/>
                <w:sz w:val="16"/>
              </w:rPr>
            </w:pPr>
            <w:r>
              <w:rPr>
                <w:i/>
                <w:sz w:val="16"/>
              </w:rPr>
              <w:t>Finanziamento Agenzia delle entrate</w:t>
            </w:r>
          </w:p>
        </w:tc>
        <w:tc>
          <w:tcPr>
            <w:tcW w:w="686" w:type="dxa"/>
          </w:tcPr>
          <w:p>
            <w:pPr>
              <w:pStyle w:val="TableParagraph"/>
              <w:spacing w:line="160" w:lineRule="exact"/>
              <w:ind w:right="136"/>
              <w:rPr>
                <w:i/>
                <w:sz w:val="16"/>
              </w:rPr>
            </w:pPr>
            <w:r>
              <w:rPr>
                <w:i/>
                <w:sz w:val="16"/>
              </w:rPr>
              <w:t>50</w:t>
            </w:r>
          </w:p>
        </w:tc>
        <w:tc>
          <w:tcPr>
            <w:tcW w:w="690" w:type="dxa"/>
          </w:tcPr>
          <w:p>
            <w:pPr>
              <w:pStyle w:val="TableParagraph"/>
              <w:spacing w:line="160" w:lineRule="exact"/>
              <w:ind w:right="134"/>
              <w:rPr>
                <w:i/>
                <w:sz w:val="16"/>
              </w:rPr>
            </w:pPr>
            <w:r>
              <w:rPr>
                <w:i/>
                <w:w w:val="100"/>
                <w:sz w:val="16"/>
              </w:rPr>
              <w:t>0</w:t>
            </w:r>
          </w:p>
        </w:tc>
        <w:tc>
          <w:tcPr>
            <w:tcW w:w="691" w:type="dxa"/>
          </w:tcPr>
          <w:p>
            <w:pPr>
              <w:pStyle w:val="TableParagraph"/>
              <w:spacing w:line="160" w:lineRule="exact"/>
              <w:ind w:right="136"/>
              <w:rPr>
                <w:i/>
                <w:sz w:val="16"/>
              </w:rPr>
            </w:pPr>
            <w:r>
              <w:rPr>
                <w:i/>
                <w:w w:val="100"/>
                <w:sz w:val="16"/>
              </w:rPr>
              <w:t>0</w:t>
            </w:r>
          </w:p>
        </w:tc>
        <w:tc>
          <w:tcPr>
            <w:tcW w:w="623" w:type="dxa"/>
          </w:tcPr>
          <w:p>
            <w:pPr>
              <w:pStyle w:val="TableParagraph"/>
              <w:spacing w:line="160" w:lineRule="exact"/>
              <w:ind w:right="66"/>
              <w:rPr>
                <w:i/>
                <w:sz w:val="16"/>
              </w:rPr>
            </w:pPr>
            <w:r>
              <w:rPr>
                <w:i/>
                <w:w w:val="100"/>
                <w:sz w:val="16"/>
              </w:rPr>
              <w:t>0</w:t>
            </w:r>
          </w:p>
        </w:tc>
      </w:tr>
      <w:tr>
        <w:trPr>
          <w:trHeight w:val="249" w:hRule="atLeast"/>
        </w:trPr>
        <w:tc>
          <w:tcPr>
            <w:tcW w:w="7242" w:type="dxa"/>
          </w:tcPr>
          <w:p>
            <w:pPr>
              <w:pStyle w:val="TableParagraph"/>
              <w:ind w:left="76"/>
              <w:jc w:val="left"/>
              <w:rPr>
                <w:i/>
                <w:sz w:val="16"/>
              </w:rPr>
            </w:pPr>
            <w:r>
              <w:rPr>
                <w:i/>
                <w:sz w:val="16"/>
              </w:rPr>
              <w:t>Altro</w:t>
            </w:r>
          </w:p>
        </w:tc>
        <w:tc>
          <w:tcPr>
            <w:tcW w:w="686" w:type="dxa"/>
          </w:tcPr>
          <w:p>
            <w:pPr>
              <w:pStyle w:val="TableParagraph"/>
              <w:ind w:right="136"/>
              <w:rPr>
                <w:i/>
                <w:sz w:val="16"/>
              </w:rPr>
            </w:pPr>
            <w:r>
              <w:rPr>
                <w:i/>
                <w:sz w:val="16"/>
              </w:rPr>
              <w:t>87</w:t>
            </w:r>
          </w:p>
        </w:tc>
        <w:tc>
          <w:tcPr>
            <w:tcW w:w="690" w:type="dxa"/>
          </w:tcPr>
          <w:p>
            <w:pPr>
              <w:pStyle w:val="TableParagraph"/>
              <w:ind w:right="135"/>
              <w:rPr>
                <w:i/>
                <w:sz w:val="16"/>
              </w:rPr>
            </w:pPr>
            <w:r>
              <w:rPr>
                <w:i/>
                <w:sz w:val="16"/>
              </w:rPr>
              <w:t>91</w:t>
            </w:r>
          </w:p>
        </w:tc>
        <w:tc>
          <w:tcPr>
            <w:tcW w:w="691" w:type="dxa"/>
          </w:tcPr>
          <w:p>
            <w:pPr>
              <w:pStyle w:val="TableParagraph"/>
              <w:ind w:right="137"/>
              <w:rPr>
                <w:i/>
                <w:sz w:val="16"/>
              </w:rPr>
            </w:pPr>
            <w:r>
              <w:rPr>
                <w:i/>
                <w:sz w:val="16"/>
              </w:rPr>
              <w:t>139</w:t>
            </w:r>
          </w:p>
        </w:tc>
        <w:tc>
          <w:tcPr>
            <w:tcW w:w="623" w:type="dxa"/>
          </w:tcPr>
          <w:p>
            <w:pPr>
              <w:pStyle w:val="TableParagraph"/>
              <w:ind w:right="66"/>
              <w:rPr>
                <w:i/>
                <w:sz w:val="16"/>
              </w:rPr>
            </w:pPr>
            <w:r>
              <w:rPr>
                <w:i/>
                <w:sz w:val="16"/>
              </w:rPr>
              <w:t>233</w:t>
            </w:r>
          </w:p>
        </w:tc>
      </w:tr>
      <w:tr>
        <w:trPr>
          <w:trHeight w:val="316" w:hRule="atLeast"/>
        </w:trPr>
        <w:tc>
          <w:tcPr>
            <w:tcW w:w="7242" w:type="dxa"/>
          </w:tcPr>
          <w:p>
            <w:pPr>
              <w:pStyle w:val="TableParagraph"/>
              <w:spacing w:before="68"/>
              <w:ind w:left="76"/>
              <w:jc w:val="left"/>
              <w:rPr>
                <w:sz w:val="16"/>
              </w:rPr>
            </w:pPr>
            <w:r>
              <w:rPr>
                <w:sz w:val="16"/>
              </w:rPr>
              <w:t>UTILIZZO RISORSE</w:t>
            </w:r>
          </w:p>
        </w:tc>
        <w:tc>
          <w:tcPr>
            <w:tcW w:w="686" w:type="dxa"/>
          </w:tcPr>
          <w:p>
            <w:pPr>
              <w:pStyle w:val="TableParagraph"/>
              <w:spacing w:before="68"/>
              <w:ind w:right="136"/>
              <w:rPr>
                <w:sz w:val="16"/>
              </w:rPr>
            </w:pPr>
            <w:r>
              <w:rPr>
                <w:sz w:val="16"/>
              </w:rPr>
              <w:t>690</w:t>
            </w:r>
          </w:p>
        </w:tc>
        <w:tc>
          <w:tcPr>
            <w:tcW w:w="690" w:type="dxa"/>
          </w:tcPr>
          <w:p>
            <w:pPr>
              <w:pStyle w:val="TableParagraph"/>
              <w:spacing w:before="68"/>
              <w:ind w:right="134"/>
              <w:rPr>
                <w:sz w:val="16"/>
              </w:rPr>
            </w:pPr>
            <w:r>
              <w:rPr>
                <w:sz w:val="16"/>
              </w:rPr>
              <w:t>1.098</w:t>
            </w:r>
          </w:p>
        </w:tc>
        <w:tc>
          <w:tcPr>
            <w:tcW w:w="691" w:type="dxa"/>
          </w:tcPr>
          <w:p>
            <w:pPr>
              <w:pStyle w:val="TableParagraph"/>
              <w:spacing w:before="68"/>
              <w:ind w:right="136"/>
              <w:rPr>
                <w:sz w:val="16"/>
              </w:rPr>
            </w:pPr>
            <w:r>
              <w:rPr>
                <w:sz w:val="16"/>
              </w:rPr>
              <w:t>1.401</w:t>
            </w:r>
          </w:p>
        </w:tc>
        <w:tc>
          <w:tcPr>
            <w:tcW w:w="623" w:type="dxa"/>
          </w:tcPr>
          <w:p>
            <w:pPr>
              <w:pStyle w:val="TableParagraph"/>
              <w:spacing w:before="68"/>
              <w:ind w:right="66"/>
              <w:rPr>
                <w:sz w:val="16"/>
              </w:rPr>
            </w:pPr>
            <w:r>
              <w:rPr>
                <w:sz w:val="16"/>
              </w:rPr>
              <w:t>1.174</w:t>
            </w:r>
          </w:p>
        </w:tc>
      </w:tr>
      <w:tr>
        <w:trPr>
          <w:trHeight w:val="249" w:hRule="atLeast"/>
        </w:trPr>
        <w:tc>
          <w:tcPr>
            <w:tcW w:w="7242" w:type="dxa"/>
          </w:tcPr>
          <w:p>
            <w:pPr>
              <w:pStyle w:val="TableParagraph"/>
              <w:spacing w:line="162" w:lineRule="exact" w:before="68"/>
              <w:ind w:left="76"/>
              <w:jc w:val="left"/>
              <w:rPr>
                <w:sz w:val="16"/>
              </w:rPr>
            </w:pPr>
            <w:r>
              <w:rPr>
                <w:sz w:val="16"/>
              </w:rPr>
              <w:t>Minori entrate</w:t>
            </w:r>
          </w:p>
        </w:tc>
        <w:tc>
          <w:tcPr>
            <w:tcW w:w="686" w:type="dxa"/>
          </w:tcPr>
          <w:p>
            <w:pPr>
              <w:pStyle w:val="TableParagraph"/>
              <w:spacing w:line="162" w:lineRule="exact" w:before="68"/>
              <w:ind w:right="136"/>
              <w:rPr>
                <w:sz w:val="16"/>
              </w:rPr>
            </w:pPr>
            <w:r>
              <w:rPr>
                <w:sz w:val="16"/>
              </w:rPr>
              <w:t>101</w:t>
            </w:r>
          </w:p>
        </w:tc>
        <w:tc>
          <w:tcPr>
            <w:tcW w:w="690" w:type="dxa"/>
          </w:tcPr>
          <w:p>
            <w:pPr>
              <w:pStyle w:val="TableParagraph"/>
              <w:spacing w:line="162" w:lineRule="exact" w:before="68"/>
              <w:ind w:right="135"/>
              <w:rPr>
                <w:sz w:val="16"/>
              </w:rPr>
            </w:pPr>
            <w:r>
              <w:rPr>
                <w:sz w:val="16"/>
              </w:rPr>
              <w:t>437</w:t>
            </w:r>
          </w:p>
        </w:tc>
        <w:tc>
          <w:tcPr>
            <w:tcW w:w="691" w:type="dxa"/>
          </w:tcPr>
          <w:p>
            <w:pPr>
              <w:pStyle w:val="TableParagraph"/>
              <w:spacing w:line="162" w:lineRule="exact" w:before="68"/>
              <w:ind w:right="137"/>
              <w:rPr>
                <w:sz w:val="16"/>
              </w:rPr>
            </w:pPr>
            <w:r>
              <w:rPr>
                <w:sz w:val="16"/>
              </w:rPr>
              <w:t>615</w:t>
            </w:r>
          </w:p>
        </w:tc>
        <w:tc>
          <w:tcPr>
            <w:tcW w:w="623" w:type="dxa"/>
          </w:tcPr>
          <w:p>
            <w:pPr>
              <w:pStyle w:val="TableParagraph"/>
              <w:spacing w:line="162" w:lineRule="exact" w:before="68"/>
              <w:ind w:right="66"/>
              <w:rPr>
                <w:sz w:val="16"/>
              </w:rPr>
            </w:pPr>
            <w:r>
              <w:rPr>
                <w:sz w:val="16"/>
              </w:rPr>
              <w:t>508</w:t>
            </w:r>
          </w:p>
        </w:tc>
      </w:tr>
      <w:tr>
        <w:trPr>
          <w:trHeight w:val="363" w:hRule="atLeast"/>
        </w:trPr>
        <w:tc>
          <w:tcPr>
            <w:tcW w:w="7242" w:type="dxa"/>
          </w:tcPr>
          <w:p>
            <w:pPr>
              <w:pStyle w:val="TableParagraph"/>
              <w:spacing w:line="182" w:lineRule="exact" w:before="2"/>
              <w:ind w:left="76" w:right="720"/>
              <w:jc w:val="left"/>
              <w:rPr>
                <w:i/>
                <w:sz w:val="16"/>
              </w:rPr>
            </w:pPr>
            <w:r>
              <w:rPr>
                <w:i/>
                <w:sz w:val="16"/>
              </w:rPr>
              <w:t>Maggiorazione della deducibilità dal reddito di impresa e di lavoro autonomo dell'IMU relativa a </w:t>
            </w:r>
            <w:r>
              <w:rPr>
                <w:i/>
                <w:sz w:val="16"/>
              </w:rPr>
              <w:t>immobili strumentali</w:t>
            </w:r>
          </w:p>
        </w:tc>
        <w:tc>
          <w:tcPr>
            <w:tcW w:w="686" w:type="dxa"/>
          </w:tcPr>
          <w:p>
            <w:pPr>
              <w:pStyle w:val="TableParagraph"/>
              <w:spacing w:before="10"/>
              <w:jc w:val="left"/>
              <w:rPr>
                <w:rFonts w:ascii="Times New Roman"/>
                <w:sz w:val="15"/>
              </w:rPr>
            </w:pPr>
          </w:p>
          <w:p>
            <w:pPr>
              <w:pStyle w:val="TableParagraph"/>
              <w:spacing w:line="160" w:lineRule="exact"/>
              <w:ind w:right="135"/>
              <w:rPr>
                <w:i/>
                <w:sz w:val="16"/>
              </w:rPr>
            </w:pPr>
            <w:r>
              <w:rPr>
                <w:i/>
                <w:w w:val="100"/>
                <w:sz w:val="16"/>
              </w:rPr>
              <w:t>0</w:t>
            </w:r>
          </w:p>
        </w:tc>
        <w:tc>
          <w:tcPr>
            <w:tcW w:w="690" w:type="dxa"/>
          </w:tcPr>
          <w:p>
            <w:pPr>
              <w:pStyle w:val="TableParagraph"/>
              <w:spacing w:before="10"/>
              <w:jc w:val="left"/>
              <w:rPr>
                <w:rFonts w:ascii="Times New Roman"/>
                <w:sz w:val="15"/>
              </w:rPr>
            </w:pPr>
          </w:p>
          <w:p>
            <w:pPr>
              <w:pStyle w:val="TableParagraph"/>
              <w:spacing w:line="160" w:lineRule="exact"/>
              <w:ind w:right="135"/>
              <w:rPr>
                <w:i/>
                <w:sz w:val="16"/>
              </w:rPr>
            </w:pPr>
            <w:r>
              <w:rPr>
                <w:i/>
                <w:sz w:val="16"/>
              </w:rPr>
              <w:t>145</w:t>
            </w:r>
          </w:p>
        </w:tc>
        <w:tc>
          <w:tcPr>
            <w:tcW w:w="691" w:type="dxa"/>
          </w:tcPr>
          <w:p>
            <w:pPr>
              <w:pStyle w:val="TableParagraph"/>
              <w:spacing w:before="10"/>
              <w:jc w:val="left"/>
              <w:rPr>
                <w:rFonts w:ascii="Times New Roman"/>
                <w:sz w:val="15"/>
              </w:rPr>
            </w:pPr>
          </w:p>
          <w:p>
            <w:pPr>
              <w:pStyle w:val="TableParagraph"/>
              <w:spacing w:line="160" w:lineRule="exact"/>
              <w:ind w:right="137"/>
              <w:rPr>
                <w:i/>
                <w:sz w:val="16"/>
              </w:rPr>
            </w:pPr>
            <w:r>
              <w:rPr>
                <w:i/>
                <w:sz w:val="16"/>
              </w:rPr>
              <w:t>229</w:t>
            </w:r>
          </w:p>
        </w:tc>
        <w:tc>
          <w:tcPr>
            <w:tcW w:w="623" w:type="dxa"/>
          </w:tcPr>
          <w:p>
            <w:pPr>
              <w:pStyle w:val="TableParagraph"/>
              <w:spacing w:before="10"/>
              <w:jc w:val="left"/>
              <w:rPr>
                <w:rFonts w:ascii="Times New Roman"/>
                <w:sz w:val="15"/>
              </w:rPr>
            </w:pPr>
          </w:p>
          <w:p>
            <w:pPr>
              <w:pStyle w:val="TableParagraph"/>
              <w:spacing w:line="160" w:lineRule="exact"/>
              <w:ind w:right="66"/>
              <w:rPr>
                <w:i/>
                <w:sz w:val="16"/>
              </w:rPr>
            </w:pPr>
            <w:r>
              <w:rPr>
                <w:i/>
                <w:sz w:val="16"/>
              </w:rPr>
              <w:t>167</w:t>
            </w:r>
          </w:p>
        </w:tc>
      </w:tr>
      <w:tr>
        <w:trPr>
          <w:trHeight w:val="179" w:hRule="atLeast"/>
        </w:trPr>
        <w:tc>
          <w:tcPr>
            <w:tcW w:w="7242" w:type="dxa"/>
          </w:tcPr>
          <w:p>
            <w:pPr>
              <w:pStyle w:val="TableParagraph"/>
              <w:spacing w:line="159" w:lineRule="exact"/>
              <w:ind w:left="76"/>
              <w:jc w:val="left"/>
              <w:rPr>
                <w:i/>
                <w:sz w:val="16"/>
              </w:rPr>
            </w:pPr>
            <w:r>
              <w:rPr>
                <w:i/>
                <w:sz w:val="16"/>
              </w:rPr>
              <w:t>Proroga del super-ammortamento (130%)</w:t>
            </w:r>
          </w:p>
        </w:tc>
        <w:tc>
          <w:tcPr>
            <w:tcW w:w="686" w:type="dxa"/>
          </w:tcPr>
          <w:p>
            <w:pPr>
              <w:pStyle w:val="TableParagraph"/>
              <w:spacing w:line="159" w:lineRule="exact"/>
              <w:ind w:right="135"/>
              <w:rPr>
                <w:i/>
                <w:sz w:val="16"/>
              </w:rPr>
            </w:pPr>
            <w:r>
              <w:rPr>
                <w:i/>
                <w:w w:val="100"/>
                <w:sz w:val="16"/>
              </w:rPr>
              <w:t>0</w:t>
            </w:r>
          </w:p>
        </w:tc>
        <w:tc>
          <w:tcPr>
            <w:tcW w:w="690" w:type="dxa"/>
          </w:tcPr>
          <w:p>
            <w:pPr>
              <w:pStyle w:val="TableParagraph"/>
              <w:spacing w:line="159" w:lineRule="exact"/>
              <w:ind w:right="135"/>
              <w:rPr>
                <w:i/>
                <w:sz w:val="16"/>
              </w:rPr>
            </w:pPr>
            <w:r>
              <w:rPr>
                <w:i/>
                <w:sz w:val="16"/>
              </w:rPr>
              <w:t>129</w:t>
            </w:r>
          </w:p>
        </w:tc>
        <w:tc>
          <w:tcPr>
            <w:tcW w:w="691" w:type="dxa"/>
          </w:tcPr>
          <w:p>
            <w:pPr>
              <w:pStyle w:val="TableParagraph"/>
              <w:spacing w:line="159" w:lineRule="exact"/>
              <w:ind w:right="137"/>
              <w:rPr>
                <w:i/>
                <w:sz w:val="16"/>
              </w:rPr>
            </w:pPr>
            <w:r>
              <w:rPr>
                <w:i/>
                <w:sz w:val="16"/>
              </w:rPr>
              <w:t>202</w:t>
            </w:r>
          </w:p>
        </w:tc>
        <w:tc>
          <w:tcPr>
            <w:tcW w:w="623" w:type="dxa"/>
          </w:tcPr>
          <w:p>
            <w:pPr>
              <w:pStyle w:val="TableParagraph"/>
              <w:spacing w:line="159" w:lineRule="exact"/>
              <w:ind w:right="66"/>
              <w:rPr>
                <w:i/>
                <w:sz w:val="16"/>
              </w:rPr>
            </w:pPr>
            <w:r>
              <w:rPr>
                <w:i/>
                <w:sz w:val="16"/>
              </w:rPr>
              <w:t>147</w:t>
            </w:r>
          </w:p>
        </w:tc>
      </w:tr>
      <w:tr>
        <w:trPr>
          <w:trHeight w:val="181" w:hRule="atLeast"/>
        </w:trPr>
        <w:tc>
          <w:tcPr>
            <w:tcW w:w="7242" w:type="dxa"/>
          </w:tcPr>
          <w:p>
            <w:pPr>
              <w:pStyle w:val="TableParagraph"/>
              <w:spacing w:line="160" w:lineRule="exact"/>
              <w:ind w:left="76"/>
              <w:jc w:val="left"/>
              <w:rPr>
                <w:i/>
                <w:sz w:val="16"/>
              </w:rPr>
            </w:pPr>
            <w:r>
              <w:rPr>
                <w:i/>
                <w:sz w:val="16"/>
              </w:rPr>
              <w:t>Estensione del sisma bonus agli immobili situati nelle zone classificate "a rischio sismico 2 e 3"</w:t>
            </w:r>
          </w:p>
        </w:tc>
        <w:tc>
          <w:tcPr>
            <w:tcW w:w="686" w:type="dxa"/>
          </w:tcPr>
          <w:p>
            <w:pPr>
              <w:pStyle w:val="TableParagraph"/>
              <w:spacing w:line="160" w:lineRule="exact"/>
              <w:ind w:right="135"/>
              <w:rPr>
                <w:i/>
                <w:sz w:val="16"/>
              </w:rPr>
            </w:pPr>
            <w:r>
              <w:rPr>
                <w:i/>
                <w:w w:val="100"/>
                <w:sz w:val="16"/>
              </w:rPr>
              <w:t>3</w:t>
            </w:r>
          </w:p>
        </w:tc>
        <w:tc>
          <w:tcPr>
            <w:tcW w:w="690" w:type="dxa"/>
          </w:tcPr>
          <w:p>
            <w:pPr>
              <w:pStyle w:val="TableParagraph"/>
              <w:spacing w:line="160" w:lineRule="exact"/>
              <w:ind w:right="135"/>
              <w:rPr>
                <w:i/>
                <w:sz w:val="16"/>
              </w:rPr>
            </w:pPr>
            <w:r>
              <w:rPr>
                <w:i/>
                <w:sz w:val="16"/>
              </w:rPr>
              <w:t>32</w:t>
            </w:r>
          </w:p>
        </w:tc>
        <w:tc>
          <w:tcPr>
            <w:tcW w:w="691" w:type="dxa"/>
          </w:tcPr>
          <w:p>
            <w:pPr>
              <w:pStyle w:val="TableParagraph"/>
              <w:spacing w:line="160" w:lineRule="exact"/>
              <w:ind w:right="137"/>
              <w:rPr>
                <w:i/>
                <w:sz w:val="16"/>
              </w:rPr>
            </w:pPr>
            <w:r>
              <w:rPr>
                <w:i/>
                <w:sz w:val="16"/>
              </w:rPr>
              <w:t>50</w:t>
            </w:r>
          </w:p>
        </w:tc>
        <w:tc>
          <w:tcPr>
            <w:tcW w:w="623" w:type="dxa"/>
          </w:tcPr>
          <w:p>
            <w:pPr>
              <w:pStyle w:val="TableParagraph"/>
              <w:spacing w:line="160" w:lineRule="exact"/>
              <w:ind w:right="66"/>
              <w:rPr>
                <w:i/>
                <w:sz w:val="16"/>
              </w:rPr>
            </w:pPr>
            <w:r>
              <w:rPr>
                <w:i/>
                <w:sz w:val="16"/>
              </w:rPr>
              <w:t>66</w:t>
            </w:r>
          </w:p>
        </w:tc>
      </w:tr>
      <w:tr>
        <w:trPr>
          <w:trHeight w:val="181" w:hRule="atLeast"/>
        </w:trPr>
        <w:tc>
          <w:tcPr>
            <w:tcW w:w="7242" w:type="dxa"/>
          </w:tcPr>
          <w:p>
            <w:pPr>
              <w:pStyle w:val="TableParagraph"/>
              <w:spacing w:line="161" w:lineRule="exact"/>
              <w:ind w:left="76"/>
              <w:jc w:val="left"/>
              <w:rPr>
                <w:i/>
                <w:sz w:val="16"/>
              </w:rPr>
            </w:pPr>
            <w:r>
              <w:rPr>
                <w:i/>
                <w:sz w:val="16"/>
              </w:rPr>
              <w:t>Agevolazioni fiscali per le operazioni di cartolarizzazione</w:t>
            </w:r>
          </w:p>
        </w:tc>
        <w:tc>
          <w:tcPr>
            <w:tcW w:w="686" w:type="dxa"/>
          </w:tcPr>
          <w:p>
            <w:pPr>
              <w:pStyle w:val="TableParagraph"/>
              <w:spacing w:line="161" w:lineRule="exact"/>
              <w:ind w:right="136"/>
              <w:rPr>
                <w:i/>
                <w:sz w:val="16"/>
              </w:rPr>
            </w:pPr>
            <w:r>
              <w:rPr>
                <w:i/>
                <w:sz w:val="16"/>
              </w:rPr>
              <w:t>31</w:t>
            </w:r>
          </w:p>
        </w:tc>
        <w:tc>
          <w:tcPr>
            <w:tcW w:w="690" w:type="dxa"/>
          </w:tcPr>
          <w:p>
            <w:pPr>
              <w:pStyle w:val="TableParagraph"/>
              <w:spacing w:line="161" w:lineRule="exact"/>
              <w:ind w:right="135"/>
              <w:rPr>
                <w:i/>
                <w:sz w:val="16"/>
              </w:rPr>
            </w:pPr>
            <w:r>
              <w:rPr>
                <w:i/>
                <w:sz w:val="16"/>
              </w:rPr>
              <w:t>31</w:t>
            </w:r>
          </w:p>
        </w:tc>
        <w:tc>
          <w:tcPr>
            <w:tcW w:w="691" w:type="dxa"/>
          </w:tcPr>
          <w:p>
            <w:pPr>
              <w:pStyle w:val="TableParagraph"/>
              <w:spacing w:line="161" w:lineRule="exact"/>
              <w:ind w:right="137"/>
              <w:rPr>
                <w:i/>
                <w:sz w:val="16"/>
              </w:rPr>
            </w:pPr>
            <w:r>
              <w:rPr>
                <w:i/>
                <w:sz w:val="16"/>
              </w:rPr>
              <w:t>31</w:t>
            </w:r>
          </w:p>
        </w:tc>
        <w:tc>
          <w:tcPr>
            <w:tcW w:w="623" w:type="dxa"/>
          </w:tcPr>
          <w:p>
            <w:pPr>
              <w:pStyle w:val="TableParagraph"/>
              <w:spacing w:line="161" w:lineRule="exact"/>
              <w:ind w:right="66"/>
              <w:rPr>
                <w:i/>
                <w:sz w:val="16"/>
              </w:rPr>
            </w:pPr>
            <w:r>
              <w:rPr>
                <w:i/>
                <w:sz w:val="16"/>
              </w:rPr>
              <w:t>31</w:t>
            </w:r>
          </w:p>
        </w:tc>
      </w:tr>
      <w:tr>
        <w:trPr>
          <w:trHeight w:val="182" w:hRule="atLeast"/>
        </w:trPr>
        <w:tc>
          <w:tcPr>
            <w:tcW w:w="7242" w:type="dxa"/>
          </w:tcPr>
          <w:p>
            <w:pPr>
              <w:pStyle w:val="TableParagraph"/>
              <w:spacing w:line="162" w:lineRule="exact"/>
              <w:ind w:left="76"/>
              <w:jc w:val="left"/>
              <w:rPr>
                <w:i/>
                <w:sz w:val="16"/>
              </w:rPr>
            </w:pPr>
            <w:r>
              <w:rPr>
                <w:i/>
                <w:sz w:val="16"/>
              </w:rPr>
              <w:t>Incentivi per la riqualificazione energetica e antisismica degli immobili</w:t>
            </w:r>
          </w:p>
        </w:tc>
        <w:tc>
          <w:tcPr>
            <w:tcW w:w="686" w:type="dxa"/>
          </w:tcPr>
          <w:p>
            <w:pPr>
              <w:pStyle w:val="TableParagraph"/>
              <w:spacing w:line="162" w:lineRule="exact"/>
              <w:ind w:right="136"/>
              <w:rPr>
                <w:i/>
                <w:sz w:val="16"/>
              </w:rPr>
            </w:pPr>
            <w:r>
              <w:rPr>
                <w:i/>
                <w:sz w:val="16"/>
              </w:rPr>
              <w:t>30</w:t>
            </w:r>
          </w:p>
        </w:tc>
        <w:tc>
          <w:tcPr>
            <w:tcW w:w="690" w:type="dxa"/>
          </w:tcPr>
          <w:p>
            <w:pPr>
              <w:pStyle w:val="TableParagraph"/>
              <w:spacing w:line="162" w:lineRule="exact"/>
              <w:ind w:right="135"/>
              <w:rPr>
                <w:i/>
                <w:sz w:val="16"/>
              </w:rPr>
            </w:pPr>
            <w:r>
              <w:rPr>
                <w:i/>
                <w:sz w:val="16"/>
              </w:rPr>
              <w:t>40</w:t>
            </w:r>
          </w:p>
        </w:tc>
        <w:tc>
          <w:tcPr>
            <w:tcW w:w="691" w:type="dxa"/>
          </w:tcPr>
          <w:p>
            <w:pPr>
              <w:pStyle w:val="TableParagraph"/>
              <w:spacing w:line="162" w:lineRule="exact"/>
              <w:ind w:right="137"/>
              <w:rPr>
                <w:i/>
                <w:sz w:val="16"/>
              </w:rPr>
            </w:pPr>
            <w:r>
              <w:rPr>
                <w:i/>
                <w:sz w:val="16"/>
              </w:rPr>
              <w:t>40</w:t>
            </w:r>
          </w:p>
        </w:tc>
        <w:tc>
          <w:tcPr>
            <w:tcW w:w="623" w:type="dxa"/>
          </w:tcPr>
          <w:p>
            <w:pPr>
              <w:pStyle w:val="TableParagraph"/>
              <w:spacing w:line="162" w:lineRule="exact"/>
              <w:ind w:right="66"/>
              <w:rPr>
                <w:i/>
                <w:sz w:val="16"/>
              </w:rPr>
            </w:pPr>
            <w:r>
              <w:rPr>
                <w:i/>
                <w:w w:val="100"/>
                <w:sz w:val="16"/>
              </w:rPr>
              <w:t>0</w:t>
            </w:r>
          </w:p>
        </w:tc>
      </w:tr>
      <w:tr>
        <w:trPr>
          <w:trHeight w:val="181" w:hRule="atLeast"/>
        </w:trPr>
        <w:tc>
          <w:tcPr>
            <w:tcW w:w="7242" w:type="dxa"/>
          </w:tcPr>
          <w:p>
            <w:pPr>
              <w:pStyle w:val="TableParagraph"/>
              <w:spacing w:line="160" w:lineRule="exact"/>
              <w:ind w:left="76"/>
              <w:jc w:val="left"/>
              <w:rPr>
                <w:i/>
                <w:sz w:val="16"/>
              </w:rPr>
            </w:pPr>
            <w:r>
              <w:rPr>
                <w:i/>
                <w:sz w:val="16"/>
              </w:rPr>
              <w:t>Assoggettamento a tassazione dei canoni relativi agli immobili locati ad uso abitativo solo se percepiti</w:t>
            </w:r>
          </w:p>
        </w:tc>
        <w:tc>
          <w:tcPr>
            <w:tcW w:w="686" w:type="dxa"/>
          </w:tcPr>
          <w:p>
            <w:pPr>
              <w:pStyle w:val="TableParagraph"/>
              <w:spacing w:line="160" w:lineRule="exact"/>
              <w:ind w:right="135"/>
              <w:rPr>
                <w:i/>
                <w:sz w:val="16"/>
              </w:rPr>
            </w:pPr>
            <w:r>
              <w:rPr>
                <w:i/>
                <w:w w:val="100"/>
                <w:sz w:val="16"/>
              </w:rPr>
              <w:t>0</w:t>
            </w:r>
          </w:p>
        </w:tc>
        <w:tc>
          <w:tcPr>
            <w:tcW w:w="690" w:type="dxa"/>
          </w:tcPr>
          <w:p>
            <w:pPr>
              <w:pStyle w:val="TableParagraph"/>
              <w:spacing w:line="160" w:lineRule="exact"/>
              <w:ind w:right="134"/>
              <w:rPr>
                <w:i/>
                <w:sz w:val="16"/>
              </w:rPr>
            </w:pPr>
            <w:r>
              <w:rPr>
                <w:i/>
                <w:w w:val="100"/>
                <w:sz w:val="16"/>
              </w:rPr>
              <w:t>9</w:t>
            </w:r>
          </w:p>
        </w:tc>
        <w:tc>
          <w:tcPr>
            <w:tcW w:w="691" w:type="dxa"/>
          </w:tcPr>
          <w:p>
            <w:pPr>
              <w:pStyle w:val="TableParagraph"/>
              <w:spacing w:line="160" w:lineRule="exact"/>
              <w:ind w:right="137"/>
              <w:rPr>
                <w:i/>
                <w:sz w:val="16"/>
              </w:rPr>
            </w:pPr>
            <w:r>
              <w:rPr>
                <w:i/>
                <w:sz w:val="16"/>
              </w:rPr>
              <w:t>27</w:t>
            </w:r>
          </w:p>
        </w:tc>
        <w:tc>
          <w:tcPr>
            <w:tcW w:w="623" w:type="dxa"/>
          </w:tcPr>
          <w:p>
            <w:pPr>
              <w:pStyle w:val="TableParagraph"/>
              <w:spacing w:line="160" w:lineRule="exact"/>
              <w:ind w:right="66"/>
              <w:rPr>
                <w:i/>
                <w:sz w:val="16"/>
              </w:rPr>
            </w:pPr>
            <w:r>
              <w:rPr>
                <w:i/>
                <w:sz w:val="16"/>
              </w:rPr>
              <w:t>39</w:t>
            </w:r>
          </w:p>
        </w:tc>
      </w:tr>
      <w:tr>
        <w:trPr>
          <w:trHeight w:val="181" w:hRule="atLeast"/>
        </w:trPr>
        <w:tc>
          <w:tcPr>
            <w:tcW w:w="7242" w:type="dxa"/>
          </w:tcPr>
          <w:p>
            <w:pPr>
              <w:pStyle w:val="TableParagraph"/>
              <w:spacing w:line="161" w:lineRule="exact"/>
              <w:ind w:left="76"/>
              <w:jc w:val="left"/>
              <w:rPr>
                <w:i/>
                <w:sz w:val="16"/>
              </w:rPr>
            </w:pPr>
            <w:r>
              <w:rPr>
                <w:i/>
                <w:sz w:val="16"/>
              </w:rPr>
              <w:t>Modifica della disciplina della vendita di beni tramite piattaforme digitali</w:t>
            </w:r>
          </w:p>
        </w:tc>
        <w:tc>
          <w:tcPr>
            <w:tcW w:w="686" w:type="dxa"/>
          </w:tcPr>
          <w:p>
            <w:pPr>
              <w:pStyle w:val="TableParagraph"/>
              <w:spacing w:line="161" w:lineRule="exact"/>
              <w:ind w:right="136"/>
              <w:rPr>
                <w:i/>
                <w:sz w:val="16"/>
              </w:rPr>
            </w:pPr>
            <w:r>
              <w:rPr>
                <w:i/>
                <w:sz w:val="16"/>
              </w:rPr>
              <w:t>28</w:t>
            </w:r>
          </w:p>
        </w:tc>
        <w:tc>
          <w:tcPr>
            <w:tcW w:w="690" w:type="dxa"/>
          </w:tcPr>
          <w:p>
            <w:pPr>
              <w:pStyle w:val="TableParagraph"/>
              <w:spacing w:line="161" w:lineRule="exact"/>
              <w:ind w:right="135"/>
              <w:rPr>
                <w:i/>
                <w:sz w:val="16"/>
              </w:rPr>
            </w:pPr>
            <w:r>
              <w:rPr>
                <w:i/>
                <w:sz w:val="16"/>
              </w:rPr>
              <w:t>28</w:t>
            </w:r>
          </w:p>
        </w:tc>
        <w:tc>
          <w:tcPr>
            <w:tcW w:w="691" w:type="dxa"/>
          </w:tcPr>
          <w:p>
            <w:pPr>
              <w:pStyle w:val="TableParagraph"/>
              <w:spacing w:line="161" w:lineRule="exact"/>
              <w:ind w:right="136"/>
              <w:rPr>
                <w:i/>
                <w:sz w:val="16"/>
              </w:rPr>
            </w:pPr>
            <w:r>
              <w:rPr>
                <w:i/>
                <w:w w:val="100"/>
                <w:sz w:val="16"/>
              </w:rPr>
              <w:t>0</w:t>
            </w:r>
          </w:p>
        </w:tc>
        <w:tc>
          <w:tcPr>
            <w:tcW w:w="623" w:type="dxa"/>
          </w:tcPr>
          <w:p>
            <w:pPr>
              <w:pStyle w:val="TableParagraph"/>
              <w:spacing w:line="161" w:lineRule="exact"/>
              <w:ind w:right="66"/>
              <w:rPr>
                <w:i/>
                <w:sz w:val="16"/>
              </w:rPr>
            </w:pPr>
            <w:r>
              <w:rPr>
                <w:i/>
                <w:w w:val="100"/>
                <w:sz w:val="16"/>
              </w:rPr>
              <w:t>0</w:t>
            </w:r>
          </w:p>
        </w:tc>
      </w:tr>
      <w:tr>
        <w:trPr>
          <w:trHeight w:val="181" w:hRule="atLeast"/>
        </w:trPr>
        <w:tc>
          <w:tcPr>
            <w:tcW w:w="7242" w:type="dxa"/>
          </w:tcPr>
          <w:p>
            <w:pPr>
              <w:pStyle w:val="TableParagraph"/>
              <w:spacing w:line="160" w:lineRule="exact" w:before="1"/>
              <w:ind w:left="76"/>
              <w:jc w:val="left"/>
              <w:rPr>
                <w:i/>
                <w:sz w:val="16"/>
              </w:rPr>
            </w:pPr>
            <w:r>
              <w:rPr>
                <w:i/>
                <w:sz w:val="16"/>
              </w:rPr>
              <w:t>Incentivo fiscale per promuovere la crescita dell'Italia meridionale - canone annuo DTA e effetti fiscali</w:t>
            </w:r>
          </w:p>
        </w:tc>
        <w:tc>
          <w:tcPr>
            <w:tcW w:w="686" w:type="dxa"/>
          </w:tcPr>
          <w:p>
            <w:pPr>
              <w:pStyle w:val="TableParagraph"/>
              <w:spacing w:line="160" w:lineRule="exact" w:before="1"/>
              <w:ind w:right="135"/>
              <w:rPr>
                <w:i/>
                <w:sz w:val="16"/>
              </w:rPr>
            </w:pPr>
            <w:r>
              <w:rPr>
                <w:i/>
                <w:w w:val="100"/>
                <w:sz w:val="16"/>
              </w:rPr>
              <w:t>0</w:t>
            </w:r>
          </w:p>
        </w:tc>
        <w:tc>
          <w:tcPr>
            <w:tcW w:w="690" w:type="dxa"/>
          </w:tcPr>
          <w:p>
            <w:pPr>
              <w:pStyle w:val="TableParagraph"/>
              <w:spacing w:line="160" w:lineRule="exact" w:before="1"/>
              <w:ind w:right="134"/>
              <w:rPr>
                <w:i/>
                <w:sz w:val="16"/>
              </w:rPr>
            </w:pPr>
            <w:r>
              <w:rPr>
                <w:i/>
                <w:w w:val="100"/>
                <w:sz w:val="16"/>
              </w:rPr>
              <w:t>0</w:t>
            </w:r>
          </w:p>
        </w:tc>
        <w:tc>
          <w:tcPr>
            <w:tcW w:w="691" w:type="dxa"/>
          </w:tcPr>
          <w:p>
            <w:pPr>
              <w:pStyle w:val="TableParagraph"/>
              <w:spacing w:line="160" w:lineRule="exact" w:before="1"/>
              <w:ind w:right="136"/>
              <w:rPr>
                <w:i/>
                <w:sz w:val="16"/>
              </w:rPr>
            </w:pPr>
            <w:r>
              <w:rPr>
                <w:i/>
                <w:w w:val="100"/>
                <w:sz w:val="16"/>
              </w:rPr>
              <w:t>3</w:t>
            </w:r>
          </w:p>
        </w:tc>
        <w:tc>
          <w:tcPr>
            <w:tcW w:w="623" w:type="dxa"/>
          </w:tcPr>
          <w:p>
            <w:pPr>
              <w:pStyle w:val="TableParagraph"/>
              <w:spacing w:line="160" w:lineRule="exact" w:before="1"/>
              <w:ind w:right="66"/>
              <w:rPr>
                <w:i/>
                <w:sz w:val="16"/>
              </w:rPr>
            </w:pPr>
            <w:r>
              <w:rPr>
                <w:i/>
                <w:w w:val="100"/>
                <w:sz w:val="16"/>
              </w:rPr>
              <w:t>2</w:t>
            </w:r>
          </w:p>
        </w:tc>
      </w:tr>
      <w:tr>
        <w:trPr>
          <w:trHeight w:val="249" w:hRule="atLeast"/>
        </w:trPr>
        <w:tc>
          <w:tcPr>
            <w:tcW w:w="7242" w:type="dxa"/>
          </w:tcPr>
          <w:p>
            <w:pPr>
              <w:pStyle w:val="TableParagraph"/>
              <w:spacing w:line="181" w:lineRule="exact"/>
              <w:ind w:left="76"/>
              <w:jc w:val="left"/>
              <w:rPr>
                <w:i/>
                <w:sz w:val="16"/>
              </w:rPr>
            </w:pPr>
            <w:r>
              <w:rPr>
                <w:i/>
                <w:sz w:val="16"/>
              </w:rPr>
              <w:t>Altro</w:t>
            </w:r>
          </w:p>
        </w:tc>
        <w:tc>
          <w:tcPr>
            <w:tcW w:w="686" w:type="dxa"/>
          </w:tcPr>
          <w:p>
            <w:pPr>
              <w:pStyle w:val="TableParagraph"/>
              <w:spacing w:line="181" w:lineRule="exact"/>
              <w:ind w:right="136"/>
              <w:rPr>
                <w:i/>
                <w:sz w:val="16"/>
              </w:rPr>
            </w:pPr>
            <w:r>
              <w:rPr>
                <w:i/>
                <w:sz w:val="16"/>
              </w:rPr>
              <w:t>10</w:t>
            </w:r>
          </w:p>
        </w:tc>
        <w:tc>
          <w:tcPr>
            <w:tcW w:w="690" w:type="dxa"/>
          </w:tcPr>
          <w:p>
            <w:pPr>
              <w:pStyle w:val="TableParagraph"/>
              <w:spacing w:line="181" w:lineRule="exact"/>
              <w:ind w:right="135"/>
              <w:rPr>
                <w:i/>
                <w:sz w:val="16"/>
              </w:rPr>
            </w:pPr>
            <w:r>
              <w:rPr>
                <w:i/>
                <w:sz w:val="16"/>
              </w:rPr>
              <w:t>24</w:t>
            </w:r>
          </w:p>
        </w:tc>
        <w:tc>
          <w:tcPr>
            <w:tcW w:w="691" w:type="dxa"/>
          </w:tcPr>
          <w:p>
            <w:pPr>
              <w:pStyle w:val="TableParagraph"/>
              <w:spacing w:line="181" w:lineRule="exact"/>
              <w:ind w:right="137"/>
              <w:rPr>
                <w:i/>
                <w:sz w:val="16"/>
              </w:rPr>
            </w:pPr>
            <w:r>
              <w:rPr>
                <w:i/>
                <w:sz w:val="16"/>
              </w:rPr>
              <w:t>34</w:t>
            </w:r>
          </w:p>
        </w:tc>
        <w:tc>
          <w:tcPr>
            <w:tcW w:w="623" w:type="dxa"/>
          </w:tcPr>
          <w:p>
            <w:pPr>
              <w:pStyle w:val="TableParagraph"/>
              <w:spacing w:line="181" w:lineRule="exact"/>
              <w:ind w:right="66"/>
              <w:rPr>
                <w:i/>
                <w:sz w:val="16"/>
              </w:rPr>
            </w:pPr>
            <w:r>
              <w:rPr>
                <w:i/>
                <w:sz w:val="16"/>
              </w:rPr>
              <w:t>57</w:t>
            </w:r>
          </w:p>
        </w:tc>
      </w:tr>
      <w:tr>
        <w:trPr>
          <w:trHeight w:val="815" w:hRule="atLeast"/>
        </w:trPr>
        <w:tc>
          <w:tcPr>
            <w:tcW w:w="7242" w:type="dxa"/>
          </w:tcPr>
          <w:p>
            <w:pPr>
              <w:pStyle w:val="TableParagraph"/>
              <w:spacing w:line="181" w:lineRule="exact" w:before="69"/>
              <w:ind w:left="76"/>
              <w:jc w:val="left"/>
              <w:rPr>
                <w:sz w:val="16"/>
              </w:rPr>
            </w:pPr>
            <w:r>
              <w:rPr>
                <w:sz w:val="16"/>
              </w:rPr>
              <w:t>Maggiori spese</w:t>
            </w:r>
          </w:p>
          <w:p>
            <w:pPr>
              <w:pStyle w:val="TableParagraph"/>
              <w:ind w:left="76" w:right="331"/>
              <w:jc w:val="left"/>
              <w:rPr>
                <w:i/>
                <w:sz w:val="16"/>
              </w:rPr>
            </w:pPr>
            <w:r>
              <w:rPr>
                <w:i/>
                <w:sz w:val="16"/>
              </w:rPr>
              <w:t>Fondo per stabilizzare i contributi a favore dei Comuni per interventi di efficientamento energetico, di </w:t>
            </w:r>
            <w:r>
              <w:rPr>
                <w:i/>
                <w:sz w:val="16"/>
              </w:rPr>
              <w:t>sviluppo territoriale sostenibile e per la messa in sicurezza di scuole, strade, edifici pubblici e patrimonio comunale</w:t>
            </w:r>
          </w:p>
        </w:tc>
        <w:tc>
          <w:tcPr>
            <w:tcW w:w="686" w:type="dxa"/>
          </w:tcPr>
          <w:p>
            <w:pPr>
              <w:pStyle w:val="TableParagraph"/>
              <w:spacing w:before="69"/>
              <w:ind w:right="136"/>
              <w:rPr>
                <w:sz w:val="16"/>
              </w:rPr>
            </w:pPr>
            <w:r>
              <w:rPr>
                <w:sz w:val="16"/>
              </w:rPr>
              <w:t>589</w:t>
            </w:r>
          </w:p>
          <w:p>
            <w:pPr>
              <w:pStyle w:val="TableParagraph"/>
              <w:jc w:val="left"/>
              <w:rPr>
                <w:rFonts w:ascii="Times New Roman"/>
                <w:sz w:val="18"/>
              </w:rPr>
            </w:pPr>
          </w:p>
          <w:p>
            <w:pPr>
              <w:pStyle w:val="TableParagraph"/>
              <w:spacing w:before="154"/>
              <w:ind w:right="135"/>
              <w:rPr>
                <w:i/>
                <w:sz w:val="16"/>
              </w:rPr>
            </w:pPr>
            <w:r>
              <w:rPr>
                <w:i/>
                <w:w w:val="100"/>
                <w:sz w:val="16"/>
              </w:rPr>
              <w:t>0</w:t>
            </w:r>
          </w:p>
        </w:tc>
        <w:tc>
          <w:tcPr>
            <w:tcW w:w="690" w:type="dxa"/>
          </w:tcPr>
          <w:p>
            <w:pPr>
              <w:pStyle w:val="TableParagraph"/>
              <w:spacing w:before="69"/>
              <w:ind w:left="271"/>
              <w:jc w:val="left"/>
              <w:rPr>
                <w:sz w:val="16"/>
              </w:rPr>
            </w:pPr>
            <w:r>
              <w:rPr>
                <w:sz w:val="16"/>
              </w:rPr>
              <w:t>662</w:t>
            </w:r>
          </w:p>
          <w:p>
            <w:pPr>
              <w:pStyle w:val="TableParagraph"/>
              <w:jc w:val="left"/>
              <w:rPr>
                <w:rFonts w:ascii="Times New Roman"/>
                <w:sz w:val="18"/>
              </w:rPr>
            </w:pPr>
          </w:p>
          <w:p>
            <w:pPr>
              <w:pStyle w:val="TableParagraph"/>
              <w:spacing w:before="154"/>
              <w:ind w:left="365"/>
              <w:jc w:val="left"/>
              <w:rPr>
                <w:i/>
                <w:sz w:val="16"/>
              </w:rPr>
            </w:pPr>
            <w:r>
              <w:rPr>
                <w:i/>
                <w:sz w:val="16"/>
              </w:rPr>
              <w:t>75</w:t>
            </w:r>
          </w:p>
        </w:tc>
        <w:tc>
          <w:tcPr>
            <w:tcW w:w="691" w:type="dxa"/>
          </w:tcPr>
          <w:p>
            <w:pPr>
              <w:pStyle w:val="TableParagraph"/>
              <w:spacing w:before="69"/>
              <w:ind w:left="270"/>
              <w:jc w:val="left"/>
              <w:rPr>
                <w:sz w:val="16"/>
              </w:rPr>
            </w:pPr>
            <w:r>
              <w:rPr>
                <w:sz w:val="16"/>
              </w:rPr>
              <w:t>786</w:t>
            </w:r>
          </w:p>
          <w:p>
            <w:pPr>
              <w:pStyle w:val="TableParagraph"/>
              <w:jc w:val="left"/>
              <w:rPr>
                <w:rFonts w:ascii="Times New Roman"/>
                <w:sz w:val="18"/>
              </w:rPr>
            </w:pPr>
          </w:p>
          <w:p>
            <w:pPr>
              <w:pStyle w:val="TableParagraph"/>
              <w:spacing w:before="154"/>
              <w:ind w:left="270"/>
              <w:jc w:val="left"/>
              <w:rPr>
                <w:i/>
                <w:sz w:val="16"/>
              </w:rPr>
            </w:pPr>
            <w:r>
              <w:rPr>
                <w:i/>
                <w:sz w:val="16"/>
              </w:rPr>
              <w:t>200</w:t>
            </w:r>
          </w:p>
        </w:tc>
        <w:tc>
          <w:tcPr>
            <w:tcW w:w="623" w:type="dxa"/>
          </w:tcPr>
          <w:p>
            <w:pPr>
              <w:pStyle w:val="TableParagraph"/>
              <w:spacing w:before="69"/>
              <w:ind w:left="273"/>
              <w:jc w:val="left"/>
              <w:rPr>
                <w:sz w:val="16"/>
              </w:rPr>
            </w:pPr>
            <w:r>
              <w:rPr>
                <w:sz w:val="16"/>
              </w:rPr>
              <w:t>666</w:t>
            </w:r>
          </w:p>
          <w:p>
            <w:pPr>
              <w:pStyle w:val="TableParagraph"/>
              <w:jc w:val="left"/>
              <w:rPr>
                <w:rFonts w:ascii="Times New Roman"/>
                <w:sz w:val="18"/>
              </w:rPr>
            </w:pPr>
          </w:p>
          <w:p>
            <w:pPr>
              <w:pStyle w:val="TableParagraph"/>
              <w:spacing w:before="154"/>
              <w:ind w:left="273"/>
              <w:jc w:val="left"/>
              <w:rPr>
                <w:i/>
                <w:sz w:val="16"/>
              </w:rPr>
            </w:pPr>
            <w:r>
              <w:rPr>
                <w:i/>
                <w:sz w:val="16"/>
              </w:rPr>
              <w:t>210</w:t>
            </w:r>
          </w:p>
        </w:tc>
      </w:tr>
      <w:tr>
        <w:trPr>
          <w:trHeight w:val="226" w:hRule="atLeast"/>
        </w:trPr>
        <w:tc>
          <w:tcPr>
            <w:tcW w:w="7242" w:type="dxa"/>
          </w:tcPr>
          <w:p>
            <w:pPr>
              <w:pStyle w:val="TableParagraph"/>
              <w:spacing w:before="23"/>
              <w:ind w:left="76"/>
              <w:jc w:val="left"/>
              <w:rPr>
                <w:i/>
                <w:sz w:val="16"/>
              </w:rPr>
            </w:pPr>
            <w:r>
              <w:rPr>
                <w:i/>
                <w:sz w:val="16"/>
              </w:rPr>
              <w:t>Incentivo fiscale per promuovere la crescita dell'Italia meridionale - credito d'imposta DTA</w:t>
            </w:r>
          </w:p>
        </w:tc>
        <w:tc>
          <w:tcPr>
            <w:tcW w:w="686" w:type="dxa"/>
          </w:tcPr>
          <w:p>
            <w:pPr>
              <w:pStyle w:val="TableParagraph"/>
              <w:spacing w:before="23"/>
              <w:ind w:right="135"/>
              <w:rPr>
                <w:i/>
                <w:sz w:val="16"/>
              </w:rPr>
            </w:pPr>
            <w:r>
              <w:rPr>
                <w:i/>
                <w:w w:val="100"/>
                <w:sz w:val="16"/>
              </w:rPr>
              <w:t>0</w:t>
            </w:r>
          </w:p>
        </w:tc>
        <w:tc>
          <w:tcPr>
            <w:tcW w:w="690" w:type="dxa"/>
          </w:tcPr>
          <w:p>
            <w:pPr>
              <w:pStyle w:val="TableParagraph"/>
              <w:spacing w:before="23"/>
              <w:ind w:right="135"/>
              <w:rPr>
                <w:i/>
                <w:sz w:val="16"/>
              </w:rPr>
            </w:pPr>
            <w:r>
              <w:rPr>
                <w:i/>
                <w:sz w:val="16"/>
              </w:rPr>
              <w:t>140</w:t>
            </w:r>
          </w:p>
        </w:tc>
        <w:tc>
          <w:tcPr>
            <w:tcW w:w="691" w:type="dxa"/>
          </w:tcPr>
          <w:p>
            <w:pPr>
              <w:pStyle w:val="TableParagraph"/>
              <w:spacing w:before="23"/>
              <w:ind w:right="137"/>
              <w:rPr>
                <w:i/>
                <w:sz w:val="16"/>
              </w:rPr>
            </w:pPr>
            <w:r>
              <w:rPr>
                <w:i/>
                <w:sz w:val="16"/>
              </w:rPr>
              <w:t>140</w:t>
            </w:r>
          </w:p>
        </w:tc>
        <w:tc>
          <w:tcPr>
            <w:tcW w:w="623" w:type="dxa"/>
          </w:tcPr>
          <w:p>
            <w:pPr>
              <w:pStyle w:val="TableParagraph"/>
              <w:spacing w:before="23"/>
              <w:ind w:right="66"/>
              <w:rPr>
                <w:i/>
                <w:sz w:val="16"/>
              </w:rPr>
            </w:pPr>
            <w:r>
              <w:rPr>
                <w:i/>
                <w:sz w:val="16"/>
              </w:rPr>
              <w:t>140</w:t>
            </w:r>
          </w:p>
        </w:tc>
      </w:tr>
      <w:tr>
        <w:trPr>
          <w:trHeight w:val="226" w:hRule="atLeast"/>
        </w:trPr>
        <w:tc>
          <w:tcPr>
            <w:tcW w:w="7242" w:type="dxa"/>
          </w:tcPr>
          <w:p>
            <w:pPr>
              <w:pStyle w:val="TableParagraph"/>
              <w:spacing w:before="22"/>
              <w:ind w:left="76"/>
              <w:jc w:val="left"/>
              <w:rPr>
                <w:i/>
                <w:sz w:val="16"/>
              </w:rPr>
            </w:pPr>
            <w:r>
              <w:rPr>
                <w:i/>
                <w:sz w:val="16"/>
              </w:rPr>
              <w:t>Riduzione del concorso alla finanza pubblica della regione Friuli Venezia Giulia</w:t>
            </w:r>
          </w:p>
        </w:tc>
        <w:tc>
          <w:tcPr>
            <w:tcW w:w="686" w:type="dxa"/>
          </w:tcPr>
          <w:p>
            <w:pPr>
              <w:pStyle w:val="TableParagraph"/>
              <w:spacing w:before="22"/>
              <w:ind w:right="136"/>
              <w:rPr>
                <w:i/>
                <w:sz w:val="16"/>
              </w:rPr>
            </w:pPr>
            <w:r>
              <w:rPr>
                <w:i/>
                <w:sz w:val="16"/>
              </w:rPr>
              <w:t>30</w:t>
            </w:r>
          </w:p>
        </w:tc>
        <w:tc>
          <w:tcPr>
            <w:tcW w:w="690" w:type="dxa"/>
          </w:tcPr>
          <w:p>
            <w:pPr>
              <w:pStyle w:val="TableParagraph"/>
              <w:spacing w:before="22"/>
              <w:ind w:right="135"/>
              <w:rPr>
                <w:i/>
                <w:sz w:val="16"/>
              </w:rPr>
            </w:pPr>
            <w:r>
              <w:rPr>
                <w:i/>
                <w:sz w:val="16"/>
              </w:rPr>
              <w:t>110</w:t>
            </w:r>
          </w:p>
        </w:tc>
        <w:tc>
          <w:tcPr>
            <w:tcW w:w="691" w:type="dxa"/>
          </w:tcPr>
          <w:p>
            <w:pPr>
              <w:pStyle w:val="TableParagraph"/>
              <w:spacing w:before="22"/>
              <w:ind w:right="137"/>
              <w:rPr>
                <w:i/>
                <w:sz w:val="16"/>
              </w:rPr>
            </w:pPr>
            <w:r>
              <w:rPr>
                <w:i/>
                <w:sz w:val="16"/>
              </w:rPr>
              <w:t>120</w:t>
            </w:r>
          </w:p>
        </w:tc>
        <w:tc>
          <w:tcPr>
            <w:tcW w:w="623" w:type="dxa"/>
          </w:tcPr>
          <w:p>
            <w:pPr>
              <w:pStyle w:val="TableParagraph"/>
              <w:spacing w:before="22"/>
              <w:ind w:right="66"/>
              <w:rPr>
                <w:i/>
                <w:sz w:val="16"/>
              </w:rPr>
            </w:pPr>
            <w:r>
              <w:rPr>
                <w:i/>
                <w:w w:val="100"/>
                <w:sz w:val="16"/>
              </w:rPr>
              <w:t>0</w:t>
            </w:r>
          </w:p>
        </w:tc>
      </w:tr>
      <w:tr>
        <w:trPr>
          <w:trHeight w:val="227" w:hRule="atLeast"/>
        </w:trPr>
        <w:tc>
          <w:tcPr>
            <w:tcW w:w="7242" w:type="dxa"/>
          </w:tcPr>
          <w:p>
            <w:pPr>
              <w:pStyle w:val="TableParagraph"/>
              <w:spacing w:before="23"/>
              <w:ind w:left="76"/>
              <w:jc w:val="left"/>
              <w:rPr>
                <w:i/>
                <w:sz w:val="16"/>
              </w:rPr>
            </w:pPr>
            <w:r>
              <w:rPr>
                <w:i/>
                <w:sz w:val="16"/>
              </w:rPr>
              <w:t>Fondo per il pagamento degli interessi ai possessori del prestito obbligazionario City of Rome</w:t>
            </w:r>
          </w:p>
        </w:tc>
        <w:tc>
          <w:tcPr>
            <w:tcW w:w="686" w:type="dxa"/>
          </w:tcPr>
          <w:p>
            <w:pPr>
              <w:pStyle w:val="TableParagraph"/>
              <w:spacing w:before="23"/>
              <w:ind w:right="135"/>
              <w:rPr>
                <w:i/>
                <w:sz w:val="16"/>
              </w:rPr>
            </w:pPr>
            <w:r>
              <w:rPr>
                <w:i/>
                <w:w w:val="100"/>
                <w:sz w:val="16"/>
              </w:rPr>
              <w:t>0</w:t>
            </w:r>
          </w:p>
        </w:tc>
        <w:tc>
          <w:tcPr>
            <w:tcW w:w="690" w:type="dxa"/>
          </w:tcPr>
          <w:p>
            <w:pPr>
              <w:pStyle w:val="TableParagraph"/>
              <w:spacing w:before="23"/>
              <w:ind w:right="135"/>
              <w:rPr>
                <w:i/>
                <w:sz w:val="16"/>
              </w:rPr>
            </w:pPr>
            <w:r>
              <w:rPr>
                <w:i/>
                <w:sz w:val="16"/>
              </w:rPr>
              <w:t>75</w:t>
            </w:r>
          </w:p>
        </w:tc>
        <w:tc>
          <w:tcPr>
            <w:tcW w:w="691" w:type="dxa"/>
          </w:tcPr>
          <w:p>
            <w:pPr>
              <w:pStyle w:val="TableParagraph"/>
              <w:spacing w:before="23"/>
              <w:ind w:right="137"/>
              <w:rPr>
                <w:i/>
                <w:sz w:val="16"/>
              </w:rPr>
            </w:pPr>
            <w:r>
              <w:rPr>
                <w:i/>
                <w:sz w:val="16"/>
              </w:rPr>
              <w:t>75</w:t>
            </w:r>
          </w:p>
        </w:tc>
        <w:tc>
          <w:tcPr>
            <w:tcW w:w="623" w:type="dxa"/>
          </w:tcPr>
          <w:p>
            <w:pPr>
              <w:pStyle w:val="TableParagraph"/>
              <w:spacing w:before="23"/>
              <w:ind w:right="66"/>
              <w:rPr>
                <w:i/>
                <w:sz w:val="16"/>
              </w:rPr>
            </w:pPr>
            <w:r>
              <w:rPr>
                <w:i/>
                <w:sz w:val="16"/>
              </w:rPr>
              <w:t>75</w:t>
            </w:r>
          </w:p>
        </w:tc>
      </w:tr>
      <w:tr>
        <w:trPr>
          <w:trHeight w:val="204" w:hRule="atLeast"/>
        </w:trPr>
        <w:tc>
          <w:tcPr>
            <w:tcW w:w="7242" w:type="dxa"/>
          </w:tcPr>
          <w:p>
            <w:pPr>
              <w:pStyle w:val="TableParagraph"/>
              <w:spacing w:line="160" w:lineRule="exact" w:before="23"/>
              <w:ind w:left="76"/>
              <w:jc w:val="left"/>
              <w:rPr>
                <w:i/>
                <w:sz w:val="16"/>
              </w:rPr>
            </w:pPr>
            <w:r>
              <w:rPr>
                <w:i/>
                <w:sz w:val="16"/>
              </w:rPr>
              <w:t>Trasferimento alla regione Friuli Venezia Giulia per spese di investimento</w:t>
            </w:r>
          </w:p>
        </w:tc>
        <w:tc>
          <w:tcPr>
            <w:tcW w:w="686" w:type="dxa"/>
          </w:tcPr>
          <w:p>
            <w:pPr>
              <w:pStyle w:val="TableParagraph"/>
              <w:spacing w:line="160" w:lineRule="exact" w:before="23"/>
              <w:ind w:right="136"/>
              <w:rPr>
                <w:i/>
                <w:sz w:val="16"/>
              </w:rPr>
            </w:pPr>
            <w:r>
              <w:rPr>
                <w:i/>
                <w:sz w:val="16"/>
              </w:rPr>
              <w:t>15</w:t>
            </w:r>
          </w:p>
        </w:tc>
        <w:tc>
          <w:tcPr>
            <w:tcW w:w="690" w:type="dxa"/>
          </w:tcPr>
          <w:p>
            <w:pPr>
              <w:pStyle w:val="TableParagraph"/>
              <w:spacing w:line="160" w:lineRule="exact" w:before="23"/>
              <w:ind w:right="135"/>
              <w:rPr>
                <w:i/>
                <w:sz w:val="16"/>
              </w:rPr>
            </w:pPr>
            <w:r>
              <w:rPr>
                <w:i/>
                <w:sz w:val="16"/>
              </w:rPr>
              <w:t>15</w:t>
            </w:r>
          </w:p>
        </w:tc>
        <w:tc>
          <w:tcPr>
            <w:tcW w:w="691" w:type="dxa"/>
          </w:tcPr>
          <w:p>
            <w:pPr>
              <w:pStyle w:val="TableParagraph"/>
              <w:spacing w:line="160" w:lineRule="exact" w:before="23"/>
              <w:ind w:right="137"/>
              <w:rPr>
                <w:i/>
                <w:sz w:val="16"/>
              </w:rPr>
            </w:pPr>
            <w:r>
              <w:rPr>
                <w:i/>
                <w:sz w:val="16"/>
              </w:rPr>
              <w:t>80</w:t>
            </w:r>
          </w:p>
        </w:tc>
        <w:tc>
          <w:tcPr>
            <w:tcW w:w="623" w:type="dxa"/>
          </w:tcPr>
          <w:p>
            <w:pPr>
              <w:pStyle w:val="TableParagraph"/>
              <w:spacing w:line="160" w:lineRule="exact" w:before="23"/>
              <w:ind w:right="66"/>
              <w:rPr>
                <w:i/>
                <w:sz w:val="16"/>
              </w:rPr>
            </w:pPr>
            <w:r>
              <w:rPr>
                <w:i/>
                <w:sz w:val="16"/>
              </w:rPr>
              <w:t>80</w:t>
            </w:r>
          </w:p>
        </w:tc>
      </w:tr>
      <w:tr>
        <w:trPr>
          <w:trHeight w:val="385" w:hRule="atLeast"/>
        </w:trPr>
        <w:tc>
          <w:tcPr>
            <w:tcW w:w="7242" w:type="dxa"/>
          </w:tcPr>
          <w:p>
            <w:pPr>
              <w:pStyle w:val="TableParagraph"/>
              <w:ind w:left="76" w:right="421"/>
              <w:jc w:val="left"/>
              <w:rPr>
                <w:i/>
                <w:sz w:val="16"/>
              </w:rPr>
            </w:pPr>
            <w:r>
              <w:rPr>
                <w:i/>
                <w:sz w:val="16"/>
              </w:rPr>
              <w:t>Istituzione presso il fondo centrale di garanzia per le PMI di una sezione speciale per investimenti di </w:t>
            </w:r>
            <w:r>
              <w:rPr>
                <w:i/>
                <w:sz w:val="16"/>
              </w:rPr>
              <w:t>medio-lungo termine in beni materiali</w:t>
            </w:r>
          </w:p>
        </w:tc>
        <w:tc>
          <w:tcPr>
            <w:tcW w:w="686" w:type="dxa"/>
          </w:tcPr>
          <w:p>
            <w:pPr>
              <w:pStyle w:val="TableParagraph"/>
              <w:spacing w:before="9"/>
              <w:jc w:val="left"/>
              <w:rPr>
                <w:rFonts w:ascii="Times New Roman"/>
                <w:sz w:val="15"/>
              </w:rPr>
            </w:pPr>
          </w:p>
          <w:p>
            <w:pPr>
              <w:pStyle w:val="TableParagraph"/>
              <w:ind w:right="136"/>
              <w:rPr>
                <w:i/>
                <w:sz w:val="16"/>
              </w:rPr>
            </w:pPr>
            <w:r>
              <w:rPr>
                <w:i/>
                <w:sz w:val="16"/>
              </w:rPr>
              <w:t>150</w:t>
            </w:r>
          </w:p>
        </w:tc>
        <w:tc>
          <w:tcPr>
            <w:tcW w:w="690" w:type="dxa"/>
          </w:tcPr>
          <w:p>
            <w:pPr>
              <w:pStyle w:val="TableParagraph"/>
              <w:spacing w:before="9"/>
              <w:jc w:val="left"/>
              <w:rPr>
                <w:rFonts w:ascii="Times New Roman"/>
                <w:sz w:val="15"/>
              </w:rPr>
            </w:pPr>
          </w:p>
          <w:p>
            <w:pPr>
              <w:pStyle w:val="TableParagraph"/>
              <w:ind w:right="134"/>
              <w:rPr>
                <w:i/>
                <w:sz w:val="16"/>
              </w:rPr>
            </w:pPr>
            <w:r>
              <w:rPr>
                <w:i/>
                <w:w w:val="100"/>
                <w:sz w:val="16"/>
              </w:rPr>
              <w:t>0</w:t>
            </w:r>
          </w:p>
        </w:tc>
        <w:tc>
          <w:tcPr>
            <w:tcW w:w="691" w:type="dxa"/>
          </w:tcPr>
          <w:p>
            <w:pPr>
              <w:pStyle w:val="TableParagraph"/>
              <w:spacing w:before="9"/>
              <w:jc w:val="left"/>
              <w:rPr>
                <w:rFonts w:ascii="Times New Roman"/>
                <w:sz w:val="15"/>
              </w:rPr>
            </w:pPr>
          </w:p>
          <w:p>
            <w:pPr>
              <w:pStyle w:val="TableParagraph"/>
              <w:ind w:right="136"/>
              <w:rPr>
                <w:i/>
                <w:sz w:val="16"/>
              </w:rPr>
            </w:pPr>
            <w:r>
              <w:rPr>
                <w:i/>
                <w:w w:val="100"/>
                <w:sz w:val="16"/>
              </w:rPr>
              <w:t>0</w:t>
            </w:r>
          </w:p>
        </w:tc>
        <w:tc>
          <w:tcPr>
            <w:tcW w:w="623" w:type="dxa"/>
          </w:tcPr>
          <w:p>
            <w:pPr>
              <w:pStyle w:val="TableParagraph"/>
              <w:spacing w:before="9"/>
              <w:jc w:val="left"/>
              <w:rPr>
                <w:rFonts w:ascii="Times New Roman"/>
                <w:sz w:val="15"/>
              </w:rPr>
            </w:pPr>
          </w:p>
          <w:p>
            <w:pPr>
              <w:pStyle w:val="TableParagraph"/>
              <w:ind w:right="66"/>
              <w:rPr>
                <w:i/>
                <w:sz w:val="16"/>
              </w:rPr>
            </w:pPr>
            <w:r>
              <w:rPr>
                <w:i/>
                <w:w w:val="100"/>
                <w:sz w:val="16"/>
              </w:rPr>
              <w:t>0</w:t>
            </w:r>
          </w:p>
        </w:tc>
      </w:tr>
      <w:tr>
        <w:trPr>
          <w:trHeight w:val="203" w:hRule="atLeast"/>
        </w:trPr>
        <w:tc>
          <w:tcPr>
            <w:tcW w:w="7242" w:type="dxa"/>
          </w:tcPr>
          <w:p>
            <w:pPr>
              <w:pStyle w:val="TableParagraph"/>
              <w:spacing w:line="162" w:lineRule="exact" w:before="22"/>
              <w:ind w:left="76"/>
              <w:jc w:val="left"/>
              <w:rPr>
                <w:i/>
                <w:sz w:val="16"/>
              </w:rPr>
            </w:pPr>
            <w:r>
              <w:rPr>
                <w:i/>
                <w:sz w:val="16"/>
              </w:rPr>
              <w:t>Riduzione del concorso alla finanza pubblica della regione Sicilia</w:t>
            </w:r>
          </w:p>
        </w:tc>
        <w:tc>
          <w:tcPr>
            <w:tcW w:w="686" w:type="dxa"/>
          </w:tcPr>
          <w:p>
            <w:pPr>
              <w:pStyle w:val="TableParagraph"/>
              <w:spacing w:line="162" w:lineRule="exact" w:before="22"/>
              <w:ind w:right="136"/>
              <w:rPr>
                <w:i/>
                <w:sz w:val="16"/>
              </w:rPr>
            </w:pPr>
            <w:r>
              <w:rPr>
                <w:i/>
                <w:sz w:val="16"/>
              </w:rPr>
              <w:t>150</w:t>
            </w:r>
          </w:p>
        </w:tc>
        <w:tc>
          <w:tcPr>
            <w:tcW w:w="690" w:type="dxa"/>
          </w:tcPr>
          <w:p>
            <w:pPr>
              <w:pStyle w:val="TableParagraph"/>
              <w:spacing w:line="162" w:lineRule="exact" w:before="22"/>
              <w:ind w:right="134"/>
              <w:rPr>
                <w:i/>
                <w:sz w:val="16"/>
              </w:rPr>
            </w:pPr>
            <w:r>
              <w:rPr>
                <w:i/>
                <w:w w:val="100"/>
                <w:sz w:val="16"/>
              </w:rPr>
              <w:t>0</w:t>
            </w:r>
          </w:p>
        </w:tc>
        <w:tc>
          <w:tcPr>
            <w:tcW w:w="691" w:type="dxa"/>
          </w:tcPr>
          <w:p>
            <w:pPr>
              <w:pStyle w:val="TableParagraph"/>
              <w:spacing w:line="162" w:lineRule="exact" w:before="22"/>
              <w:ind w:right="136"/>
              <w:rPr>
                <w:i/>
                <w:sz w:val="16"/>
              </w:rPr>
            </w:pPr>
            <w:r>
              <w:rPr>
                <w:i/>
                <w:w w:val="100"/>
                <w:sz w:val="16"/>
              </w:rPr>
              <w:t>0</w:t>
            </w:r>
          </w:p>
        </w:tc>
        <w:tc>
          <w:tcPr>
            <w:tcW w:w="623" w:type="dxa"/>
          </w:tcPr>
          <w:p>
            <w:pPr>
              <w:pStyle w:val="TableParagraph"/>
              <w:spacing w:line="162" w:lineRule="exact" w:before="22"/>
              <w:ind w:right="66"/>
              <w:rPr>
                <w:i/>
                <w:sz w:val="16"/>
              </w:rPr>
            </w:pPr>
            <w:r>
              <w:rPr>
                <w:i/>
                <w:w w:val="100"/>
                <w:sz w:val="16"/>
              </w:rPr>
              <w:t>0</w:t>
            </w:r>
          </w:p>
        </w:tc>
      </w:tr>
      <w:tr>
        <w:trPr>
          <w:trHeight w:val="386" w:hRule="atLeast"/>
        </w:trPr>
        <w:tc>
          <w:tcPr>
            <w:tcW w:w="7242" w:type="dxa"/>
          </w:tcPr>
          <w:p>
            <w:pPr>
              <w:pStyle w:val="TableParagraph"/>
              <w:ind w:left="76" w:right="831"/>
              <w:jc w:val="left"/>
              <w:rPr>
                <w:i/>
                <w:sz w:val="16"/>
              </w:rPr>
            </w:pPr>
            <w:r>
              <w:rPr>
                <w:i/>
                <w:sz w:val="16"/>
              </w:rPr>
              <w:t>Contributo ai Comuni capoluogo delle città metropolitane in dissesto ai fini del concorso per il </w:t>
            </w:r>
            <w:r>
              <w:rPr>
                <w:i/>
                <w:sz w:val="16"/>
              </w:rPr>
              <w:t>pagamento delle rate dei mutui contratti per spese di investimento</w:t>
            </w:r>
          </w:p>
        </w:tc>
        <w:tc>
          <w:tcPr>
            <w:tcW w:w="686" w:type="dxa"/>
          </w:tcPr>
          <w:p>
            <w:pPr>
              <w:pStyle w:val="TableParagraph"/>
              <w:spacing w:before="10"/>
              <w:jc w:val="left"/>
              <w:rPr>
                <w:rFonts w:ascii="Times New Roman"/>
                <w:sz w:val="15"/>
              </w:rPr>
            </w:pPr>
          </w:p>
          <w:p>
            <w:pPr>
              <w:pStyle w:val="TableParagraph"/>
              <w:ind w:right="136"/>
              <w:rPr>
                <w:i/>
                <w:sz w:val="16"/>
              </w:rPr>
            </w:pPr>
            <w:r>
              <w:rPr>
                <w:i/>
                <w:sz w:val="16"/>
              </w:rPr>
              <w:t>20</w:t>
            </w:r>
          </w:p>
        </w:tc>
        <w:tc>
          <w:tcPr>
            <w:tcW w:w="690" w:type="dxa"/>
          </w:tcPr>
          <w:p>
            <w:pPr>
              <w:pStyle w:val="TableParagraph"/>
              <w:spacing w:before="10"/>
              <w:jc w:val="left"/>
              <w:rPr>
                <w:rFonts w:ascii="Times New Roman"/>
                <w:sz w:val="15"/>
              </w:rPr>
            </w:pPr>
          </w:p>
          <w:p>
            <w:pPr>
              <w:pStyle w:val="TableParagraph"/>
              <w:ind w:right="135"/>
              <w:rPr>
                <w:i/>
                <w:sz w:val="16"/>
              </w:rPr>
            </w:pPr>
            <w:r>
              <w:rPr>
                <w:i/>
                <w:sz w:val="16"/>
              </w:rPr>
              <w:t>35</w:t>
            </w:r>
          </w:p>
        </w:tc>
        <w:tc>
          <w:tcPr>
            <w:tcW w:w="691" w:type="dxa"/>
          </w:tcPr>
          <w:p>
            <w:pPr>
              <w:pStyle w:val="TableParagraph"/>
              <w:spacing w:before="10"/>
              <w:jc w:val="left"/>
              <w:rPr>
                <w:rFonts w:ascii="Times New Roman"/>
                <w:sz w:val="15"/>
              </w:rPr>
            </w:pPr>
          </w:p>
          <w:p>
            <w:pPr>
              <w:pStyle w:val="TableParagraph"/>
              <w:ind w:right="137"/>
              <w:rPr>
                <w:i/>
                <w:sz w:val="16"/>
              </w:rPr>
            </w:pPr>
            <w:r>
              <w:rPr>
                <w:i/>
                <w:sz w:val="16"/>
              </w:rPr>
              <w:t>35</w:t>
            </w:r>
          </w:p>
        </w:tc>
        <w:tc>
          <w:tcPr>
            <w:tcW w:w="623" w:type="dxa"/>
          </w:tcPr>
          <w:p>
            <w:pPr>
              <w:pStyle w:val="TableParagraph"/>
              <w:spacing w:before="10"/>
              <w:jc w:val="left"/>
              <w:rPr>
                <w:rFonts w:ascii="Times New Roman"/>
                <w:sz w:val="15"/>
              </w:rPr>
            </w:pPr>
          </w:p>
          <w:p>
            <w:pPr>
              <w:pStyle w:val="TableParagraph"/>
              <w:ind w:right="66"/>
              <w:rPr>
                <w:i/>
                <w:sz w:val="16"/>
              </w:rPr>
            </w:pPr>
            <w:r>
              <w:rPr>
                <w:i/>
                <w:sz w:val="16"/>
              </w:rPr>
              <w:t>35</w:t>
            </w:r>
          </w:p>
        </w:tc>
      </w:tr>
      <w:tr>
        <w:trPr>
          <w:trHeight w:val="203" w:hRule="atLeast"/>
        </w:trPr>
        <w:tc>
          <w:tcPr>
            <w:tcW w:w="7242" w:type="dxa"/>
          </w:tcPr>
          <w:p>
            <w:pPr>
              <w:pStyle w:val="TableParagraph"/>
              <w:spacing w:line="162" w:lineRule="exact" w:before="22"/>
              <w:ind w:left="76"/>
              <w:jc w:val="left"/>
              <w:rPr>
                <w:i/>
                <w:sz w:val="16"/>
              </w:rPr>
            </w:pPr>
            <w:r>
              <w:rPr>
                <w:i/>
                <w:sz w:val="16"/>
              </w:rPr>
              <w:t>Rifinanziamento del fondo di garanzia per la prima casa</w:t>
            </w:r>
          </w:p>
        </w:tc>
        <w:tc>
          <w:tcPr>
            <w:tcW w:w="686" w:type="dxa"/>
          </w:tcPr>
          <w:p>
            <w:pPr>
              <w:pStyle w:val="TableParagraph"/>
              <w:spacing w:line="162" w:lineRule="exact" w:before="22"/>
              <w:ind w:right="136"/>
              <w:rPr>
                <w:i/>
                <w:sz w:val="16"/>
              </w:rPr>
            </w:pPr>
            <w:r>
              <w:rPr>
                <w:i/>
                <w:sz w:val="16"/>
              </w:rPr>
              <w:t>100</w:t>
            </w:r>
          </w:p>
        </w:tc>
        <w:tc>
          <w:tcPr>
            <w:tcW w:w="690" w:type="dxa"/>
          </w:tcPr>
          <w:p>
            <w:pPr>
              <w:pStyle w:val="TableParagraph"/>
              <w:spacing w:line="162" w:lineRule="exact" w:before="22"/>
              <w:ind w:right="134"/>
              <w:rPr>
                <w:i/>
                <w:sz w:val="16"/>
              </w:rPr>
            </w:pPr>
            <w:r>
              <w:rPr>
                <w:i/>
                <w:w w:val="100"/>
                <w:sz w:val="16"/>
              </w:rPr>
              <w:t>0</w:t>
            </w:r>
          </w:p>
        </w:tc>
        <w:tc>
          <w:tcPr>
            <w:tcW w:w="691" w:type="dxa"/>
          </w:tcPr>
          <w:p>
            <w:pPr>
              <w:pStyle w:val="TableParagraph"/>
              <w:spacing w:line="162" w:lineRule="exact" w:before="22"/>
              <w:ind w:right="136"/>
              <w:rPr>
                <w:i/>
                <w:sz w:val="16"/>
              </w:rPr>
            </w:pPr>
            <w:r>
              <w:rPr>
                <w:i/>
                <w:w w:val="100"/>
                <w:sz w:val="16"/>
              </w:rPr>
              <w:t>0</w:t>
            </w:r>
          </w:p>
        </w:tc>
        <w:tc>
          <w:tcPr>
            <w:tcW w:w="623" w:type="dxa"/>
          </w:tcPr>
          <w:p>
            <w:pPr>
              <w:pStyle w:val="TableParagraph"/>
              <w:spacing w:line="162" w:lineRule="exact" w:before="22"/>
              <w:ind w:right="66"/>
              <w:rPr>
                <w:i/>
                <w:sz w:val="16"/>
              </w:rPr>
            </w:pPr>
            <w:r>
              <w:rPr>
                <w:i/>
                <w:w w:val="100"/>
                <w:sz w:val="16"/>
              </w:rPr>
              <w:t>0</w:t>
            </w:r>
          </w:p>
        </w:tc>
      </w:tr>
      <w:tr>
        <w:trPr>
          <w:trHeight w:val="385" w:hRule="atLeast"/>
        </w:trPr>
        <w:tc>
          <w:tcPr>
            <w:tcW w:w="7242" w:type="dxa"/>
          </w:tcPr>
          <w:p>
            <w:pPr>
              <w:pStyle w:val="TableParagraph"/>
              <w:ind w:left="76" w:right="717"/>
              <w:jc w:val="left"/>
              <w:rPr>
                <w:i/>
                <w:sz w:val="16"/>
              </w:rPr>
            </w:pPr>
            <w:r>
              <w:rPr>
                <w:i/>
                <w:sz w:val="16"/>
              </w:rPr>
              <w:t>Interventi di integrazione salariale e agevolazione all'esodo di lavoratori di imprese che attuano </w:t>
            </w:r>
            <w:r>
              <w:rPr>
                <w:i/>
                <w:sz w:val="16"/>
              </w:rPr>
              <w:t>processi di reindustrializzazione e riorganizzazione</w:t>
            </w:r>
          </w:p>
        </w:tc>
        <w:tc>
          <w:tcPr>
            <w:tcW w:w="686" w:type="dxa"/>
          </w:tcPr>
          <w:p>
            <w:pPr>
              <w:pStyle w:val="TableParagraph"/>
              <w:spacing w:before="8"/>
              <w:jc w:val="left"/>
              <w:rPr>
                <w:rFonts w:ascii="Times New Roman"/>
                <w:sz w:val="15"/>
              </w:rPr>
            </w:pPr>
          </w:p>
          <w:p>
            <w:pPr>
              <w:pStyle w:val="TableParagraph"/>
              <w:ind w:right="136"/>
              <w:rPr>
                <w:i/>
                <w:sz w:val="16"/>
              </w:rPr>
            </w:pPr>
            <w:r>
              <w:rPr>
                <w:i/>
                <w:sz w:val="16"/>
              </w:rPr>
              <w:t>20</w:t>
            </w:r>
          </w:p>
        </w:tc>
        <w:tc>
          <w:tcPr>
            <w:tcW w:w="690" w:type="dxa"/>
          </w:tcPr>
          <w:p>
            <w:pPr>
              <w:pStyle w:val="TableParagraph"/>
              <w:spacing w:before="8"/>
              <w:jc w:val="left"/>
              <w:rPr>
                <w:rFonts w:ascii="Times New Roman"/>
                <w:sz w:val="15"/>
              </w:rPr>
            </w:pPr>
          </w:p>
          <w:p>
            <w:pPr>
              <w:pStyle w:val="TableParagraph"/>
              <w:ind w:right="135"/>
              <w:rPr>
                <w:i/>
                <w:sz w:val="16"/>
              </w:rPr>
            </w:pPr>
            <w:r>
              <w:rPr>
                <w:i/>
                <w:sz w:val="16"/>
              </w:rPr>
              <w:t>44</w:t>
            </w:r>
          </w:p>
        </w:tc>
        <w:tc>
          <w:tcPr>
            <w:tcW w:w="691" w:type="dxa"/>
          </w:tcPr>
          <w:p>
            <w:pPr>
              <w:pStyle w:val="TableParagraph"/>
              <w:spacing w:before="8"/>
              <w:jc w:val="left"/>
              <w:rPr>
                <w:rFonts w:ascii="Times New Roman"/>
                <w:sz w:val="15"/>
              </w:rPr>
            </w:pPr>
          </w:p>
          <w:p>
            <w:pPr>
              <w:pStyle w:val="TableParagraph"/>
              <w:ind w:right="136"/>
              <w:rPr>
                <w:i/>
                <w:sz w:val="16"/>
              </w:rPr>
            </w:pPr>
            <w:r>
              <w:rPr>
                <w:i/>
                <w:w w:val="100"/>
                <w:sz w:val="16"/>
              </w:rPr>
              <w:t>7</w:t>
            </w:r>
          </w:p>
        </w:tc>
        <w:tc>
          <w:tcPr>
            <w:tcW w:w="623" w:type="dxa"/>
          </w:tcPr>
          <w:p>
            <w:pPr>
              <w:pStyle w:val="TableParagraph"/>
              <w:spacing w:before="8"/>
              <w:jc w:val="left"/>
              <w:rPr>
                <w:rFonts w:ascii="Times New Roman"/>
                <w:sz w:val="15"/>
              </w:rPr>
            </w:pPr>
          </w:p>
          <w:p>
            <w:pPr>
              <w:pStyle w:val="TableParagraph"/>
              <w:ind w:right="66"/>
              <w:rPr>
                <w:i/>
                <w:sz w:val="16"/>
              </w:rPr>
            </w:pPr>
            <w:r>
              <w:rPr>
                <w:i/>
                <w:w w:val="100"/>
                <w:sz w:val="16"/>
              </w:rPr>
              <w:t>0</w:t>
            </w:r>
          </w:p>
        </w:tc>
      </w:tr>
      <w:tr>
        <w:trPr>
          <w:trHeight w:val="227" w:hRule="atLeast"/>
        </w:trPr>
        <w:tc>
          <w:tcPr>
            <w:tcW w:w="7242" w:type="dxa"/>
          </w:tcPr>
          <w:p>
            <w:pPr>
              <w:pStyle w:val="TableParagraph"/>
              <w:spacing w:before="23"/>
              <w:ind w:left="76"/>
              <w:jc w:val="left"/>
              <w:rPr>
                <w:i/>
                <w:sz w:val="16"/>
              </w:rPr>
            </w:pPr>
            <w:r>
              <w:rPr>
                <w:i/>
                <w:sz w:val="16"/>
              </w:rPr>
              <w:t>Contributo alle micro, piccole e medie imprese per sostenere processi di ricapitalizzazione</w:t>
            </w:r>
          </w:p>
        </w:tc>
        <w:tc>
          <w:tcPr>
            <w:tcW w:w="686" w:type="dxa"/>
          </w:tcPr>
          <w:p>
            <w:pPr>
              <w:pStyle w:val="TableParagraph"/>
              <w:spacing w:before="23"/>
              <w:ind w:right="136"/>
              <w:rPr>
                <w:i/>
                <w:sz w:val="16"/>
              </w:rPr>
            </w:pPr>
            <w:r>
              <w:rPr>
                <w:i/>
                <w:sz w:val="16"/>
              </w:rPr>
              <w:t>10</w:t>
            </w:r>
          </w:p>
        </w:tc>
        <w:tc>
          <w:tcPr>
            <w:tcW w:w="690" w:type="dxa"/>
          </w:tcPr>
          <w:p>
            <w:pPr>
              <w:pStyle w:val="TableParagraph"/>
              <w:spacing w:before="23"/>
              <w:ind w:right="135"/>
              <w:rPr>
                <w:i/>
                <w:sz w:val="16"/>
              </w:rPr>
            </w:pPr>
            <w:r>
              <w:rPr>
                <w:i/>
                <w:sz w:val="16"/>
              </w:rPr>
              <w:t>15</w:t>
            </w:r>
          </w:p>
        </w:tc>
        <w:tc>
          <w:tcPr>
            <w:tcW w:w="691" w:type="dxa"/>
          </w:tcPr>
          <w:p>
            <w:pPr>
              <w:pStyle w:val="TableParagraph"/>
              <w:spacing w:before="23"/>
              <w:ind w:right="137"/>
              <w:rPr>
                <w:i/>
                <w:sz w:val="16"/>
              </w:rPr>
            </w:pPr>
            <w:r>
              <w:rPr>
                <w:i/>
                <w:sz w:val="16"/>
              </w:rPr>
              <w:t>15</w:t>
            </w:r>
          </w:p>
        </w:tc>
        <w:tc>
          <w:tcPr>
            <w:tcW w:w="623" w:type="dxa"/>
          </w:tcPr>
          <w:p>
            <w:pPr>
              <w:pStyle w:val="TableParagraph"/>
              <w:spacing w:before="23"/>
              <w:ind w:right="66"/>
              <w:rPr>
                <w:i/>
                <w:sz w:val="16"/>
              </w:rPr>
            </w:pPr>
            <w:r>
              <w:rPr>
                <w:i/>
                <w:sz w:val="16"/>
              </w:rPr>
              <w:t>15</w:t>
            </w:r>
          </w:p>
        </w:tc>
      </w:tr>
      <w:tr>
        <w:trPr>
          <w:trHeight w:val="204" w:hRule="atLeast"/>
        </w:trPr>
        <w:tc>
          <w:tcPr>
            <w:tcW w:w="7242" w:type="dxa"/>
          </w:tcPr>
          <w:p>
            <w:pPr>
              <w:pStyle w:val="TableParagraph"/>
              <w:spacing w:line="162" w:lineRule="exact" w:before="22"/>
              <w:ind w:left="76"/>
              <w:jc w:val="left"/>
              <w:rPr>
                <w:i/>
                <w:sz w:val="16"/>
              </w:rPr>
            </w:pPr>
            <w:r>
              <w:rPr>
                <w:i/>
                <w:sz w:val="16"/>
              </w:rPr>
              <w:t>Risorse per l'edilizia sanitaria</w:t>
            </w:r>
          </w:p>
        </w:tc>
        <w:tc>
          <w:tcPr>
            <w:tcW w:w="686" w:type="dxa"/>
          </w:tcPr>
          <w:p>
            <w:pPr>
              <w:pStyle w:val="TableParagraph"/>
              <w:spacing w:line="162" w:lineRule="exact" w:before="22"/>
              <w:ind w:right="135"/>
              <w:rPr>
                <w:i/>
                <w:sz w:val="16"/>
              </w:rPr>
            </w:pPr>
            <w:r>
              <w:rPr>
                <w:i/>
                <w:w w:val="100"/>
                <w:sz w:val="16"/>
              </w:rPr>
              <w:t>0</w:t>
            </w:r>
          </w:p>
        </w:tc>
        <w:tc>
          <w:tcPr>
            <w:tcW w:w="690" w:type="dxa"/>
          </w:tcPr>
          <w:p>
            <w:pPr>
              <w:pStyle w:val="TableParagraph"/>
              <w:spacing w:line="162" w:lineRule="exact" w:before="22"/>
              <w:ind w:right="134"/>
              <w:rPr>
                <w:i/>
                <w:sz w:val="16"/>
              </w:rPr>
            </w:pPr>
            <w:r>
              <w:rPr>
                <w:i/>
                <w:w w:val="100"/>
                <w:sz w:val="16"/>
              </w:rPr>
              <w:t>0</w:t>
            </w:r>
          </w:p>
        </w:tc>
        <w:tc>
          <w:tcPr>
            <w:tcW w:w="691" w:type="dxa"/>
          </w:tcPr>
          <w:p>
            <w:pPr>
              <w:pStyle w:val="TableParagraph"/>
              <w:spacing w:line="162" w:lineRule="exact" w:before="22"/>
              <w:ind w:right="136"/>
              <w:rPr>
                <w:i/>
                <w:sz w:val="16"/>
              </w:rPr>
            </w:pPr>
            <w:r>
              <w:rPr>
                <w:i/>
                <w:w w:val="100"/>
                <w:sz w:val="16"/>
              </w:rPr>
              <w:t>0</w:t>
            </w:r>
          </w:p>
        </w:tc>
        <w:tc>
          <w:tcPr>
            <w:tcW w:w="623" w:type="dxa"/>
          </w:tcPr>
          <w:p>
            <w:pPr>
              <w:pStyle w:val="TableParagraph"/>
              <w:spacing w:line="162" w:lineRule="exact" w:before="22"/>
              <w:ind w:right="66"/>
              <w:rPr>
                <w:i/>
                <w:sz w:val="16"/>
              </w:rPr>
            </w:pPr>
            <w:r>
              <w:rPr>
                <w:i/>
                <w:sz w:val="16"/>
              </w:rPr>
              <w:t>50</w:t>
            </w:r>
          </w:p>
        </w:tc>
      </w:tr>
      <w:tr>
        <w:trPr>
          <w:trHeight w:val="386" w:hRule="atLeast"/>
        </w:trPr>
        <w:tc>
          <w:tcPr>
            <w:tcW w:w="7242" w:type="dxa"/>
          </w:tcPr>
          <w:p>
            <w:pPr>
              <w:pStyle w:val="TableParagraph"/>
              <w:ind w:left="76" w:right="284"/>
              <w:jc w:val="left"/>
              <w:rPr>
                <w:i/>
                <w:sz w:val="16"/>
              </w:rPr>
            </w:pPr>
            <w:r>
              <w:rPr>
                <w:i/>
                <w:sz w:val="16"/>
              </w:rPr>
              <w:t>Ampliamento della platea dei lavoratori esposti all'amianto che possono beneficiare della pensione di </w:t>
            </w:r>
            <w:r>
              <w:rPr>
                <w:i/>
                <w:sz w:val="16"/>
              </w:rPr>
              <w:t>invalidità</w:t>
            </w:r>
          </w:p>
        </w:tc>
        <w:tc>
          <w:tcPr>
            <w:tcW w:w="686" w:type="dxa"/>
          </w:tcPr>
          <w:p>
            <w:pPr>
              <w:pStyle w:val="TableParagraph"/>
              <w:spacing w:before="10"/>
              <w:jc w:val="left"/>
              <w:rPr>
                <w:rFonts w:ascii="Times New Roman"/>
                <w:sz w:val="15"/>
              </w:rPr>
            </w:pPr>
          </w:p>
          <w:p>
            <w:pPr>
              <w:pStyle w:val="TableParagraph"/>
              <w:ind w:right="135"/>
              <w:rPr>
                <w:i/>
                <w:sz w:val="16"/>
              </w:rPr>
            </w:pPr>
            <w:r>
              <w:rPr>
                <w:i/>
                <w:w w:val="100"/>
                <w:sz w:val="16"/>
              </w:rPr>
              <w:t>8</w:t>
            </w:r>
          </w:p>
        </w:tc>
        <w:tc>
          <w:tcPr>
            <w:tcW w:w="690" w:type="dxa"/>
          </w:tcPr>
          <w:p>
            <w:pPr>
              <w:pStyle w:val="TableParagraph"/>
              <w:spacing w:before="10"/>
              <w:jc w:val="left"/>
              <w:rPr>
                <w:rFonts w:ascii="Times New Roman"/>
                <w:sz w:val="15"/>
              </w:rPr>
            </w:pPr>
          </w:p>
          <w:p>
            <w:pPr>
              <w:pStyle w:val="TableParagraph"/>
              <w:ind w:right="135"/>
              <w:rPr>
                <w:i/>
                <w:sz w:val="16"/>
              </w:rPr>
            </w:pPr>
            <w:r>
              <w:rPr>
                <w:i/>
                <w:sz w:val="16"/>
              </w:rPr>
              <w:t>13</w:t>
            </w:r>
          </w:p>
        </w:tc>
        <w:tc>
          <w:tcPr>
            <w:tcW w:w="691" w:type="dxa"/>
          </w:tcPr>
          <w:p>
            <w:pPr>
              <w:pStyle w:val="TableParagraph"/>
              <w:spacing w:before="10"/>
              <w:jc w:val="left"/>
              <w:rPr>
                <w:rFonts w:ascii="Times New Roman"/>
                <w:sz w:val="15"/>
              </w:rPr>
            </w:pPr>
          </w:p>
          <w:p>
            <w:pPr>
              <w:pStyle w:val="TableParagraph"/>
              <w:ind w:right="137"/>
              <w:rPr>
                <w:i/>
                <w:sz w:val="16"/>
              </w:rPr>
            </w:pPr>
            <w:r>
              <w:rPr>
                <w:i/>
                <w:sz w:val="16"/>
              </w:rPr>
              <w:t>13</w:t>
            </w:r>
          </w:p>
        </w:tc>
        <w:tc>
          <w:tcPr>
            <w:tcW w:w="623" w:type="dxa"/>
          </w:tcPr>
          <w:p>
            <w:pPr>
              <w:pStyle w:val="TableParagraph"/>
              <w:spacing w:before="10"/>
              <w:jc w:val="left"/>
              <w:rPr>
                <w:rFonts w:ascii="Times New Roman"/>
                <w:sz w:val="15"/>
              </w:rPr>
            </w:pPr>
          </w:p>
          <w:p>
            <w:pPr>
              <w:pStyle w:val="TableParagraph"/>
              <w:ind w:right="66"/>
              <w:rPr>
                <w:i/>
                <w:sz w:val="16"/>
              </w:rPr>
            </w:pPr>
            <w:r>
              <w:rPr>
                <w:i/>
                <w:sz w:val="16"/>
              </w:rPr>
              <w:t>12</w:t>
            </w:r>
          </w:p>
        </w:tc>
      </w:tr>
      <w:tr>
        <w:trPr>
          <w:trHeight w:val="226" w:hRule="atLeast"/>
        </w:trPr>
        <w:tc>
          <w:tcPr>
            <w:tcW w:w="7242" w:type="dxa"/>
          </w:tcPr>
          <w:p>
            <w:pPr>
              <w:pStyle w:val="TableParagraph"/>
              <w:spacing w:before="22"/>
              <w:ind w:left="76"/>
              <w:jc w:val="left"/>
              <w:rPr>
                <w:i/>
                <w:sz w:val="16"/>
              </w:rPr>
            </w:pPr>
            <w:r>
              <w:rPr>
                <w:i/>
                <w:sz w:val="16"/>
              </w:rPr>
              <w:t>Fondo per la tutela dei marchi storici di interesse nazionale</w:t>
            </w:r>
          </w:p>
        </w:tc>
        <w:tc>
          <w:tcPr>
            <w:tcW w:w="686" w:type="dxa"/>
          </w:tcPr>
          <w:p>
            <w:pPr>
              <w:pStyle w:val="TableParagraph"/>
              <w:spacing w:before="22"/>
              <w:ind w:right="135"/>
              <w:rPr>
                <w:i/>
                <w:sz w:val="16"/>
              </w:rPr>
            </w:pPr>
            <w:r>
              <w:rPr>
                <w:i/>
                <w:w w:val="100"/>
                <w:sz w:val="16"/>
              </w:rPr>
              <w:t>0</w:t>
            </w:r>
          </w:p>
        </w:tc>
        <w:tc>
          <w:tcPr>
            <w:tcW w:w="690" w:type="dxa"/>
          </w:tcPr>
          <w:p>
            <w:pPr>
              <w:pStyle w:val="TableParagraph"/>
              <w:spacing w:before="22"/>
              <w:ind w:right="135"/>
              <w:rPr>
                <w:i/>
                <w:sz w:val="16"/>
              </w:rPr>
            </w:pPr>
            <w:r>
              <w:rPr>
                <w:i/>
                <w:sz w:val="16"/>
              </w:rPr>
              <w:t>30</w:t>
            </w:r>
          </w:p>
        </w:tc>
        <w:tc>
          <w:tcPr>
            <w:tcW w:w="691" w:type="dxa"/>
          </w:tcPr>
          <w:p>
            <w:pPr>
              <w:pStyle w:val="TableParagraph"/>
              <w:spacing w:before="22"/>
              <w:ind w:right="136"/>
              <w:rPr>
                <w:i/>
                <w:sz w:val="16"/>
              </w:rPr>
            </w:pPr>
            <w:r>
              <w:rPr>
                <w:i/>
                <w:w w:val="100"/>
                <w:sz w:val="16"/>
              </w:rPr>
              <w:t>0</w:t>
            </w:r>
          </w:p>
        </w:tc>
        <w:tc>
          <w:tcPr>
            <w:tcW w:w="623" w:type="dxa"/>
          </w:tcPr>
          <w:p>
            <w:pPr>
              <w:pStyle w:val="TableParagraph"/>
              <w:spacing w:before="22"/>
              <w:ind w:right="66"/>
              <w:rPr>
                <w:i/>
                <w:sz w:val="16"/>
              </w:rPr>
            </w:pPr>
            <w:r>
              <w:rPr>
                <w:i/>
                <w:w w:val="100"/>
                <w:sz w:val="16"/>
              </w:rPr>
              <w:t>0</w:t>
            </w:r>
          </w:p>
        </w:tc>
      </w:tr>
      <w:tr>
        <w:trPr>
          <w:trHeight w:val="272" w:hRule="atLeast"/>
        </w:trPr>
        <w:tc>
          <w:tcPr>
            <w:tcW w:w="7242" w:type="dxa"/>
          </w:tcPr>
          <w:p>
            <w:pPr>
              <w:pStyle w:val="TableParagraph"/>
              <w:spacing w:before="23"/>
              <w:ind w:left="76"/>
              <w:jc w:val="left"/>
              <w:rPr>
                <w:i/>
                <w:sz w:val="16"/>
              </w:rPr>
            </w:pPr>
            <w:r>
              <w:rPr>
                <w:i/>
                <w:sz w:val="16"/>
              </w:rPr>
              <w:t>Altro</w:t>
            </w:r>
          </w:p>
        </w:tc>
        <w:tc>
          <w:tcPr>
            <w:tcW w:w="686" w:type="dxa"/>
          </w:tcPr>
          <w:p>
            <w:pPr>
              <w:pStyle w:val="TableParagraph"/>
              <w:spacing w:before="23"/>
              <w:ind w:right="136"/>
              <w:rPr>
                <w:i/>
                <w:sz w:val="16"/>
              </w:rPr>
            </w:pPr>
            <w:r>
              <w:rPr>
                <w:i/>
                <w:sz w:val="16"/>
              </w:rPr>
              <w:t>86</w:t>
            </w:r>
          </w:p>
        </w:tc>
        <w:tc>
          <w:tcPr>
            <w:tcW w:w="690" w:type="dxa"/>
          </w:tcPr>
          <w:p>
            <w:pPr>
              <w:pStyle w:val="TableParagraph"/>
              <w:spacing w:before="23"/>
              <w:ind w:right="135"/>
              <w:rPr>
                <w:i/>
                <w:sz w:val="16"/>
              </w:rPr>
            </w:pPr>
            <w:r>
              <w:rPr>
                <w:i/>
                <w:sz w:val="16"/>
              </w:rPr>
              <w:t>110</w:t>
            </w:r>
          </w:p>
        </w:tc>
        <w:tc>
          <w:tcPr>
            <w:tcW w:w="691" w:type="dxa"/>
          </w:tcPr>
          <w:p>
            <w:pPr>
              <w:pStyle w:val="TableParagraph"/>
              <w:spacing w:before="23"/>
              <w:ind w:right="137"/>
              <w:rPr>
                <w:i/>
                <w:sz w:val="16"/>
              </w:rPr>
            </w:pPr>
            <w:r>
              <w:rPr>
                <w:i/>
                <w:sz w:val="16"/>
              </w:rPr>
              <w:t>102</w:t>
            </w:r>
          </w:p>
        </w:tc>
        <w:tc>
          <w:tcPr>
            <w:tcW w:w="623" w:type="dxa"/>
          </w:tcPr>
          <w:p>
            <w:pPr>
              <w:pStyle w:val="TableParagraph"/>
              <w:spacing w:before="23"/>
              <w:ind w:right="66"/>
              <w:rPr>
                <w:i/>
                <w:sz w:val="16"/>
              </w:rPr>
            </w:pPr>
            <w:r>
              <w:rPr>
                <w:i/>
                <w:sz w:val="16"/>
              </w:rPr>
              <w:t>49</w:t>
            </w:r>
          </w:p>
        </w:tc>
      </w:tr>
      <w:tr>
        <w:trPr>
          <w:trHeight w:val="264" w:hRule="atLeast"/>
        </w:trPr>
        <w:tc>
          <w:tcPr>
            <w:tcW w:w="7242" w:type="dxa"/>
            <w:tcBorders>
              <w:bottom w:val="single" w:sz="8" w:space="0" w:color="000000"/>
            </w:tcBorders>
          </w:tcPr>
          <w:p>
            <w:pPr>
              <w:pStyle w:val="TableParagraph"/>
              <w:spacing w:line="177" w:lineRule="exact" w:before="68"/>
              <w:ind w:left="76"/>
              <w:jc w:val="left"/>
              <w:rPr>
                <w:sz w:val="16"/>
              </w:rPr>
            </w:pPr>
            <w:r>
              <w:rPr>
                <w:sz w:val="16"/>
              </w:rPr>
              <w:t>EFFETTO SULL'INDEBITAMENTO NETTO</w:t>
            </w:r>
          </w:p>
        </w:tc>
        <w:tc>
          <w:tcPr>
            <w:tcW w:w="686" w:type="dxa"/>
            <w:tcBorders>
              <w:bottom w:val="single" w:sz="8" w:space="0" w:color="000000"/>
            </w:tcBorders>
          </w:tcPr>
          <w:p>
            <w:pPr>
              <w:pStyle w:val="TableParagraph"/>
              <w:spacing w:line="177" w:lineRule="exact" w:before="68"/>
              <w:ind w:right="135"/>
              <w:rPr>
                <w:sz w:val="16"/>
              </w:rPr>
            </w:pPr>
            <w:r>
              <w:rPr>
                <w:w w:val="100"/>
                <w:sz w:val="16"/>
              </w:rPr>
              <w:t>3</w:t>
            </w:r>
          </w:p>
        </w:tc>
        <w:tc>
          <w:tcPr>
            <w:tcW w:w="690" w:type="dxa"/>
            <w:tcBorders>
              <w:bottom w:val="single" w:sz="8" w:space="0" w:color="000000"/>
            </w:tcBorders>
          </w:tcPr>
          <w:p>
            <w:pPr>
              <w:pStyle w:val="TableParagraph"/>
              <w:spacing w:line="177" w:lineRule="exact" w:before="68"/>
              <w:ind w:right="134"/>
              <w:rPr>
                <w:sz w:val="16"/>
              </w:rPr>
            </w:pPr>
            <w:r>
              <w:rPr>
                <w:w w:val="100"/>
                <w:sz w:val="16"/>
              </w:rPr>
              <w:t>2</w:t>
            </w:r>
          </w:p>
        </w:tc>
        <w:tc>
          <w:tcPr>
            <w:tcW w:w="691" w:type="dxa"/>
            <w:tcBorders>
              <w:bottom w:val="single" w:sz="8" w:space="0" w:color="000000"/>
            </w:tcBorders>
          </w:tcPr>
          <w:p>
            <w:pPr>
              <w:pStyle w:val="TableParagraph"/>
              <w:spacing w:line="177" w:lineRule="exact" w:before="68"/>
              <w:ind w:right="136"/>
              <w:rPr>
                <w:sz w:val="16"/>
              </w:rPr>
            </w:pPr>
            <w:r>
              <w:rPr>
                <w:w w:val="100"/>
                <w:sz w:val="16"/>
              </w:rPr>
              <w:t>1</w:t>
            </w:r>
          </w:p>
        </w:tc>
        <w:tc>
          <w:tcPr>
            <w:tcW w:w="623" w:type="dxa"/>
            <w:tcBorders>
              <w:bottom w:val="single" w:sz="8" w:space="0" w:color="000000"/>
            </w:tcBorders>
          </w:tcPr>
          <w:p>
            <w:pPr>
              <w:pStyle w:val="TableParagraph"/>
              <w:spacing w:line="177" w:lineRule="exact" w:before="68"/>
              <w:ind w:right="66"/>
              <w:rPr>
                <w:sz w:val="16"/>
              </w:rPr>
            </w:pPr>
            <w:r>
              <w:rPr>
                <w:w w:val="100"/>
                <w:sz w:val="16"/>
              </w:rPr>
              <w:t>1</w:t>
            </w:r>
          </w:p>
        </w:tc>
      </w:tr>
      <w:tr>
        <w:trPr>
          <w:trHeight w:val="241" w:hRule="atLeast"/>
        </w:trPr>
        <w:tc>
          <w:tcPr>
            <w:tcW w:w="7242" w:type="dxa"/>
            <w:tcBorders>
              <w:top w:val="single" w:sz="8" w:space="0" w:color="000000"/>
              <w:bottom w:val="single" w:sz="12" w:space="0" w:color="086939"/>
            </w:tcBorders>
          </w:tcPr>
          <w:p>
            <w:pPr>
              <w:pStyle w:val="TableParagraph"/>
              <w:spacing w:before="7"/>
              <w:ind w:left="76"/>
              <w:jc w:val="left"/>
              <w:rPr>
                <w:sz w:val="17"/>
              </w:rPr>
            </w:pPr>
            <w:r>
              <w:rPr>
                <w:sz w:val="17"/>
              </w:rPr>
              <w:t>Nota: eventuali imprecisioni derivano da arrotondamenti.</w:t>
            </w:r>
          </w:p>
        </w:tc>
        <w:tc>
          <w:tcPr>
            <w:tcW w:w="686" w:type="dxa"/>
            <w:tcBorders>
              <w:top w:val="single" w:sz="8" w:space="0" w:color="000000"/>
              <w:bottom w:val="single" w:sz="12" w:space="0" w:color="086939"/>
            </w:tcBorders>
          </w:tcPr>
          <w:p>
            <w:pPr>
              <w:pStyle w:val="TableParagraph"/>
              <w:jc w:val="left"/>
              <w:rPr>
                <w:rFonts w:ascii="Times New Roman"/>
                <w:sz w:val="16"/>
              </w:rPr>
            </w:pPr>
          </w:p>
        </w:tc>
        <w:tc>
          <w:tcPr>
            <w:tcW w:w="690" w:type="dxa"/>
            <w:tcBorders>
              <w:top w:val="single" w:sz="8" w:space="0" w:color="000000"/>
              <w:bottom w:val="single" w:sz="12" w:space="0" w:color="086939"/>
            </w:tcBorders>
          </w:tcPr>
          <w:p>
            <w:pPr>
              <w:pStyle w:val="TableParagraph"/>
              <w:jc w:val="left"/>
              <w:rPr>
                <w:rFonts w:ascii="Times New Roman"/>
                <w:sz w:val="16"/>
              </w:rPr>
            </w:pPr>
          </w:p>
        </w:tc>
        <w:tc>
          <w:tcPr>
            <w:tcW w:w="691" w:type="dxa"/>
            <w:tcBorders>
              <w:top w:val="single" w:sz="8" w:space="0" w:color="000000"/>
              <w:bottom w:val="single" w:sz="12" w:space="0" w:color="086939"/>
            </w:tcBorders>
          </w:tcPr>
          <w:p>
            <w:pPr>
              <w:pStyle w:val="TableParagraph"/>
              <w:jc w:val="left"/>
              <w:rPr>
                <w:rFonts w:ascii="Times New Roman"/>
                <w:sz w:val="16"/>
              </w:rPr>
            </w:pPr>
          </w:p>
        </w:tc>
        <w:tc>
          <w:tcPr>
            <w:tcW w:w="623" w:type="dxa"/>
            <w:tcBorders>
              <w:top w:val="single" w:sz="8" w:space="0" w:color="000000"/>
              <w:bottom w:val="single" w:sz="12" w:space="0" w:color="086939"/>
            </w:tcBorders>
          </w:tcPr>
          <w:p>
            <w:pPr>
              <w:pStyle w:val="TableParagraph"/>
              <w:jc w:val="left"/>
              <w:rPr>
                <w:rFonts w:ascii="Times New Roman"/>
                <w:sz w:val="16"/>
              </w:rPr>
            </w:pPr>
          </w:p>
        </w:tc>
      </w:tr>
    </w:tbl>
    <w:p>
      <w:pPr>
        <w:spacing w:after="0"/>
        <w:jc w:val="left"/>
        <w:rPr>
          <w:rFonts w:ascii="Times New Roman"/>
          <w:sz w:val="16"/>
        </w:rPr>
        <w:sectPr>
          <w:pgSz w:w="11910" w:h="16840"/>
          <w:pgMar w:header="838" w:footer="866" w:top="1100" w:bottom="1060" w:left="1140" w:right="0"/>
        </w:sectPr>
      </w:pPr>
    </w:p>
    <w:p>
      <w:pPr>
        <w:pStyle w:val="BodyText"/>
        <w:rPr>
          <w:rFonts w:ascii="Times New Roman"/>
          <w:sz w:val="20"/>
        </w:rPr>
      </w:pPr>
    </w:p>
    <w:p>
      <w:pPr>
        <w:pStyle w:val="BodyText"/>
        <w:rPr>
          <w:rFonts w:ascii="Times New Roman"/>
          <w:sz w:val="20"/>
        </w:rPr>
      </w:pPr>
    </w:p>
    <w:p>
      <w:pPr>
        <w:pStyle w:val="BodyText"/>
        <w:rPr>
          <w:rFonts w:ascii="Times New Roman"/>
          <w:sz w:val="28"/>
        </w:rPr>
      </w:pPr>
    </w:p>
    <w:p>
      <w:pPr>
        <w:pStyle w:val="Heading6"/>
        <w:ind w:left="1582"/>
      </w:pPr>
      <w:r>
        <w:rPr/>
        <w:pict>
          <v:group style="position:absolute;margin-left:111.860001pt;margin-top:5.531528pt;width:412.65pt;height:639.1pt;mso-position-horizontal-relative:page;mso-position-vertical-relative:paragraph;z-index:-266155008" coordorigin="2237,111" coordsize="8253,12782">
            <v:shape style="position:absolute;left:2266;top:110;width:8224;height:12782" coordorigin="2266,111" coordsize="8224,12782" path="m10490,111l2722,111,2722,111,2266,111,2266,12892,2722,12892,10490,12892,10490,11092,2722,11092,10490,11092,10490,10852,10490,9592,2722,9592,10490,9592,10490,9352,10490,3591,2722,3591,10490,3591,10490,3351,10490,351,10490,111e" filled="true" fillcolor="#efefef" stroked="false">
              <v:path arrowok="t"/>
              <v:fill type="solid"/>
            </v:shape>
            <v:line style="position:absolute" from="2252,111" to="2252,12892" stroked="true" strokeweight="1.44pt" strokecolor="#086d44">
              <v:stroke dashstyle="solid"/>
            </v:line>
            <w10:wrap type="none"/>
          </v:group>
        </w:pict>
      </w:r>
      <w:r>
        <w:rPr/>
        <w:pict>
          <v:shape style="position:absolute;margin-left:111.981956pt;margin-top:7.099667pt;width:15.65pt;height:39.550pt;mso-position-horizontal-relative:page;mso-position-vertical-relative:paragraph;z-index:251853824" type="#_x0000_t202" filled="false" stroked="false">
            <v:textbox inset="0,0,0,0" style="layout-flow:vertical;mso-layout-flow-alt:bottom-to-top">
              <w:txbxContent>
                <w:p>
                  <w:pPr>
                    <w:spacing w:before="20"/>
                    <w:ind w:left="20" w:right="0" w:firstLine="0"/>
                    <w:jc w:val="left"/>
                    <w:rPr>
                      <w:rFonts w:ascii="Franklin Gothic Heavy"/>
                      <w:b/>
                      <w:sz w:val="24"/>
                    </w:rPr>
                  </w:pPr>
                  <w:r>
                    <w:rPr>
                      <w:rFonts w:ascii="Franklin Gothic Heavy"/>
                      <w:b/>
                      <w:color w:val="006247"/>
                      <w:sz w:val="24"/>
                    </w:rPr>
                    <w:t>FOCUS</w:t>
                  </w:r>
                </w:p>
              </w:txbxContent>
            </v:textbox>
            <w10:wrap type="none"/>
          </v:shape>
        </w:pict>
      </w:r>
      <w:r>
        <w:rPr/>
        <w:t>Valutazione degli incassi derivanti dall’attività di contrasto dell’evasione fiscale</w:t>
      </w:r>
    </w:p>
    <w:p>
      <w:pPr>
        <w:spacing w:line="254" w:lineRule="auto" w:before="69"/>
        <w:ind w:left="1582" w:right="1416" w:firstLine="0"/>
        <w:jc w:val="both"/>
        <w:rPr>
          <w:rFonts w:ascii="Franklin Gothic Book" w:hAnsi="Franklin Gothic Book"/>
          <w:sz w:val="20"/>
        </w:rPr>
      </w:pPr>
      <w:r>
        <w:rPr>
          <w:rFonts w:ascii="Franklin Gothic Book" w:hAnsi="Franklin Gothic Book"/>
          <w:sz w:val="20"/>
        </w:rPr>
        <w:t>La valutazione degli incassi derivanti dall'attività di contrasto dell'evasione fiscale rispetto alle</w:t>
      </w:r>
      <w:r>
        <w:rPr>
          <w:rFonts w:ascii="Franklin Gothic Book" w:hAnsi="Franklin Gothic Book"/>
          <w:spacing w:val="-9"/>
          <w:sz w:val="20"/>
        </w:rPr>
        <w:t> </w:t>
      </w:r>
      <w:r>
        <w:rPr>
          <w:rFonts w:ascii="Franklin Gothic Book" w:hAnsi="Franklin Gothic Book"/>
          <w:sz w:val="20"/>
        </w:rPr>
        <w:t>corrispondenti</w:t>
      </w:r>
      <w:r>
        <w:rPr>
          <w:rFonts w:ascii="Franklin Gothic Book" w:hAnsi="Franklin Gothic Book"/>
          <w:spacing w:val="-3"/>
          <w:sz w:val="20"/>
        </w:rPr>
        <w:t> </w:t>
      </w:r>
      <w:r>
        <w:rPr>
          <w:rFonts w:ascii="Franklin Gothic Book" w:hAnsi="Franklin Gothic Book"/>
          <w:sz w:val="20"/>
        </w:rPr>
        <w:t>previsioni</w:t>
      </w:r>
      <w:r>
        <w:rPr>
          <w:rFonts w:ascii="Franklin Gothic Book" w:hAnsi="Franklin Gothic Book"/>
          <w:spacing w:val="-6"/>
          <w:sz w:val="20"/>
        </w:rPr>
        <w:t> </w:t>
      </w:r>
      <w:r>
        <w:rPr>
          <w:rFonts w:ascii="Franklin Gothic Book" w:hAnsi="Franklin Gothic Book"/>
          <w:sz w:val="20"/>
        </w:rPr>
        <w:t>di</w:t>
      </w:r>
      <w:r>
        <w:rPr>
          <w:rFonts w:ascii="Franklin Gothic Book" w:hAnsi="Franklin Gothic Book"/>
          <w:spacing w:val="-7"/>
          <w:sz w:val="20"/>
        </w:rPr>
        <w:t> </w:t>
      </w:r>
      <w:r>
        <w:rPr>
          <w:rFonts w:ascii="Franklin Gothic Book" w:hAnsi="Franklin Gothic Book"/>
          <w:sz w:val="20"/>
        </w:rPr>
        <w:t>bilancio</w:t>
      </w:r>
      <w:r>
        <w:rPr>
          <w:rFonts w:ascii="Franklin Gothic Book" w:hAnsi="Franklin Gothic Book"/>
          <w:spacing w:val="-7"/>
          <w:sz w:val="20"/>
        </w:rPr>
        <w:t> </w:t>
      </w:r>
      <w:r>
        <w:rPr>
          <w:rFonts w:ascii="Franklin Gothic Book" w:hAnsi="Franklin Gothic Book"/>
          <w:sz w:val="20"/>
        </w:rPr>
        <w:t>dell'anno</w:t>
      </w:r>
      <w:r>
        <w:rPr>
          <w:rFonts w:ascii="Franklin Gothic Book" w:hAnsi="Franklin Gothic Book"/>
          <w:spacing w:val="-5"/>
          <w:sz w:val="20"/>
        </w:rPr>
        <w:t> </w:t>
      </w:r>
      <w:r>
        <w:rPr>
          <w:rFonts w:ascii="Franklin Gothic Book" w:hAnsi="Franklin Gothic Book"/>
          <w:sz w:val="20"/>
        </w:rPr>
        <w:t>in</w:t>
      </w:r>
      <w:r>
        <w:rPr>
          <w:rFonts w:ascii="Franklin Gothic Book" w:hAnsi="Franklin Gothic Book"/>
          <w:spacing w:val="-8"/>
          <w:sz w:val="20"/>
        </w:rPr>
        <w:t> </w:t>
      </w:r>
      <w:r>
        <w:rPr>
          <w:rFonts w:ascii="Franklin Gothic Book" w:hAnsi="Franklin Gothic Book"/>
          <w:sz w:val="20"/>
        </w:rPr>
        <w:t>corso</w:t>
      </w:r>
      <w:r>
        <w:rPr>
          <w:rFonts w:ascii="Franklin Gothic Book" w:hAnsi="Franklin Gothic Book"/>
          <w:spacing w:val="-5"/>
          <w:sz w:val="20"/>
        </w:rPr>
        <w:t> </w:t>
      </w:r>
      <w:r>
        <w:rPr>
          <w:rFonts w:ascii="Franklin Gothic Book" w:hAnsi="Franklin Gothic Book"/>
          <w:sz w:val="20"/>
        </w:rPr>
        <w:t>viene</w:t>
      </w:r>
      <w:r>
        <w:rPr>
          <w:rFonts w:ascii="Franklin Gothic Book" w:hAnsi="Franklin Gothic Book"/>
          <w:spacing w:val="-7"/>
          <w:sz w:val="20"/>
        </w:rPr>
        <w:t> </w:t>
      </w:r>
      <w:r>
        <w:rPr>
          <w:rFonts w:ascii="Franklin Gothic Book" w:hAnsi="Franklin Gothic Book"/>
          <w:sz w:val="20"/>
        </w:rPr>
        <w:t>effettuata,</w:t>
      </w:r>
      <w:r>
        <w:rPr>
          <w:rFonts w:ascii="Franklin Gothic Book" w:hAnsi="Franklin Gothic Book"/>
          <w:spacing w:val="-7"/>
          <w:sz w:val="20"/>
        </w:rPr>
        <w:t> </w:t>
      </w:r>
      <w:r>
        <w:rPr>
          <w:rFonts w:ascii="Franklin Gothic Book" w:hAnsi="Franklin Gothic Book"/>
          <w:sz w:val="20"/>
        </w:rPr>
        <w:t>in</w:t>
      </w:r>
      <w:r>
        <w:rPr>
          <w:rFonts w:ascii="Franklin Gothic Book" w:hAnsi="Franklin Gothic Book"/>
          <w:spacing w:val="-7"/>
          <w:sz w:val="20"/>
        </w:rPr>
        <w:t> </w:t>
      </w:r>
      <w:r>
        <w:rPr>
          <w:rFonts w:ascii="Franklin Gothic Book" w:hAnsi="Franklin Gothic Book"/>
          <w:sz w:val="20"/>
        </w:rPr>
        <w:t>sede</w:t>
      </w:r>
      <w:r>
        <w:rPr>
          <w:rFonts w:ascii="Franklin Gothic Book" w:hAnsi="Franklin Gothic Book"/>
          <w:spacing w:val="-7"/>
          <w:sz w:val="20"/>
        </w:rPr>
        <w:t> </w:t>
      </w:r>
      <w:r>
        <w:rPr>
          <w:rFonts w:ascii="Franklin Gothic Book" w:hAnsi="Franklin Gothic Book"/>
          <w:sz w:val="20"/>
        </w:rPr>
        <w:t>di</w:t>
      </w:r>
      <w:r>
        <w:rPr>
          <w:rFonts w:ascii="Franklin Gothic Book" w:hAnsi="Franklin Gothic Book"/>
          <w:spacing w:val="-6"/>
          <w:sz w:val="20"/>
        </w:rPr>
        <w:t> </w:t>
      </w:r>
      <w:r>
        <w:rPr>
          <w:rFonts w:ascii="Franklin Gothic Book" w:hAnsi="Franklin Gothic Book"/>
          <w:sz w:val="20"/>
        </w:rPr>
        <w:t>Nota</w:t>
      </w:r>
      <w:r>
        <w:rPr>
          <w:rFonts w:ascii="Franklin Gothic Book" w:hAnsi="Franklin Gothic Book"/>
          <w:spacing w:val="-7"/>
          <w:sz w:val="20"/>
        </w:rPr>
        <w:t> </w:t>
      </w:r>
      <w:r>
        <w:rPr>
          <w:rFonts w:ascii="Franklin Gothic Book" w:hAnsi="Franklin Gothic Book"/>
          <w:sz w:val="20"/>
        </w:rPr>
        <w:t>di aggiornamento del Documento di economia e finanza, ai sensi dell’articolo 1, comma 434, primo e secondo periodo, della Legge di stabilità 2014, così come modificato dall’articolo 1, comma 1069, della Legge di bilancio</w:t>
      </w:r>
      <w:r>
        <w:rPr>
          <w:rFonts w:ascii="Franklin Gothic Book" w:hAnsi="Franklin Gothic Book"/>
          <w:spacing w:val="-4"/>
          <w:sz w:val="20"/>
        </w:rPr>
        <w:t> </w:t>
      </w:r>
      <w:r>
        <w:rPr>
          <w:rFonts w:ascii="Franklin Gothic Book" w:hAnsi="Franklin Gothic Book"/>
          <w:sz w:val="20"/>
        </w:rPr>
        <w:t>2018.</w:t>
      </w:r>
    </w:p>
    <w:p>
      <w:pPr>
        <w:spacing w:line="254" w:lineRule="auto" w:before="58"/>
        <w:ind w:left="1582" w:right="1411" w:firstLine="0"/>
        <w:jc w:val="both"/>
        <w:rPr>
          <w:rFonts w:ascii="Franklin Gothic Book" w:hAnsi="Franklin Gothic Book"/>
          <w:sz w:val="20"/>
        </w:rPr>
      </w:pPr>
      <w:r>
        <w:rPr>
          <w:rFonts w:ascii="Franklin Gothic Book" w:hAnsi="Franklin Gothic Book"/>
          <w:sz w:val="20"/>
        </w:rPr>
        <w:t>La valutazione delle maggiori risorse è effettuata mediante un confronto degli incassi derivanti</w:t>
      </w:r>
      <w:r>
        <w:rPr>
          <w:rFonts w:ascii="Franklin Gothic Book" w:hAnsi="Franklin Gothic Book"/>
          <w:spacing w:val="-9"/>
          <w:sz w:val="20"/>
        </w:rPr>
        <w:t> </w:t>
      </w:r>
      <w:r>
        <w:rPr>
          <w:rFonts w:ascii="Franklin Gothic Book" w:hAnsi="Franklin Gothic Book"/>
          <w:sz w:val="20"/>
        </w:rPr>
        <w:t>dall’attività</w:t>
      </w:r>
      <w:r>
        <w:rPr>
          <w:rFonts w:ascii="Franklin Gothic Book" w:hAnsi="Franklin Gothic Book"/>
          <w:spacing w:val="-8"/>
          <w:sz w:val="20"/>
        </w:rPr>
        <w:t> </w:t>
      </w:r>
      <w:r>
        <w:rPr>
          <w:rFonts w:ascii="Franklin Gothic Book" w:hAnsi="Franklin Gothic Book"/>
          <w:sz w:val="20"/>
        </w:rPr>
        <w:t>di</w:t>
      </w:r>
      <w:r>
        <w:rPr>
          <w:rFonts w:ascii="Franklin Gothic Book" w:hAnsi="Franklin Gothic Book"/>
          <w:spacing w:val="-8"/>
          <w:sz w:val="20"/>
        </w:rPr>
        <w:t> </w:t>
      </w:r>
      <w:r>
        <w:rPr>
          <w:rFonts w:ascii="Franklin Gothic Book" w:hAnsi="Franklin Gothic Book"/>
          <w:sz w:val="20"/>
        </w:rPr>
        <w:t>contrasto</w:t>
      </w:r>
      <w:r>
        <w:rPr>
          <w:rFonts w:ascii="Franklin Gothic Book" w:hAnsi="Franklin Gothic Book"/>
          <w:spacing w:val="-9"/>
          <w:sz w:val="20"/>
        </w:rPr>
        <w:t> </w:t>
      </w:r>
      <w:r>
        <w:rPr>
          <w:rFonts w:ascii="Franklin Gothic Book" w:hAnsi="Franklin Gothic Book"/>
          <w:sz w:val="20"/>
        </w:rPr>
        <w:t>dell’evasione</w:t>
      </w:r>
      <w:r>
        <w:rPr>
          <w:rFonts w:ascii="Franklin Gothic Book" w:hAnsi="Franklin Gothic Book"/>
          <w:spacing w:val="-9"/>
          <w:sz w:val="20"/>
        </w:rPr>
        <w:t> </w:t>
      </w:r>
      <w:r>
        <w:rPr>
          <w:rFonts w:ascii="Franklin Gothic Book" w:hAnsi="Franklin Gothic Book"/>
          <w:sz w:val="20"/>
        </w:rPr>
        <w:t>fiscale</w:t>
      </w:r>
      <w:r>
        <w:rPr>
          <w:rFonts w:ascii="Franklin Gothic Book" w:hAnsi="Franklin Gothic Book"/>
          <w:spacing w:val="-8"/>
          <w:sz w:val="20"/>
        </w:rPr>
        <w:t> </w:t>
      </w:r>
      <w:r>
        <w:rPr>
          <w:rFonts w:ascii="Franklin Gothic Book" w:hAnsi="Franklin Gothic Book"/>
          <w:sz w:val="20"/>
        </w:rPr>
        <w:t>dell’anno</w:t>
      </w:r>
      <w:r>
        <w:rPr>
          <w:rFonts w:ascii="Franklin Gothic Book" w:hAnsi="Franklin Gothic Book"/>
          <w:spacing w:val="-9"/>
          <w:sz w:val="20"/>
        </w:rPr>
        <w:t> </w:t>
      </w:r>
      <w:r>
        <w:rPr>
          <w:rFonts w:ascii="Franklin Gothic Book" w:hAnsi="Franklin Gothic Book"/>
          <w:sz w:val="20"/>
        </w:rPr>
        <w:t>corrente</w:t>
      </w:r>
      <w:r>
        <w:rPr>
          <w:rFonts w:ascii="Franklin Gothic Book" w:hAnsi="Franklin Gothic Book"/>
          <w:spacing w:val="-8"/>
          <w:sz w:val="20"/>
        </w:rPr>
        <w:t> </w:t>
      </w:r>
      <w:r>
        <w:rPr>
          <w:rFonts w:ascii="Franklin Gothic Book" w:hAnsi="Franklin Gothic Book"/>
          <w:sz w:val="20"/>
        </w:rPr>
        <w:t>sia</w:t>
      </w:r>
      <w:r>
        <w:rPr>
          <w:rFonts w:ascii="Franklin Gothic Book" w:hAnsi="Franklin Gothic Book"/>
          <w:spacing w:val="-8"/>
          <w:sz w:val="20"/>
        </w:rPr>
        <w:t> </w:t>
      </w:r>
      <w:r>
        <w:rPr>
          <w:rFonts w:ascii="Franklin Gothic Book" w:hAnsi="Franklin Gothic Book"/>
          <w:sz w:val="20"/>
        </w:rPr>
        <w:t>con</w:t>
      </w:r>
      <w:r>
        <w:rPr>
          <w:rFonts w:ascii="Franklin Gothic Book" w:hAnsi="Franklin Gothic Book"/>
          <w:spacing w:val="-9"/>
          <w:sz w:val="20"/>
        </w:rPr>
        <w:t> </w:t>
      </w:r>
      <w:r>
        <w:rPr>
          <w:rFonts w:ascii="Franklin Gothic Book" w:hAnsi="Franklin Gothic Book"/>
          <w:sz w:val="20"/>
        </w:rPr>
        <w:t>le</w:t>
      </w:r>
      <w:r>
        <w:rPr>
          <w:rFonts w:ascii="Franklin Gothic Book" w:hAnsi="Franklin Gothic Book"/>
          <w:spacing w:val="-9"/>
          <w:sz w:val="20"/>
        </w:rPr>
        <w:t> </w:t>
      </w:r>
      <w:r>
        <w:rPr>
          <w:rFonts w:ascii="Franklin Gothic Book" w:hAnsi="Franklin Gothic Book"/>
          <w:sz w:val="20"/>
        </w:rPr>
        <w:t>previsioni iscritte nel bilancio a legislazione vigente, sia con le somme effettivamente incassate nell'esercizio precedente. La valutazione in esame verifica che siano rispettate congiuntamente le seguenti tre condizioni: i) l’esistenza di maggiori entrate derivanti dall'attività di contrasto dell'evasione fiscale rispetto alle previsioni iscritte nel bilancio a legislazione vigente (rispettivamente per le annualità 2019, 2020 e 2021); ii) l’esistenza di maggiori entrate derivanti dall'attività di contrasto dell'evasione fiscale rispetto a quelle effettivamente incassate nell’esercizio precedente (2018); iii) le predette maggiori entrate siano permanenti</w:t>
      </w:r>
      <w:r>
        <w:rPr>
          <w:rFonts w:ascii="Franklin Gothic Book" w:hAnsi="Franklin Gothic Book"/>
          <w:spacing w:val="-3"/>
          <w:sz w:val="20"/>
        </w:rPr>
        <w:t> </w:t>
      </w:r>
      <w:r>
        <w:rPr>
          <w:rFonts w:ascii="Franklin Gothic Book" w:hAnsi="Franklin Gothic Book"/>
          <w:sz w:val="20"/>
        </w:rPr>
        <w:t>.</w:t>
      </w:r>
    </w:p>
    <w:p>
      <w:pPr>
        <w:spacing w:line="254" w:lineRule="auto" w:before="57"/>
        <w:ind w:left="1582" w:right="1418" w:firstLine="0"/>
        <w:jc w:val="both"/>
        <w:rPr>
          <w:rFonts w:ascii="Franklin Gothic Book" w:hAnsi="Franklin Gothic Book"/>
          <w:sz w:val="20"/>
        </w:rPr>
      </w:pPr>
      <w:r>
        <w:rPr>
          <w:rFonts w:ascii="Franklin Gothic Book" w:hAnsi="Franklin Gothic Book"/>
          <w:sz w:val="20"/>
        </w:rPr>
        <w:t>L’esito positivo di tali condizioni implica, in sede di predisposizione del disegno di Legge di Bilancio, l’iscrizione nello Stato di previsione dell’entrata e, contestualmente, nel Fondo per la riduzione della pressione fiscale delle maggiori risorse permanenti derivanti dall'attività di contrasto dell'evasione fiscale.</w:t>
      </w:r>
    </w:p>
    <w:p>
      <w:pPr>
        <w:spacing w:line="254" w:lineRule="auto" w:before="59"/>
        <w:ind w:left="1582" w:right="1415" w:firstLine="0"/>
        <w:jc w:val="both"/>
        <w:rPr>
          <w:rFonts w:ascii="Franklin Gothic Book" w:hAnsi="Franklin Gothic Book"/>
          <w:sz w:val="20"/>
        </w:rPr>
      </w:pPr>
      <w:r>
        <w:rPr>
          <w:rFonts w:ascii="Franklin Gothic Book" w:hAnsi="Franklin Gothic Book"/>
          <w:sz w:val="20"/>
        </w:rPr>
        <w:t>Ai fini della valutazione rilevano, nel titolo delle entrate tributarie, i dati gestionali e previsionali</w:t>
      </w:r>
      <w:r>
        <w:rPr>
          <w:rFonts w:ascii="Franklin Gothic Book" w:hAnsi="Franklin Gothic Book"/>
          <w:spacing w:val="-11"/>
          <w:sz w:val="20"/>
        </w:rPr>
        <w:t> </w:t>
      </w:r>
      <w:r>
        <w:rPr>
          <w:rFonts w:ascii="Franklin Gothic Book" w:hAnsi="Franklin Gothic Book"/>
          <w:sz w:val="20"/>
        </w:rPr>
        <w:t>dei</w:t>
      </w:r>
      <w:r>
        <w:rPr>
          <w:rFonts w:ascii="Franklin Gothic Book" w:hAnsi="Franklin Gothic Book"/>
          <w:spacing w:val="-11"/>
          <w:sz w:val="20"/>
        </w:rPr>
        <w:t> </w:t>
      </w:r>
      <w:r>
        <w:rPr>
          <w:rFonts w:ascii="Franklin Gothic Book" w:hAnsi="Franklin Gothic Book"/>
          <w:sz w:val="20"/>
        </w:rPr>
        <w:t>tributi</w:t>
      </w:r>
      <w:r>
        <w:rPr>
          <w:rFonts w:ascii="Franklin Gothic Book" w:hAnsi="Franklin Gothic Book"/>
          <w:spacing w:val="-10"/>
          <w:sz w:val="20"/>
        </w:rPr>
        <w:t> </w:t>
      </w:r>
      <w:r>
        <w:rPr>
          <w:rFonts w:ascii="Franklin Gothic Book" w:hAnsi="Franklin Gothic Book"/>
          <w:sz w:val="20"/>
        </w:rPr>
        <w:t>erariali</w:t>
      </w:r>
      <w:r>
        <w:rPr>
          <w:rFonts w:ascii="Franklin Gothic Book" w:hAnsi="Franklin Gothic Book"/>
          <w:spacing w:val="-8"/>
          <w:sz w:val="20"/>
        </w:rPr>
        <w:t> </w:t>
      </w:r>
      <w:r>
        <w:rPr>
          <w:rFonts w:ascii="Franklin Gothic Book" w:hAnsi="Franklin Gothic Book"/>
          <w:sz w:val="20"/>
        </w:rPr>
        <w:t>derivanti</w:t>
      </w:r>
      <w:r>
        <w:rPr>
          <w:rFonts w:ascii="Franklin Gothic Book" w:hAnsi="Franklin Gothic Book"/>
          <w:spacing w:val="-11"/>
          <w:sz w:val="20"/>
        </w:rPr>
        <w:t> </w:t>
      </w:r>
      <w:r>
        <w:rPr>
          <w:rFonts w:ascii="Franklin Gothic Book" w:hAnsi="Franklin Gothic Book"/>
          <w:sz w:val="20"/>
        </w:rPr>
        <w:t>da</w:t>
      </w:r>
      <w:r>
        <w:rPr>
          <w:rFonts w:ascii="Franklin Gothic Book" w:hAnsi="Franklin Gothic Book"/>
          <w:spacing w:val="-10"/>
          <w:sz w:val="20"/>
        </w:rPr>
        <w:t> </w:t>
      </w:r>
      <w:r>
        <w:rPr>
          <w:rFonts w:ascii="Franklin Gothic Book" w:hAnsi="Franklin Gothic Book"/>
          <w:sz w:val="20"/>
        </w:rPr>
        <w:t>attività</w:t>
      </w:r>
      <w:r>
        <w:rPr>
          <w:rFonts w:ascii="Franklin Gothic Book" w:hAnsi="Franklin Gothic Book"/>
          <w:spacing w:val="-10"/>
          <w:sz w:val="20"/>
        </w:rPr>
        <w:t> </w:t>
      </w:r>
      <w:r>
        <w:rPr>
          <w:rFonts w:ascii="Franklin Gothic Book" w:hAnsi="Franklin Gothic Book"/>
          <w:sz w:val="20"/>
        </w:rPr>
        <w:t>di</w:t>
      </w:r>
      <w:r>
        <w:rPr>
          <w:rFonts w:ascii="Franklin Gothic Book" w:hAnsi="Franklin Gothic Book"/>
          <w:spacing w:val="-13"/>
          <w:sz w:val="20"/>
        </w:rPr>
        <w:t> </w:t>
      </w:r>
      <w:r>
        <w:rPr>
          <w:rFonts w:ascii="Franklin Gothic Book" w:hAnsi="Franklin Gothic Book"/>
          <w:sz w:val="20"/>
        </w:rPr>
        <w:t>accertamento</w:t>
      </w:r>
      <w:r>
        <w:rPr>
          <w:rFonts w:ascii="Franklin Gothic Book" w:hAnsi="Franklin Gothic Book"/>
          <w:spacing w:val="-10"/>
          <w:sz w:val="20"/>
        </w:rPr>
        <w:t> </w:t>
      </w:r>
      <w:r>
        <w:rPr>
          <w:rFonts w:ascii="Franklin Gothic Book" w:hAnsi="Franklin Gothic Book"/>
          <w:sz w:val="20"/>
        </w:rPr>
        <w:t>e</w:t>
      </w:r>
      <w:r>
        <w:rPr>
          <w:rFonts w:ascii="Franklin Gothic Book" w:hAnsi="Franklin Gothic Book"/>
          <w:spacing w:val="-11"/>
          <w:sz w:val="20"/>
        </w:rPr>
        <w:t> </w:t>
      </w:r>
      <w:r>
        <w:rPr>
          <w:rFonts w:ascii="Franklin Gothic Book" w:hAnsi="Franklin Gothic Book"/>
          <w:sz w:val="20"/>
        </w:rPr>
        <w:t>controllo</w:t>
      </w:r>
      <w:r>
        <w:rPr>
          <w:rFonts w:ascii="Franklin Gothic Book" w:hAnsi="Franklin Gothic Book"/>
          <w:spacing w:val="-11"/>
          <w:sz w:val="20"/>
        </w:rPr>
        <w:t> </w:t>
      </w:r>
      <w:r>
        <w:rPr>
          <w:rFonts w:ascii="Franklin Gothic Book" w:hAnsi="Franklin Gothic Book"/>
          <w:sz w:val="20"/>
        </w:rPr>
        <w:t>e</w:t>
      </w:r>
      <w:r>
        <w:rPr>
          <w:rFonts w:ascii="Franklin Gothic Book" w:hAnsi="Franklin Gothic Book"/>
          <w:spacing w:val="-12"/>
          <w:sz w:val="20"/>
        </w:rPr>
        <w:t> </w:t>
      </w:r>
      <w:r>
        <w:rPr>
          <w:rFonts w:ascii="Franklin Gothic Book" w:hAnsi="Franklin Gothic Book"/>
          <w:sz w:val="20"/>
        </w:rPr>
        <w:t>nel</w:t>
      </w:r>
      <w:r>
        <w:rPr>
          <w:rFonts w:ascii="Franklin Gothic Book" w:hAnsi="Franklin Gothic Book"/>
          <w:spacing w:val="-11"/>
          <w:sz w:val="20"/>
        </w:rPr>
        <w:t> </w:t>
      </w:r>
      <w:r>
        <w:rPr>
          <w:rFonts w:ascii="Franklin Gothic Book" w:hAnsi="Franklin Gothic Book"/>
          <w:sz w:val="20"/>
        </w:rPr>
        <w:t>titolo</w:t>
      </w:r>
      <w:r>
        <w:rPr>
          <w:rFonts w:ascii="Franklin Gothic Book" w:hAnsi="Franklin Gothic Book"/>
          <w:spacing w:val="-10"/>
          <w:sz w:val="20"/>
        </w:rPr>
        <w:t> </w:t>
      </w:r>
      <w:r>
        <w:rPr>
          <w:rFonts w:ascii="Franklin Gothic Book" w:hAnsi="Franklin Gothic Book"/>
          <w:sz w:val="20"/>
        </w:rPr>
        <w:t>delle entrate</w:t>
      </w:r>
      <w:r>
        <w:rPr>
          <w:rFonts w:ascii="Franklin Gothic Book" w:hAnsi="Franklin Gothic Book"/>
          <w:spacing w:val="-12"/>
          <w:sz w:val="20"/>
        </w:rPr>
        <w:t> </w:t>
      </w:r>
      <w:r>
        <w:rPr>
          <w:rFonts w:ascii="Franklin Gothic Book" w:hAnsi="Franklin Gothic Book"/>
          <w:sz w:val="20"/>
        </w:rPr>
        <w:t>extra</w:t>
      </w:r>
      <w:r>
        <w:rPr>
          <w:rFonts w:ascii="Franklin Gothic Book" w:hAnsi="Franklin Gothic Book"/>
          <w:spacing w:val="-10"/>
          <w:sz w:val="20"/>
        </w:rPr>
        <w:t> </w:t>
      </w:r>
      <w:r>
        <w:rPr>
          <w:rFonts w:ascii="Franklin Gothic Book" w:hAnsi="Franklin Gothic Book"/>
          <w:sz w:val="20"/>
        </w:rPr>
        <w:t>tributarie</w:t>
      </w:r>
      <w:r>
        <w:rPr>
          <w:rFonts w:ascii="Franklin Gothic Book" w:hAnsi="Franklin Gothic Book"/>
          <w:spacing w:val="-11"/>
          <w:sz w:val="20"/>
        </w:rPr>
        <w:t> </w:t>
      </w:r>
      <w:r>
        <w:rPr>
          <w:rFonts w:ascii="Franklin Gothic Book" w:hAnsi="Franklin Gothic Book"/>
          <w:sz w:val="20"/>
        </w:rPr>
        <w:t>gli</w:t>
      </w:r>
      <w:r>
        <w:rPr>
          <w:rFonts w:ascii="Franklin Gothic Book" w:hAnsi="Franklin Gothic Book"/>
          <w:spacing w:val="-10"/>
          <w:sz w:val="20"/>
        </w:rPr>
        <w:t> </w:t>
      </w:r>
      <w:r>
        <w:rPr>
          <w:rFonts w:ascii="Franklin Gothic Book" w:hAnsi="Franklin Gothic Book"/>
          <w:sz w:val="20"/>
        </w:rPr>
        <w:t>interessi</w:t>
      </w:r>
      <w:r>
        <w:rPr>
          <w:rFonts w:ascii="Franklin Gothic Book" w:hAnsi="Franklin Gothic Book"/>
          <w:spacing w:val="-10"/>
          <w:sz w:val="20"/>
        </w:rPr>
        <w:t> </w:t>
      </w:r>
      <w:r>
        <w:rPr>
          <w:rFonts w:ascii="Franklin Gothic Book" w:hAnsi="Franklin Gothic Book"/>
          <w:sz w:val="20"/>
        </w:rPr>
        <w:t>e</w:t>
      </w:r>
      <w:r>
        <w:rPr>
          <w:rFonts w:ascii="Franklin Gothic Book" w:hAnsi="Franklin Gothic Book"/>
          <w:spacing w:val="-11"/>
          <w:sz w:val="20"/>
        </w:rPr>
        <w:t> </w:t>
      </w:r>
      <w:r>
        <w:rPr>
          <w:rFonts w:ascii="Franklin Gothic Book" w:hAnsi="Franklin Gothic Book"/>
          <w:sz w:val="20"/>
        </w:rPr>
        <w:t>sanzioni.</w:t>
      </w:r>
      <w:r>
        <w:rPr>
          <w:rFonts w:ascii="Franklin Gothic Book" w:hAnsi="Franklin Gothic Book"/>
          <w:spacing w:val="-9"/>
          <w:sz w:val="20"/>
        </w:rPr>
        <w:t> </w:t>
      </w:r>
      <w:r>
        <w:rPr>
          <w:rFonts w:ascii="Franklin Gothic Book" w:hAnsi="Franklin Gothic Book"/>
          <w:sz w:val="20"/>
        </w:rPr>
        <w:t>Sotto</w:t>
      </w:r>
      <w:r>
        <w:rPr>
          <w:rFonts w:ascii="Franklin Gothic Book" w:hAnsi="Franklin Gothic Book"/>
          <w:spacing w:val="-10"/>
          <w:sz w:val="20"/>
        </w:rPr>
        <w:t> </w:t>
      </w:r>
      <w:r>
        <w:rPr>
          <w:rFonts w:ascii="Franklin Gothic Book" w:hAnsi="Franklin Gothic Book"/>
          <w:sz w:val="20"/>
        </w:rPr>
        <w:t>il</w:t>
      </w:r>
      <w:r>
        <w:rPr>
          <w:rFonts w:ascii="Franklin Gothic Book" w:hAnsi="Franklin Gothic Book"/>
          <w:spacing w:val="-11"/>
          <w:sz w:val="20"/>
        </w:rPr>
        <w:t> </w:t>
      </w:r>
      <w:r>
        <w:rPr>
          <w:rFonts w:ascii="Franklin Gothic Book" w:hAnsi="Franklin Gothic Book"/>
          <w:sz w:val="20"/>
        </w:rPr>
        <w:t>profilo</w:t>
      </w:r>
      <w:r>
        <w:rPr>
          <w:rFonts w:ascii="Franklin Gothic Book" w:hAnsi="Franklin Gothic Book"/>
          <w:spacing w:val="-11"/>
          <w:sz w:val="20"/>
        </w:rPr>
        <w:t> </w:t>
      </w:r>
      <w:r>
        <w:rPr>
          <w:rFonts w:ascii="Franklin Gothic Book" w:hAnsi="Franklin Gothic Book"/>
          <w:sz w:val="20"/>
        </w:rPr>
        <w:t>gestionale,</w:t>
      </w:r>
      <w:r>
        <w:rPr>
          <w:rFonts w:ascii="Franklin Gothic Book" w:hAnsi="Franklin Gothic Book"/>
          <w:spacing w:val="-10"/>
          <w:sz w:val="20"/>
        </w:rPr>
        <w:t> </w:t>
      </w:r>
      <w:r>
        <w:rPr>
          <w:rFonts w:ascii="Franklin Gothic Book" w:hAnsi="Franklin Gothic Book"/>
          <w:sz w:val="20"/>
        </w:rPr>
        <w:t>rilevano</w:t>
      </w:r>
      <w:r>
        <w:rPr>
          <w:rFonts w:ascii="Franklin Gothic Book" w:hAnsi="Franklin Gothic Book"/>
          <w:spacing w:val="-12"/>
          <w:sz w:val="20"/>
        </w:rPr>
        <w:t> </w:t>
      </w:r>
      <w:r>
        <w:rPr>
          <w:rFonts w:ascii="Franklin Gothic Book" w:hAnsi="Franklin Gothic Book"/>
          <w:sz w:val="20"/>
        </w:rPr>
        <w:t>i</w:t>
      </w:r>
      <w:r>
        <w:rPr>
          <w:rFonts w:ascii="Franklin Gothic Book" w:hAnsi="Franklin Gothic Book"/>
          <w:spacing w:val="-10"/>
          <w:sz w:val="20"/>
        </w:rPr>
        <w:t> </w:t>
      </w:r>
      <w:r>
        <w:rPr>
          <w:rFonts w:ascii="Franklin Gothic Book" w:hAnsi="Franklin Gothic Book"/>
          <w:sz w:val="20"/>
        </w:rPr>
        <w:t>versamenti risultanti</w:t>
      </w:r>
      <w:r>
        <w:rPr>
          <w:rFonts w:ascii="Franklin Gothic Book" w:hAnsi="Franklin Gothic Book"/>
          <w:spacing w:val="-9"/>
          <w:sz w:val="20"/>
        </w:rPr>
        <w:t> </w:t>
      </w:r>
      <w:r>
        <w:rPr>
          <w:rFonts w:ascii="Franklin Gothic Book" w:hAnsi="Franklin Gothic Book"/>
          <w:sz w:val="20"/>
        </w:rPr>
        <w:t>a</w:t>
      </w:r>
      <w:r>
        <w:rPr>
          <w:rFonts w:ascii="Franklin Gothic Book" w:hAnsi="Franklin Gothic Book"/>
          <w:spacing w:val="-8"/>
          <w:sz w:val="20"/>
        </w:rPr>
        <w:t> </w:t>
      </w:r>
      <w:r>
        <w:rPr>
          <w:rFonts w:ascii="Franklin Gothic Book" w:hAnsi="Franklin Gothic Book"/>
          <w:sz w:val="20"/>
        </w:rPr>
        <w:t>consuntivo</w:t>
      </w:r>
      <w:r>
        <w:rPr>
          <w:rFonts w:ascii="Franklin Gothic Book" w:hAnsi="Franklin Gothic Book"/>
          <w:spacing w:val="-8"/>
          <w:sz w:val="20"/>
        </w:rPr>
        <w:t> </w:t>
      </w:r>
      <w:r>
        <w:rPr>
          <w:rFonts w:ascii="Franklin Gothic Book" w:hAnsi="Franklin Gothic Book"/>
          <w:sz w:val="20"/>
        </w:rPr>
        <w:t>2018</w:t>
      </w:r>
      <w:r>
        <w:rPr>
          <w:rFonts w:ascii="Franklin Gothic Book" w:hAnsi="Franklin Gothic Book"/>
          <w:spacing w:val="-9"/>
          <w:sz w:val="20"/>
        </w:rPr>
        <w:t> </w:t>
      </w:r>
      <w:r>
        <w:rPr>
          <w:rFonts w:ascii="Franklin Gothic Book" w:hAnsi="Franklin Gothic Book"/>
          <w:sz w:val="20"/>
        </w:rPr>
        <w:t>contabilizzati</w:t>
      </w:r>
      <w:r>
        <w:rPr>
          <w:rFonts w:ascii="Franklin Gothic Book" w:hAnsi="Franklin Gothic Book"/>
          <w:spacing w:val="-9"/>
          <w:sz w:val="20"/>
        </w:rPr>
        <w:t> </w:t>
      </w:r>
      <w:r>
        <w:rPr>
          <w:rFonts w:ascii="Franklin Gothic Book" w:hAnsi="Franklin Gothic Book"/>
          <w:sz w:val="20"/>
        </w:rPr>
        <w:t>nel</w:t>
      </w:r>
      <w:r>
        <w:rPr>
          <w:rFonts w:ascii="Franklin Gothic Book" w:hAnsi="Franklin Gothic Book"/>
          <w:spacing w:val="-8"/>
          <w:sz w:val="20"/>
        </w:rPr>
        <w:t> </w:t>
      </w:r>
      <w:r>
        <w:rPr>
          <w:rFonts w:ascii="Franklin Gothic Book" w:hAnsi="Franklin Gothic Book"/>
          <w:sz w:val="20"/>
        </w:rPr>
        <w:t>Rendiconto</w:t>
      </w:r>
      <w:r>
        <w:rPr>
          <w:rFonts w:ascii="Franklin Gothic Book" w:hAnsi="Franklin Gothic Book"/>
          <w:spacing w:val="-7"/>
          <w:sz w:val="20"/>
        </w:rPr>
        <w:t> </w:t>
      </w:r>
      <w:r>
        <w:rPr>
          <w:rFonts w:ascii="Franklin Gothic Book" w:hAnsi="Franklin Gothic Book"/>
          <w:sz w:val="20"/>
        </w:rPr>
        <w:t>generale</w:t>
      </w:r>
      <w:r>
        <w:rPr>
          <w:rFonts w:ascii="Franklin Gothic Book" w:hAnsi="Franklin Gothic Book"/>
          <w:spacing w:val="-9"/>
          <w:sz w:val="20"/>
        </w:rPr>
        <w:t> </w:t>
      </w:r>
      <w:r>
        <w:rPr>
          <w:rFonts w:ascii="Franklin Gothic Book" w:hAnsi="Franklin Gothic Book"/>
          <w:sz w:val="20"/>
        </w:rPr>
        <w:t>dello</w:t>
      </w:r>
      <w:r>
        <w:rPr>
          <w:rFonts w:ascii="Franklin Gothic Book" w:hAnsi="Franklin Gothic Book"/>
          <w:spacing w:val="-8"/>
          <w:sz w:val="20"/>
        </w:rPr>
        <w:t> </w:t>
      </w:r>
      <w:r>
        <w:rPr>
          <w:rFonts w:ascii="Franklin Gothic Book" w:hAnsi="Franklin Gothic Book"/>
          <w:sz w:val="20"/>
        </w:rPr>
        <w:t>Stato</w:t>
      </w:r>
      <w:r>
        <w:rPr>
          <w:rFonts w:ascii="Franklin Gothic Book" w:hAnsi="Franklin Gothic Book"/>
          <w:spacing w:val="-8"/>
          <w:sz w:val="20"/>
        </w:rPr>
        <w:t> </w:t>
      </w:r>
      <w:r>
        <w:rPr>
          <w:rFonts w:ascii="Franklin Gothic Book" w:hAnsi="Franklin Gothic Book"/>
          <w:sz w:val="20"/>
        </w:rPr>
        <w:t>e</w:t>
      </w:r>
      <w:r>
        <w:rPr>
          <w:rFonts w:ascii="Franklin Gothic Book" w:hAnsi="Franklin Gothic Book"/>
          <w:spacing w:val="-8"/>
          <w:sz w:val="20"/>
        </w:rPr>
        <w:t> </w:t>
      </w:r>
      <w:r>
        <w:rPr>
          <w:rFonts w:ascii="Franklin Gothic Book" w:hAnsi="Franklin Gothic Book"/>
          <w:sz w:val="20"/>
        </w:rPr>
        <w:t>i</w:t>
      </w:r>
      <w:r>
        <w:rPr>
          <w:rFonts w:ascii="Franklin Gothic Book" w:hAnsi="Franklin Gothic Book"/>
          <w:spacing w:val="-8"/>
          <w:sz w:val="20"/>
        </w:rPr>
        <w:t> </w:t>
      </w:r>
      <w:r>
        <w:rPr>
          <w:rFonts w:ascii="Franklin Gothic Book" w:hAnsi="Franklin Gothic Book"/>
          <w:sz w:val="20"/>
        </w:rPr>
        <w:t>versamenti acquisiti</w:t>
      </w:r>
      <w:r>
        <w:rPr>
          <w:rFonts w:ascii="Franklin Gothic Book" w:hAnsi="Franklin Gothic Book"/>
          <w:spacing w:val="-8"/>
          <w:sz w:val="20"/>
        </w:rPr>
        <w:t> </w:t>
      </w:r>
      <w:r>
        <w:rPr>
          <w:rFonts w:ascii="Franklin Gothic Book" w:hAnsi="Franklin Gothic Book"/>
          <w:sz w:val="20"/>
        </w:rPr>
        <w:t>a</w:t>
      </w:r>
      <w:r>
        <w:rPr>
          <w:rFonts w:ascii="Franklin Gothic Book" w:hAnsi="Franklin Gothic Book"/>
          <w:spacing w:val="-7"/>
          <w:sz w:val="20"/>
        </w:rPr>
        <w:t> </w:t>
      </w:r>
      <w:r>
        <w:rPr>
          <w:rFonts w:ascii="Franklin Gothic Book" w:hAnsi="Franklin Gothic Book"/>
          <w:sz w:val="20"/>
        </w:rPr>
        <w:t>tutto</w:t>
      </w:r>
      <w:r>
        <w:rPr>
          <w:rFonts w:ascii="Franklin Gothic Book" w:hAnsi="Franklin Gothic Book"/>
          <w:spacing w:val="-6"/>
          <w:sz w:val="20"/>
        </w:rPr>
        <w:t> </w:t>
      </w:r>
      <w:r>
        <w:rPr>
          <w:rFonts w:ascii="Franklin Gothic Book" w:hAnsi="Franklin Gothic Book"/>
          <w:sz w:val="20"/>
        </w:rPr>
        <w:t>il</w:t>
      </w:r>
      <w:r>
        <w:rPr>
          <w:rFonts w:ascii="Franklin Gothic Book" w:hAnsi="Franklin Gothic Book"/>
          <w:spacing w:val="-10"/>
          <w:sz w:val="20"/>
        </w:rPr>
        <w:t> </w:t>
      </w:r>
      <w:r>
        <w:rPr>
          <w:rFonts w:ascii="Franklin Gothic Book" w:hAnsi="Franklin Gothic Book"/>
          <w:sz w:val="20"/>
        </w:rPr>
        <w:t>mese</w:t>
      </w:r>
      <w:r>
        <w:rPr>
          <w:rFonts w:ascii="Franklin Gothic Book" w:hAnsi="Franklin Gothic Book"/>
          <w:spacing w:val="-8"/>
          <w:sz w:val="20"/>
        </w:rPr>
        <w:t> </w:t>
      </w:r>
      <w:r>
        <w:rPr>
          <w:rFonts w:ascii="Franklin Gothic Book" w:hAnsi="Franklin Gothic Book"/>
          <w:sz w:val="20"/>
        </w:rPr>
        <w:t>di</w:t>
      </w:r>
      <w:r>
        <w:rPr>
          <w:rFonts w:ascii="Franklin Gothic Book" w:hAnsi="Franklin Gothic Book"/>
          <w:spacing w:val="-7"/>
          <w:sz w:val="20"/>
        </w:rPr>
        <w:t> </w:t>
      </w:r>
      <w:r>
        <w:rPr>
          <w:rFonts w:ascii="Franklin Gothic Book" w:hAnsi="Franklin Gothic Book"/>
          <w:sz w:val="20"/>
        </w:rPr>
        <w:t>agosto</w:t>
      </w:r>
      <w:r>
        <w:rPr>
          <w:rFonts w:ascii="Franklin Gothic Book" w:hAnsi="Franklin Gothic Book"/>
          <w:spacing w:val="-8"/>
          <w:sz w:val="20"/>
        </w:rPr>
        <w:t> </w:t>
      </w:r>
      <w:r>
        <w:rPr>
          <w:rFonts w:ascii="Franklin Gothic Book" w:hAnsi="Franklin Gothic Book"/>
          <w:sz w:val="20"/>
        </w:rPr>
        <w:t>2019;</w:t>
      </w:r>
      <w:r>
        <w:rPr>
          <w:rFonts w:ascii="Franklin Gothic Book" w:hAnsi="Franklin Gothic Book"/>
          <w:spacing w:val="-9"/>
          <w:sz w:val="20"/>
        </w:rPr>
        <w:t> </w:t>
      </w:r>
      <w:r>
        <w:rPr>
          <w:rFonts w:ascii="Franklin Gothic Book" w:hAnsi="Franklin Gothic Book"/>
          <w:sz w:val="20"/>
        </w:rPr>
        <w:t>sotto</w:t>
      </w:r>
      <w:r>
        <w:rPr>
          <w:rFonts w:ascii="Franklin Gothic Book" w:hAnsi="Franklin Gothic Book"/>
          <w:spacing w:val="-8"/>
          <w:sz w:val="20"/>
        </w:rPr>
        <w:t> </w:t>
      </w:r>
      <w:r>
        <w:rPr>
          <w:rFonts w:ascii="Franklin Gothic Book" w:hAnsi="Franklin Gothic Book"/>
          <w:sz w:val="20"/>
        </w:rPr>
        <w:t>il</w:t>
      </w:r>
      <w:r>
        <w:rPr>
          <w:rFonts w:ascii="Franklin Gothic Book" w:hAnsi="Franklin Gothic Book"/>
          <w:spacing w:val="-7"/>
          <w:sz w:val="20"/>
        </w:rPr>
        <w:t> </w:t>
      </w:r>
      <w:r>
        <w:rPr>
          <w:rFonts w:ascii="Franklin Gothic Book" w:hAnsi="Franklin Gothic Book"/>
          <w:sz w:val="20"/>
        </w:rPr>
        <w:t>profilo</w:t>
      </w:r>
      <w:r>
        <w:rPr>
          <w:rFonts w:ascii="Franklin Gothic Book" w:hAnsi="Franklin Gothic Book"/>
          <w:spacing w:val="-9"/>
          <w:sz w:val="20"/>
        </w:rPr>
        <w:t> </w:t>
      </w:r>
      <w:r>
        <w:rPr>
          <w:rFonts w:ascii="Franklin Gothic Book" w:hAnsi="Franklin Gothic Book"/>
          <w:sz w:val="20"/>
        </w:rPr>
        <w:t>previsionale,</w:t>
      </w:r>
      <w:r>
        <w:rPr>
          <w:rFonts w:ascii="Franklin Gothic Book" w:hAnsi="Franklin Gothic Book"/>
          <w:spacing w:val="-7"/>
          <w:sz w:val="20"/>
        </w:rPr>
        <w:t> </w:t>
      </w:r>
      <w:r>
        <w:rPr>
          <w:rFonts w:ascii="Franklin Gothic Book" w:hAnsi="Franklin Gothic Book"/>
          <w:sz w:val="20"/>
        </w:rPr>
        <w:t>rilevano</w:t>
      </w:r>
      <w:r>
        <w:rPr>
          <w:rFonts w:ascii="Franklin Gothic Book" w:hAnsi="Franklin Gothic Book"/>
          <w:spacing w:val="-8"/>
          <w:sz w:val="20"/>
        </w:rPr>
        <w:t> </w:t>
      </w:r>
      <w:r>
        <w:rPr>
          <w:rFonts w:ascii="Franklin Gothic Book" w:hAnsi="Franklin Gothic Book"/>
          <w:sz w:val="20"/>
        </w:rPr>
        <w:t>le</w:t>
      </w:r>
      <w:r>
        <w:rPr>
          <w:rFonts w:ascii="Franklin Gothic Book" w:hAnsi="Franklin Gothic Book"/>
          <w:spacing w:val="-8"/>
          <w:sz w:val="20"/>
        </w:rPr>
        <w:t> </w:t>
      </w:r>
      <w:r>
        <w:rPr>
          <w:rFonts w:ascii="Franklin Gothic Book" w:hAnsi="Franklin Gothic Book"/>
          <w:sz w:val="20"/>
        </w:rPr>
        <w:t>stime</w:t>
      </w:r>
      <w:r>
        <w:rPr>
          <w:rFonts w:ascii="Franklin Gothic Book" w:hAnsi="Franklin Gothic Book"/>
          <w:spacing w:val="-8"/>
          <w:sz w:val="20"/>
        </w:rPr>
        <w:t> </w:t>
      </w:r>
      <w:r>
        <w:rPr>
          <w:rFonts w:ascii="Franklin Gothic Book" w:hAnsi="Franklin Gothic Book"/>
          <w:sz w:val="20"/>
        </w:rPr>
        <w:t>di</w:t>
      </w:r>
      <w:r>
        <w:rPr>
          <w:rFonts w:ascii="Franklin Gothic Book" w:hAnsi="Franklin Gothic Book"/>
          <w:spacing w:val="-7"/>
          <w:sz w:val="20"/>
        </w:rPr>
        <w:t> </w:t>
      </w:r>
      <w:r>
        <w:rPr>
          <w:rFonts w:ascii="Franklin Gothic Book" w:hAnsi="Franklin Gothic Book"/>
          <w:sz w:val="20"/>
        </w:rPr>
        <w:t>cassa a legislazione vigente indicate nello stato di previsione dell’entrata del Bilancio dello Stato per il 2019, 2020 e 2021, nonché le stime aggiornate degli incassi attesi nel</w:t>
      </w:r>
      <w:r>
        <w:rPr>
          <w:rFonts w:ascii="Franklin Gothic Book" w:hAnsi="Franklin Gothic Book"/>
          <w:spacing w:val="-11"/>
          <w:sz w:val="20"/>
        </w:rPr>
        <w:t> </w:t>
      </w:r>
      <w:r>
        <w:rPr>
          <w:rFonts w:ascii="Franklin Gothic Book" w:hAnsi="Franklin Gothic Book"/>
          <w:sz w:val="20"/>
        </w:rPr>
        <w:t>2019.</w:t>
      </w:r>
    </w:p>
    <w:p>
      <w:pPr>
        <w:spacing w:line="254" w:lineRule="auto" w:before="57"/>
        <w:ind w:left="1582" w:right="1416" w:firstLine="0"/>
        <w:jc w:val="both"/>
        <w:rPr>
          <w:rFonts w:ascii="Franklin Gothic Book" w:hAnsi="Franklin Gothic Book"/>
          <w:sz w:val="20"/>
        </w:rPr>
      </w:pPr>
      <w:r>
        <w:rPr>
          <w:rFonts w:ascii="Franklin Gothic Book" w:hAnsi="Franklin Gothic Book"/>
          <w:sz w:val="20"/>
        </w:rPr>
        <w:t>Per l’elaborazione della proiezione degli incassi è stata considerata la variazione registrata nel periodo gennaio-agosto 2019 rispetto allo stesso periodo del 2018. Tale variazione è stata</w:t>
      </w:r>
      <w:r>
        <w:rPr>
          <w:rFonts w:ascii="Franklin Gothic Book" w:hAnsi="Franklin Gothic Book"/>
          <w:spacing w:val="-12"/>
          <w:sz w:val="20"/>
        </w:rPr>
        <w:t> </w:t>
      </w:r>
      <w:r>
        <w:rPr>
          <w:rFonts w:ascii="Franklin Gothic Book" w:hAnsi="Franklin Gothic Book"/>
          <w:sz w:val="20"/>
        </w:rPr>
        <w:t>applicata</w:t>
      </w:r>
      <w:r>
        <w:rPr>
          <w:rFonts w:ascii="Franklin Gothic Book" w:hAnsi="Franklin Gothic Book"/>
          <w:spacing w:val="-12"/>
          <w:sz w:val="20"/>
        </w:rPr>
        <w:t> </w:t>
      </w:r>
      <w:r>
        <w:rPr>
          <w:rFonts w:ascii="Franklin Gothic Book" w:hAnsi="Franklin Gothic Book"/>
          <w:sz w:val="20"/>
        </w:rPr>
        <w:t>alle</w:t>
      </w:r>
      <w:r>
        <w:rPr>
          <w:rFonts w:ascii="Franklin Gothic Book" w:hAnsi="Franklin Gothic Book"/>
          <w:spacing w:val="-12"/>
          <w:sz w:val="20"/>
        </w:rPr>
        <w:t> </w:t>
      </w:r>
      <w:r>
        <w:rPr>
          <w:rFonts w:ascii="Franklin Gothic Book" w:hAnsi="Franklin Gothic Book"/>
          <w:sz w:val="20"/>
        </w:rPr>
        <w:t>singole</w:t>
      </w:r>
      <w:r>
        <w:rPr>
          <w:rFonts w:ascii="Franklin Gothic Book" w:hAnsi="Franklin Gothic Book"/>
          <w:spacing w:val="-13"/>
          <w:sz w:val="20"/>
        </w:rPr>
        <w:t> </w:t>
      </w:r>
      <w:r>
        <w:rPr>
          <w:rFonts w:ascii="Franklin Gothic Book" w:hAnsi="Franklin Gothic Book"/>
          <w:sz w:val="20"/>
        </w:rPr>
        <w:t>voci</w:t>
      </w:r>
      <w:r>
        <w:rPr>
          <w:rFonts w:ascii="Franklin Gothic Book" w:hAnsi="Franklin Gothic Book"/>
          <w:spacing w:val="-11"/>
          <w:sz w:val="20"/>
        </w:rPr>
        <w:t> </w:t>
      </w:r>
      <w:r>
        <w:rPr>
          <w:rFonts w:ascii="Franklin Gothic Book" w:hAnsi="Franklin Gothic Book"/>
          <w:sz w:val="20"/>
        </w:rPr>
        <w:t>delle</w:t>
      </w:r>
      <w:r>
        <w:rPr>
          <w:rFonts w:ascii="Franklin Gothic Book" w:hAnsi="Franklin Gothic Book"/>
          <w:spacing w:val="-13"/>
          <w:sz w:val="20"/>
        </w:rPr>
        <w:t> </w:t>
      </w:r>
      <w:r>
        <w:rPr>
          <w:rFonts w:ascii="Franklin Gothic Book" w:hAnsi="Franklin Gothic Book"/>
          <w:sz w:val="20"/>
        </w:rPr>
        <w:t>entrate</w:t>
      </w:r>
      <w:r>
        <w:rPr>
          <w:rFonts w:ascii="Franklin Gothic Book" w:hAnsi="Franklin Gothic Book"/>
          <w:spacing w:val="-13"/>
          <w:sz w:val="20"/>
        </w:rPr>
        <w:t> </w:t>
      </w:r>
      <w:r>
        <w:rPr>
          <w:rFonts w:ascii="Franklin Gothic Book" w:hAnsi="Franklin Gothic Book"/>
          <w:sz w:val="20"/>
        </w:rPr>
        <w:t>derivanti</w:t>
      </w:r>
      <w:r>
        <w:rPr>
          <w:rFonts w:ascii="Franklin Gothic Book" w:hAnsi="Franklin Gothic Book"/>
          <w:spacing w:val="-12"/>
          <w:sz w:val="20"/>
        </w:rPr>
        <w:t> </w:t>
      </w:r>
      <w:r>
        <w:rPr>
          <w:rFonts w:ascii="Franklin Gothic Book" w:hAnsi="Franklin Gothic Book"/>
          <w:sz w:val="20"/>
        </w:rPr>
        <w:t>dall’attività</w:t>
      </w:r>
      <w:r>
        <w:rPr>
          <w:rFonts w:ascii="Franklin Gothic Book" w:hAnsi="Franklin Gothic Book"/>
          <w:spacing w:val="-12"/>
          <w:sz w:val="20"/>
        </w:rPr>
        <w:t> </w:t>
      </w:r>
      <w:r>
        <w:rPr>
          <w:rFonts w:ascii="Franklin Gothic Book" w:hAnsi="Franklin Gothic Book"/>
          <w:sz w:val="20"/>
        </w:rPr>
        <w:t>di</w:t>
      </w:r>
      <w:r>
        <w:rPr>
          <w:rFonts w:ascii="Franklin Gothic Book" w:hAnsi="Franklin Gothic Book"/>
          <w:spacing w:val="-12"/>
          <w:sz w:val="20"/>
        </w:rPr>
        <w:t> </w:t>
      </w:r>
      <w:r>
        <w:rPr>
          <w:rFonts w:ascii="Franklin Gothic Book" w:hAnsi="Franklin Gothic Book"/>
          <w:sz w:val="20"/>
        </w:rPr>
        <w:t>accertamento</w:t>
      </w:r>
      <w:r>
        <w:rPr>
          <w:rFonts w:ascii="Franklin Gothic Book" w:hAnsi="Franklin Gothic Book"/>
          <w:spacing w:val="-12"/>
          <w:sz w:val="20"/>
        </w:rPr>
        <w:t> </w:t>
      </w:r>
      <w:r>
        <w:rPr>
          <w:rFonts w:ascii="Franklin Gothic Book" w:hAnsi="Franklin Gothic Book"/>
          <w:sz w:val="20"/>
        </w:rPr>
        <w:t>e</w:t>
      </w:r>
      <w:r>
        <w:rPr>
          <w:rFonts w:ascii="Franklin Gothic Book" w:hAnsi="Franklin Gothic Book"/>
          <w:spacing w:val="-13"/>
          <w:sz w:val="20"/>
        </w:rPr>
        <w:t> </w:t>
      </w:r>
      <w:r>
        <w:rPr>
          <w:rFonts w:ascii="Franklin Gothic Book" w:hAnsi="Franklin Gothic Book"/>
          <w:sz w:val="20"/>
        </w:rPr>
        <w:t>controllo incassate nell’anno</w:t>
      </w:r>
      <w:r>
        <w:rPr>
          <w:rFonts w:ascii="Franklin Gothic Book" w:hAnsi="Franklin Gothic Book"/>
          <w:spacing w:val="-2"/>
          <w:sz w:val="20"/>
        </w:rPr>
        <w:t> </w:t>
      </w:r>
      <w:r>
        <w:rPr>
          <w:rFonts w:ascii="Franklin Gothic Book" w:hAnsi="Franklin Gothic Book"/>
          <w:sz w:val="20"/>
        </w:rPr>
        <w:t>2018.</w:t>
      </w:r>
    </w:p>
    <w:p>
      <w:pPr>
        <w:spacing w:line="254" w:lineRule="auto" w:before="59"/>
        <w:ind w:left="1582" w:right="1415" w:firstLine="0"/>
        <w:jc w:val="both"/>
        <w:rPr>
          <w:rFonts w:ascii="Franklin Gothic Book"/>
          <w:sz w:val="20"/>
        </w:rPr>
      </w:pPr>
      <w:r>
        <w:rPr>
          <w:rFonts w:ascii="Franklin Gothic Book"/>
          <w:sz w:val="20"/>
        </w:rPr>
        <w:t>Nella tabella seguente sono evidenziati i principali tributi (IRPEF, IRES, IVA) e sono indicati indistintamente quelli minori (inclusivi delle entrate derivanti dalla conciliazione); per ciascuna</w:t>
      </w:r>
      <w:r>
        <w:rPr>
          <w:rFonts w:ascii="Franklin Gothic Book"/>
          <w:spacing w:val="-11"/>
          <w:sz w:val="20"/>
        </w:rPr>
        <w:t> </w:t>
      </w:r>
      <w:r>
        <w:rPr>
          <w:rFonts w:ascii="Franklin Gothic Book"/>
          <w:sz w:val="20"/>
        </w:rPr>
        <w:t>voce</w:t>
      </w:r>
      <w:r>
        <w:rPr>
          <w:rFonts w:ascii="Franklin Gothic Book"/>
          <w:spacing w:val="-11"/>
          <w:sz w:val="20"/>
        </w:rPr>
        <w:t> </w:t>
      </w:r>
      <w:r>
        <w:rPr>
          <w:rFonts w:ascii="Franklin Gothic Book"/>
          <w:sz w:val="20"/>
        </w:rPr>
        <w:t>sono</w:t>
      </w:r>
      <w:r>
        <w:rPr>
          <w:rFonts w:ascii="Franklin Gothic Book"/>
          <w:spacing w:val="-11"/>
          <w:sz w:val="20"/>
        </w:rPr>
        <w:t> </w:t>
      </w:r>
      <w:r>
        <w:rPr>
          <w:rFonts w:ascii="Franklin Gothic Book"/>
          <w:sz w:val="20"/>
        </w:rPr>
        <w:t>riportati:</w:t>
      </w:r>
      <w:r>
        <w:rPr>
          <w:rFonts w:ascii="Franklin Gothic Book"/>
          <w:spacing w:val="-11"/>
          <w:sz w:val="20"/>
        </w:rPr>
        <w:t> </w:t>
      </w:r>
      <w:r>
        <w:rPr>
          <w:rFonts w:ascii="Franklin Gothic Book"/>
          <w:sz w:val="20"/>
        </w:rPr>
        <w:t>gli</w:t>
      </w:r>
      <w:r>
        <w:rPr>
          <w:rFonts w:ascii="Franklin Gothic Book"/>
          <w:spacing w:val="-11"/>
          <w:sz w:val="20"/>
        </w:rPr>
        <w:t> </w:t>
      </w:r>
      <w:r>
        <w:rPr>
          <w:rFonts w:ascii="Franklin Gothic Book"/>
          <w:sz w:val="20"/>
        </w:rPr>
        <w:t>incassi</w:t>
      </w:r>
      <w:r>
        <w:rPr>
          <w:rFonts w:ascii="Franklin Gothic Book"/>
          <w:spacing w:val="-10"/>
          <w:sz w:val="20"/>
        </w:rPr>
        <w:t> </w:t>
      </w:r>
      <w:r>
        <w:rPr>
          <w:rFonts w:ascii="Franklin Gothic Book"/>
          <w:sz w:val="20"/>
        </w:rPr>
        <w:t>realizzati</w:t>
      </w:r>
      <w:r>
        <w:rPr>
          <w:rFonts w:ascii="Franklin Gothic Book"/>
          <w:spacing w:val="-11"/>
          <w:sz w:val="20"/>
        </w:rPr>
        <w:t> </w:t>
      </w:r>
      <w:r>
        <w:rPr>
          <w:rFonts w:ascii="Franklin Gothic Book"/>
          <w:sz w:val="20"/>
        </w:rPr>
        <w:t>nel</w:t>
      </w:r>
      <w:r>
        <w:rPr>
          <w:rFonts w:ascii="Franklin Gothic Book"/>
          <w:spacing w:val="-12"/>
          <w:sz w:val="20"/>
        </w:rPr>
        <w:t> </w:t>
      </w:r>
      <w:r>
        <w:rPr>
          <w:rFonts w:ascii="Franklin Gothic Book"/>
          <w:sz w:val="20"/>
        </w:rPr>
        <w:t>2018,</w:t>
      </w:r>
      <w:r>
        <w:rPr>
          <w:rFonts w:ascii="Franklin Gothic Book"/>
          <w:spacing w:val="-10"/>
          <w:sz w:val="20"/>
        </w:rPr>
        <w:t> </w:t>
      </w:r>
      <w:r>
        <w:rPr>
          <w:rFonts w:ascii="Franklin Gothic Book"/>
          <w:sz w:val="20"/>
        </w:rPr>
        <w:t>risultanti</w:t>
      </w:r>
      <w:r>
        <w:rPr>
          <w:rFonts w:ascii="Franklin Gothic Book"/>
          <w:spacing w:val="-11"/>
          <w:sz w:val="20"/>
        </w:rPr>
        <w:t> </w:t>
      </w:r>
      <w:r>
        <w:rPr>
          <w:rFonts w:ascii="Franklin Gothic Book"/>
          <w:sz w:val="20"/>
        </w:rPr>
        <w:t>dal</w:t>
      </w:r>
      <w:r>
        <w:rPr>
          <w:rFonts w:ascii="Franklin Gothic Book"/>
          <w:spacing w:val="-13"/>
          <w:sz w:val="20"/>
        </w:rPr>
        <w:t> </w:t>
      </w:r>
      <w:r>
        <w:rPr>
          <w:rFonts w:ascii="Franklin Gothic Book"/>
          <w:sz w:val="20"/>
        </w:rPr>
        <w:t>Rendiconto</w:t>
      </w:r>
      <w:r>
        <w:rPr>
          <w:rFonts w:ascii="Franklin Gothic Book"/>
          <w:spacing w:val="-11"/>
          <w:sz w:val="20"/>
        </w:rPr>
        <w:t> </w:t>
      </w:r>
      <w:r>
        <w:rPr>
          <w:rFonts w:ascii="Franklin Gothic Book"/>
          <w:sz w:val="20"/>
        </w:rPr>
        <w:t>generale dello Stato (colonna a)); la stima delle entrate realizzate nel 2019 (colonna b)); le previsioni di bilancio assestate per il 2018 (colonna c)), 2019 (colonna d)), 2020 (colonna e)) e 2021 (colonna</w:t>
      </w:r>
      <w:r>
        <w:rPr>
          <w:rFonts w:ascii="Franklin Gothic Book"/>
          <w:spacing w:val="-10"/>
          <w:sz w:val="20"/>
        </w:rPr>
        <w:t> </w:t>
      </w:r>
      <w:r>
        <w:rPr>
          <w:rFonts w:ascii="Franklin Gothic Book"/>
          <w:sz w:val="20"/>
        </w:rPr>
        <w:t>f));</w:t>
      </w:r>
      <w:r>
        <w:rPr>
          <w:rFonts w:ascii="Franklin Gothic Book"/>
          <w:spacing w:val="-9"/>
          <w:sz w:val="20"/>
        </w:rPr>
        <w:t> </w:t>
      </w:r>
      <w:r>
        <w:rPr>
          <w:rFonts w:ascii="Franklin Gothic Book"/>
          <w:sz w:val="20"/>
        </w:rPr>
        <w:t>la</w:t>
      </w:r>
      <w:r>
        <w:rPr>
          <w:rFonts w:ascii="Franklin Gothic Book"/>
          <w:spacing w:val="-9"/>
          <w:sz w:val="20"/>
        </w:rPr>
        <w:t> </w:t>
      </w:r>
      <w:r>
        <w:rPr>
          <w:rFonts w:ascii="Franklin Gothic Book"/>
          <w:sz w:val="20"/>
        </w:rPr>
        <w:t>differenza</w:t>
      </w:r>
      <w:r>
        <w:rPr>
          <w:rFonts w:ascii="Franklin Gothic Book"/>
          <w:spacing w:val="-9"/>
          <w:sz w:val="20"/>
        </w:rPr>
        <w:t> </w:t>
      </w:r>
      <w:r>
        <w:rPr>
          <w:rFonts w:ascii="Franklin Gothic Book"/>
          <w:sz w:val="20"/>
        </w:rPr>
        <w:t>tra</w:t>
      </w:r>
      <w:r>
        <w:rPr>
          <w:rFonts w:ascii="Franklin Gothic Book"/>
          <w:spacing w:val="-10"/>
          <w:sz w:val="20"/>
        </w:rPr>
        <w:t> </w:t>
      </w:r>
      <w:r>
        <w:rPr>
          <w:rFonts w:ascii="Franklin Gothic Book"/>
          <w:sz w:val="20"/>
        </w:rPr>
        <w:t>la</w:t>
      </w:r>
      <w:r>
        <w:rPr>
          <w:rFonts w:ascii="Franklin Gothic Book"/>
          <w:spacing w:val="-9"/>
          <w:sz w:val="20"/>
        </w:rPr>
        <w:t> </w:t>
      </w:r>
      <w:r>
        <w:rPr>
          <w:rFonts w:ascii="Franklin Gothic Book"/>
          <w:sz w:val="20"/>
        </w:rPr>
        <w:t>stima</w:t>
      </w:r>
      <w:r>
        <w:rPr>
          <w:rFonts w:ascii="Franklin Gothic Book"/>
          <w:spacing w:val="-9"/>
          <w:sz w:val="20"/>
        </w:rPr>
        <w:t> </w:t>
      </w:r>
      <w:r>
        <w:rPr>
          <w:rFonts w:ascii="Franklin Gothic Book"/>
          <w:sz w:val="20"/>
        </w:rPr>
        <w:t>degli</w:t>
      </w:r>
      <w:r>
        <w:rPr>
          <w:rFonts w:ascii="Franklin Gothic Book"/>
          <w:spacing w:val="-9"/>
          <w:sz w:val="20"/>
        </w:rPr>
        <w:t> </w:t>
      </w:r>
      <w:r>
        <w:rPr>
          <w:rFonts w:ascii="Franklin Gothic Book"/>
          <w:sz w:val="20"/>
        </w:rPr>
        <w:t>incassi</w:t>
      </w:r>
      <w:r>
        <w:rPr>
          <w:rFonts w:ascii="Franklin Gothic Book"/>
          <w:spacing w:val="-9"/>
          <w:sz w:val="20"/>
        </w:rPr>
        <w:t> </w:t>
      </w:r>
      <w:r>
        <w:rPr>
          <w:rFonts w:ascii="Franklin Gothic Book"/>
          <w:sz w:val="20"/>
        </w:rPr>
        <w:t>attesi</w:t>
      </w:r>
      <w:r>
        <w:rPr>
          <w:rFonts w:ascii="Franklin Gothic Book"/>
          <w:spacing w:val="-9"/>
          <w:sz w:val="20"/>
        </w:rPr>
        <w:t> </w:t>
      </w:r>
      <w:r>
        <w:rPr>
          <w:rFonts w:ascii="Franklin Gothic Book"/>
          <w:sz w:val="20"/>
        </w:rPr>
        <w:t>nel</w:t>
      </w:r>
      <w:r>
        <w:rPr>
          <w:rFonts w:ascii="Franklin Gothic Book"/>
          <w:spacing w:val="-10"/>
          <w:sz w:val="20"/>
        </w:rPr>
        <w:t> </w:t>
      </w:r>
      <w:r>
        <w:rPr>
          <w:rFonts w:ascii="Franklin Gothic Book"/>
          <w:sz w:val="20"/>
        </w:rPr>
        <w:t>2019</w:t>
      </w:r>
      <w:r>
        <w:rPr>
          <w:rFonts w:ascii="Franklin Gothic Book"/>
          <w:spacing w:val="-9"/>
          <w:sz w:val="20"/>
        </w:rPr>
        <w:t> </w:t>
      </w:r>
      <w:r>
        <w:rPr>
          <w:rFonts w:ascii="Franklin Gothic Book"/>
          <w:sz w:val="20"/>
        </w:rPr>
        <w:t>e</w:t>
      </w:r>
      <w:r>
        <w:rPr>
          <w:rFonts w:ascii="Franklin Gothic Book"/>
          <w:spacing w:val="-10"/>
          <w:sz w:val="20"/>
        </w:rPr>
        <w:t> </w:t>
      </w:r>
      <w:r>
        <w:rPr>
          <w:rFonts w:ascii="Franklin Gothic Book"/>
          <w:sz w:val="20"/>
        </w:rPr>
        <w:t>quelli</w:t>
      </w:r>
      <w:r>
        <w:rPr>
          <w:rFonts w:ascii="Franklin Gothic Book"/>
          <w:spacing w:val="-9"/>
          <w:sz w:val="20"/>
        </w:rPr>
        <w:t> </w:t>
      </w:r>
      <w:r>
        <w:rPr>
          <w:rFonts w:ascii="Franklin Gothic Book"/>
          <w:sz w:val="20"/>
        </w:rPr>
        <w:t>realizzati</w:t>
      </w:r>
      <w:r>
        <w:rPr>
          <w:rFonts w:ascii="Franklin Gothic Book"/>
          <w:spacing w:val="-10"/>
          <w:sz w:val="20"/>
        </w:rPr>
        <w:t> </w:t>
      </w:r>
      <w:r>
        <w:rPr>
          <w:rFonts w:ascii="Franklin Gothic Book"/>
          <w:sz w:val="20"/>
        </w:rPr>
        <w:t>nel</w:t>
      </w:r>
      <w:r>
        <w:rPr>
          <w:rFonts w:ascii="Franklin Gothic Book"/>
          <w:spacing w:val="-9"/>
          <w:sz w:val="20"/>
        </w:rPr>
        <w:t> </w:t>
      </w:r>
      <w:r>
        <w:rPr>
          <w:rFonts w:ascii="Franklin Gothic Book"/>
          <w:sz w:val="20"/>
        </w:rPr>
        <w:t>2018; la differenza tra gli incassi stimati per il 2019 e le previsioni iscritte in bilancio per il triennio 2019-2021.</w:t>
      </w:r>
    </w:p>
    <w:p>
      <w:pPr>
        <w:spacing w:line="254" w:lineRule="auto" w:before="57"/>
        <w:ind w:left="1582" w:right="1412" w:firstLine="0"/>
        <w:jc w:val="both"/>
        <w:rPr>
          <w:rFonts w:ascii="Franklin Gothic Book" w:hAnsi="Franklin Gothic Book"/>
          <w:sz w:val="20"/>
        </w:rPr>
      </w:pPr>
      <w:r>
        <w:rPr>
          <w:rFonts w:ascii="Franklin Gothic Book" w:hAnsi="Franklin Gothic Book"/>
          <w:sz w:val="20"/>
        </w:rPr>
        <w:t>Sulla base dei criteri sopra descritti, si perviene ai seguenti risultati: i) la stima degli incassi attesi per il 2019 è maggiore degli incassi realizzati nel 2018 per circa 0,41 miliardi; ii) il raffronto tra la stima degli incassi e le previsioni per il 2019 mostra un incremento di circa 2,14</w:t>
      </w:r>
      <w:r>
        <w:rPr>
          <w:rFonts w:ascii="Franklin Gothic Book" w:hAnsi="Franklin Gothic Book"/>
          <w:spacing w:val="-6"/>
          <w:sz w:val="20"/>
        </w:rPr>
        <w:t> </w:t>
      </w:r>
      <w:r>
        <w:rPr>
          <w:rFonts w:ascii="Franklin Gothic Book" w:hAnsi="Franklin Gothic Book"/>
          <w:sz w:val="20"/>
        </w:rPr>
        <w:t>miliardi</w:t>
      </w:r>
      <w:r>
        <w:rPr>
          <w:rFonts w:ascii="Franklin Gothic Book" w:hAnsi="Franklin Gothic Book"/>
          <w:spacing w:val="-6"/>
          <w:sz w:val="20"/>
        </w:rPr>
        <w:t> </w:t>
      </w:r>
      <w:r>
        <w:rPr>
          <w:rFonts w:ascii="Franklin Gothic Book" w:hAnsi="Franklin Gothic Book"/>
          <w:sz w:val="20"/>
        </w:rPr>
        <w:t>interamente</w:t>
      </w:r>
      <w:r>
        <w:rPr>
          <w:rFonts w:ascii="Franklin Gothic Book" w:hAnsi="Franklin Gothic Book"/>
          <w:spacing w:val="-5"/>
          <w:sz w:val="20"/>
        </w:rPr>
        <w:t> </w:t>
      </w:r>
      <w:r>
        <w:rPr>
          <w:rFonts w:ascii="Franklin Gothic Book" w:hAnsi="Franklin Gothic Book"/>
          <w:sz w:val="20"/>
        </w:rPr>
        <w:t>riconducibile</w:t>
      </w:r>
      <w:r>
        <w:rPr>
          <w:rFonts w:ascii="Franklin Gothic Book" w:hAnsi="Franklin Gothic Book"/>
          <w:spacing w:val="-6"/>
          <w:sz w:val="20"/>
        </w:rPr>
        <w:t> </w:t>
      </w:r>
      <w:r>
        <w:rPr>
          <w:rFonts w:ascii="Franklin Gothic Book" w:hAnsi="Franklin Gothic Book"/>
          <w:sz w:val="20"/>
        </w:rPr>
        <w:t>alle</w:t>
      </w:r>
      <w:r>
        <w:rPr>
          <w:rFonts w:ascii="Franklin Gothic Book" w:hAnsi="Franklin Gothic Book"/>
          <w:spacing w:val="-4"/>
          <w:sz w:val="20"/>
        </w:rPr>
        <w:t> </w:t>
      </w:r>
      <w:r>
        <w:rPr>
          <w:rFonts w:ascii="Franklin Gothic Book" w:hAnsi="Franklin Gothic Book"/>
          <w:sz w:val="20"/>
        </w:rPr>
        <w:t>entrate</w:t>
      </w:r>
      <w:r>
        <w:rPr>
          <w:rFonts w:ascii="Franklin Gothic Book" w:hAnsi="Franklin Gothic Book"/>
          <w:spacing w:val="-7"/>
          <w:sz w:val="20"/>
        </w:rPr>
        <w:t> </w:t>
      </w:r>
      <w:r>
        <w:rPr>
          <w:rFonts w:ascii="Franklin Gothic Book" w:hAnsi="Franklin Gothic Book"/>
          <w:sz w:val="20"/>
        </w:rPr>
        <w:t>tributarie;</w:t>
      </w:r>
      <w:r>
        <w:rPr>
          <w:rFonts w:ascii="Franklin Gothic Book" w:hAnsi="Franklin Gothic Book"/>
          <w:spacing w:val="-5"/>
          <w:sz w:val="20"/>
        </w:rPr>
        <w:t> </w:t>
      </w:r>
      <w:r>
        <w:rPr>
          <w:rFonts w:ascii="Franklin Gothic Book" w:hAnsi="Franklin Gothic Book"/>
          <w:sz w:val="20"/>
        </w:rPr>
        <w:t>iii)</w:t>
      </w:r>
      <w:r>
        <w:rPr>
          <w:rFonts w:ascii="Franklin Gothic Book" w:hAnsi="Franklin Gothic Book"/>
          <w:spacing w:val="-6"/>
          <w:sz w:val="20"/>
        </w:rPr>
        <w:t> </w:t>
      </w:r>
      <w:r>
        <w:rPr>
          <w:rFonts w:ascii="Franklin Gothic Book" w:hAnsi="Franklin Gothic Book"/>
          <w:sz w:val="20"/>
        </w:rPr>
        <w:t>il</w:t>
      </w:r>
      <w:r>
        <w:rPr>
          <w:rFonts w:ascii="Franklin Gothic Book" w:hAnsi="Franklin Gothic Book"/>
          <w:spacing w:val="-6"/>
          <w:sz w:val="20"/>
        </w:rPr>
        <w:t> </w:t>
      </w:r>
      <w:r>
        <w:rPr>
          <w:rFonts w:ascii="Franklin Gothic Book" w:hAnsi="Franklin Gothic Book"/>
          <w:sz w:val="20"/>
        </w:rPr>
        <w:t>raffronto tra</w:t>
      </w:r>
      <w:r>
        <w:rPr>
          <w:rFonts w:ascii="Franklin Gothic Book" w:hAnsi="Franklin Gothic Book"/>
          <w:spacing w:val="-5"/>
          <w:sz w:val="20"/>
        </w:rPr>
        <w:t> </w:t>
      </w:r>
      <w:r>
        <w:rPr>
          <w:rFonts w:ascii="Franklin Gothic Book" w:hAnsi="Franklin Gothic Book"/>
          <w:sz w:val="20"/>
        </w:rPr>
        <w:t>la</w:t>
      </w:r>
      <w:r>
        <w:rPr>
          <w:rFonts w:ascii="Franklin Gothic Book" w:hAnsi="Franklin Gothic Book"/>
          <w:spacing w:val="-5"/>
          <w:sz w:val="20"/>
        </w:rPr>
        <w:t> </w:t>
      </w:r>
      <w:r>
        <w:rPr>
          <w:rFonts w:ascii="Franklin Gothic Book" w:hAnsi="Franklin Gothic Book"/>
          <w:sz w:val="20"/>
        </w:rPr>
        <w:t>stima</w:t>
      </w:r>
      <w:r>
        <w:rPr>
          <w:rFonts w:ascii="Franklin Gothic Book" w:hAnsi="Franklin Gothic Book"/>
          <w:spacing w:val="-5"/>
          <w:sz w:val="20"/>
        </w:rPr>
        <w:t> </w:t>
      </w:r>
      <w:r>
        <w:rPr>
          <w:rFonts w:ascii="Franklin Gothic Book" w:hAnsi="Franklin Gothic Book"/>
          <w:sz w:val="20"/>
        </w:rPr>
        <w:t>degli incassi del 2019 e le previsioni per il 2020 mostra un incremento di circa 2,68 miliardi, riconducibile alla differenza positiva sulle entrate tributarie (3,08 miliardi), parzialmente compensata da una differenza negativa sulle entrate extra tributarie (-0,41 miliardi); iv) il raffronto tra la stima degli incassi del 2019 e le previsioni per il 2021 mostra un incremento di</w:t>
      </w:r>
      <w:r>
        <w:rPr>
          <w:rFonts w:ascii="Franklin Gothic Book" w:hAnsi="Franklin Gothic Book"/>
          <w:spacing w:val="-9"/>
          <w:sz w:val="20"/>
        </w:rPr>
        <w:t> </w:t>
      </w:r>
      <w:r>
        <w:rPr>
          <w:rFonts w:ascii="Franklin Gothic Book" w:hAnsi="Franklin Gothic Book"/>
          <w:sz w:val="20"/>
        </w:rPr>
        <w:t>circa</w:t>
      </w:r>
      <w:r>
        <w:rPr>
          <w:rFonts w:ascii="Franklin Gothic Book" w:hAnsi="Franklin Gothic Book"/>
          <w:spacing w:val="-8"/>
          <w:sz w:val="20"/>
        </w:rPr>
        <w:t> </w:t>
      </w:r>
      <w:r>
        <w:rPr>
          <w:rFonts w:ascii="Franklin Gothic Book" w:hAnsi="Franklin Gothic Book"/>
          <w:sz w:val="20"/>
        </w:rPr>
        <w:t>3,04</w:t>
      </w:r>
      <w:r>
        <w:rPr>
          <w:rFonts w:ascii="Franklin Gothic Book" w:hAnsi="Franklin Gothic Book"/>
          <w:spacing w:val="-8"/>
          <w:sz w:val="20"/>
        </w:rPr>
        <w:t> </w:t>
      </w:r>
      <w:r>
        <w:rPr>
          <w:rFonts w:ascii="Franklin Gothic Book" w:hAnsi="Franklin Gothic Book"/>
          <w:sz w:val="20"/>
        </w:rPr>
        <w:t>miliardi,</w:t>
      </w:r>
      <w:r>
        <w:rPr>
          <w:rFonts w:ascii="Franklin Gothic Book" w:hAnsi="Franklin Gothic Book"/>
          <w:spacing w:val="-7"/>
          <w:sz w:val="20"/>
        </w:rPr>
        <w:t> </w:t>
      </w:r>
      <w:r>
        <w:rPr>
          <w:rFonts w:ascii="Franklin Gothic Book" w:hAnsi="Franklin Gothic Book"/>
          <w:sz w:val="20"/>
        </w:rPr>
        <w:t>riconducibile</w:t>
      </w:r>
      <w:r>
        <w:rPr>
          <w:rFonts w:ascii="Franklin Gothic Book" w:hAnsi="Franklin Gothic Book"/>
          <w:spacing w:val="-9"/>
          <w:sz w:val="20"/>
        </w:rPr>
        <w:t> </w:t>
      </w:r>
      <w:r>
        <w:rPr>
          <w:rFonts w:ascii="Franklin Gothic Book" w:hAnsi="Franklin Gothic Book"/>
          <w:sz w:val="20"/>
        </w:rPr>
        <w:t>alle</w:t>
      </w:r>
      <w:r>
        <w:rPr>
          <w:rFonts w:ascii="Franklin Gothic Book" w:hAnsi="Franklin Gothic Book"/>
          <w:spacing w:val="-10"/>
          <w:sz w:val="20"/>
        </w:rPr>
        <w:t> </w:t>
      </w:r>
      <w:r>
        <w:rPr>
          <w:rFonts w:ascii="Franklin Gothic Book" w:hAnsi="Franklin Gothic Book"/>
          <w:sz w:val="20"/>
        </w:rPr>
        <w:t>entrate</w:t>
      </w:r>
      <w:r>
        <w:rPr>
          <w:rFonts w:ascii="Franklin Gothic Book" w:hAnsi="Franklin Gothic Book"/>
          <w:spacing w:val="-8"/>
          <w:sz w:val="20"/>
        </w:rPr>
        <w:t> </w:t>
      </w:r>
      <w:r>
        <w:rPr>
          <w:rFonts w:ascii="Franklin Gothic Book" w:hAnsi="Franklin Gothic Book"/>
          <w:sz w:val="20"/>
        </w:rPr>
        <w:t>tributarie</w:t>
      </w:r>
      <w:r>
        <w:rPr>
          <w:rFonts w:ascii="Franklin Gothic Book" w:hAnsi="Franklin Gothic Book"/>
          <w:spacing w:val="-9"/>
          <w:sz w:val="20"/>
        </w:rPr>
        <w:t> </w:t>
      </w:r>
      <w:r>
        <w:rPr>
          <w:rFonts w:ascii="Franklin Gothic Book" w:hAnsi="Franklin Gothic Book"/>
          <w:sz w:val="20"/>
        </w:rPr>
        <w:t>per</w:t>
      </w:r>
      <w:r>
        <w:rPr>
          <w:rFonts w:ascii="Franklin Gothic Book" w:hAnsi="Franklin Gothic Book"/>
          <w:spacing w:val="-9"/>
          <w:sz w:val="20"/>
        </w:rPr>
        <w:t> </w:t>
      </w:r>
      <w:r>
        <w:rPr>
          <w:rFonts w:ascii="Franklin Gothic Book" w:hAnsi="Franklin Gothic Book"/>
          <w:sz w:val="20"/>
        </w:rPr>
        <w:t>2,93</w:t>
      </w:r>
      <w:r>
        <w:rPr>
          <w:rFonts w:ascii="Franklin Gothic Book" w:hAnsi="Franklin Gothic Book"/>
          <w:spacing w:val="-7"/>
          <w:sz w:val="20"/>
        </w:rPr>
        <w:t> </w:t>
      </w:r>
      <w:r>
        <w:rPr>
          <w:rFonts w:ascii="Franklin Gothic Book" w:hAnsi="Franklin Gothic Book"/>
          <w:sz w:val="20"/>
        </w:rPr>
        <w:t>miliardi</w:t>
      </w:r>
      <w:r>
        <w:rPr>
          <w:rFonts w:ascii="Franklin Gothic Book" w:hAnsi="Franklin Gothic Book"/>
          <w:spacing w:val="-9"/>
          <w:sz w:val="20"/>
        </w:rPr>
        <w:t> </w:t>
      </w:r>
      <w:r>
        <w:rPr>
          <w:rFonts w:ascii="Franklin Gothic Book" w:hAnsi="Franklin Gothic Book"/>
          <w:sz w:val="20"/>
        </w:rPr>
        <w:t>e</w:t>
      </w:r>
      <w:r>
        <w:rPr>
          <w:rFonts w:ascii="Franklin Gothic Book" w:hAnsi="Franklin Gothic Book"/>
          <w:spacing w:val="-8"/>
          <w:sz w:val="20"/>
        </w:rPr>
        <w:t> </w:t>
      </w:r>
      <w:r>
        <w:rPr>
          <w:rFonts w:ascii="Franklin Gothic Book" w:hAnsi="Franklin Gothic Book"/>
          <w:sz w:val="20"/>
        </w:rPr>
        <w:t>alle</w:t>
      </w:r>
      <w:r>
        <w:rPr>
          <w:rFonts w:ascii="Franklin Gothic Book" w:hAnsi="Franklin Gothic Book"/>
          <w:spacing w:val="-9"/>
          <w:sz w:val="20"/>
        </w:rPr>
        <w:t> </w:t>
      </w:r>
      <w:r>
        <w:rPr>
          <w:rFonts w:ascii="Franklin Gothic Book" w:hAnsi="Franklin Gothic Book"/>
          <w:sz w:val="20"/>
        </w:rPr>
        <w:t>entrate</w:t>
      </w:r>
      <w:r>
        <w:rPr>
          <w:rFonts w:ascii="Franklin Gothic Book" w:hAnsi="Franklin Gothic Book"/>
          <w:spacing w:val="-7"/>
          <w:sz w:val="20"/>
        </w:rPr>
        <w:t> </w:t>
      </w:r>
      <w:r>
        <w:rPr>
          <w:rFonts w:ascii="Franklin Gothic Book" w:hAnsi="Franklin Gothic Book"/>
          <w:sz w:val="20"/>
        </w:rPr>
        <w:t>extra tributarie per 0,11</w:t>
      </w:r>
      <w:r>
        <w:rPr>
          <w:rFonts w:ascii="Franklin Gothic Book" w:hAnsi="Franklin Gothic Book"/>
          <w:spacing w:val="-4"/>
          <w:sz w:val="20"/>
        </w:rPr>
        <w:t> </w:t>
      </w:r>
      <w:r>
        <w:rPr>
          <w:rFonts w:ascii="Franklin Gothic Book" w:hAnsi="Franklin Gothic Book"/>
          <w:sz w:val="20"/>
        </w:rPr>
        <w:t>miliardi.</w:t>
      </w:r>
    </w:p>
    <w:p>
      <w:pPr>
        <w:spacing w:after="0" w:line="254" w:lineRule="auto"/>
        <w:jc w:val="both"/>
        <w:rPr>
          <w:rFonts w:ascii="Franklin Gothic Book" w:hAnsi="Franklin Gothic Book"/>
          <w:sz w:val="20"/>
        </w:rPr>
        <w:sectPr>
          <w:pgSz w:w="11910" w:h="16840"/>
          <w:pgMar w:header="838" w:footer="866" w:top="1100" w:bottom="1060" w:left="1140" w:right="0"/>
        </w:sect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spacing w:before="7"/>
        <w:rPr>
          <w:rFonts w:ascii="Franklin Gothic Book"/>
          <w:sz w:val="16"/>
        </w:rPr>
      </w:pPr>
    </w:p>
    <w:tbl>
      <w:tblPr>
        <w:tblW w:w="0" w:type="auto"/>
        <w:jc w:val="left"/>
        <w:tblInd w:w="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
        <w:gridCol w:w="7770"/>
      </w:tblGrid>
      <w:tr>
        <w:trPr>
          <w:trHeight w:val="314" w:hRule="atLeast"/>
        </w:trPr>
        <w:tc>
          <w:tcPr>
            <w:tcW w:w="470" w:type="dxa"/>
            <w:tcBorders>
              <w:left w:val="single" w:sz="12" w:space="0" w:color="086D44"/>
            </w:tcBorders>
            <w:shd w:val="clear" w:color="auto" w:fill="EFEFEF"/>
          </w:tcPr>
          <w:p>
            <w:pPr>
              <w:pStyle w:val="TableParagraph"/>
              <w:jc w:val="left"/>
              <w:rPr>
                <w:rFonts w:ascii="Times New Roman"/>
                <w:sz w:val="18"/>
              </w:rPr>
            </w:pPr>
          </w:p>
        </w:tc>
        <w:tc>
          <w:tcPr>
            <w:tcW w:w="7770" w:type="dxa"/>
            <w:shd w:val="clear" w:color="auto" w:fill="086D44"/>
          </w:tcPr>
          <w:p>
            <w:pPr>
              <w:pStyle w:val="TableParagraph"/>
              <w:spacing w:before="55"/>
              <w:ind w:left="72"/>
              <w:jc w:val="left"/>
              <w:rPr>
                <w:rFonts w:ascii="Franklin Gothic Heavy" w:hAnsi="Franklin Gothic Heavy"/>
                <w:b/>
                <w:sz w:val="17"/>
              </w:rPr>
            </w:pPr>
            <w:r>
              <w:rPr>
                <w:rFonts w:ascii="Franklin Gothic Heavy" w:hAnsi="Franklin Gothic Heavy"/>
                <w:b/>
                <w:color w:val="EFEFEF"/>
                <w:spacing w:val="-3"/>
                <w:sz w:val="17"/>
              </w:rPr>
              <w:t>TAVOLA </w:t>
            </w:r>
            <w:r>
              <w:rPr>
                <w:rFonts w:ascii="Franklin Gothic Heavy" w:hAnsi="Franklin Gothic Heavy"/>
                <w:b/>
                <w:color w:val="EFEFEF"/>
                <w:sz w:val="17"/>
              </w:rPr>
              <w:t>R1: </w:t>
            </w:r>
            <w:r>
              <w:rPr>
                <w:rFonts w:ascii="Franklin Gothic Heavy" w:hAnsi="Franklin Gothic Heavy"/>
                <w:b/>
                <w:color w:val="EFEFEF"/>
                <w:spacing w:val="-3"/>
                <w:sz w:val="17"/>
              </w:rPr>
              <w:t>INCASSI DERIVANTI </w:t>
            </w:r>
            <w:r>
              <w:rPr>
                <w:rFonts w:ascii="Franklin Gothic Heavy" w:hAnsi="Franklin Gothic Heavy"/>
                <w:b/>
                <w:color w:val="EFEFEF"/>
                <w:sz w:val="17"/>
              </w:rPr>
              <w:t>DALLE </w:t>
            </w:r>
            <w:r>
              <w:rPr>
                <w:rFonts w:ascii="Franklin Gothic Heavy" w:hAnsi="Franklin Gothic Heavy"/>
                <w:b/>
                <w:color w:val="EFEFEF"/>
                <w:spacing w:val="-3"/>
                <w:sz w:val="17"/>
              </w:rPr>
              <w:t>ATTIVITÀ </w:t>
            </w:r>
            <w:r>
              <w:rPr>
                <w:rFonts w:ascii="Franklin Gothic Heavy" w:hAnsi="Franklin Gothic Heavy"/>
                <w:b/>
                <w:color w:val="EFEFEF"/>
                <w:sz w:val="17"/>
              </w:rPr>
              <w:t>DI </w:t>
            </w:r>
            <w:r>
              <w:rPr>
                <w:rFonts w:ascii="Franklin Gothic Heavy" w:hAnsi="Franklin Gothic Heavy"/>
                <w:b/>
                <w:color w:val="EFEFEF"/>
                <w:spacing w:val="-3"/>
                <w:sz w:val="17"/>
              </w:rPr>
              <w:t>CONTRASTO ALL’EVASIONE </w:t>
            </w:r>
            <w:r>
              <w:rPr>
                <w:rFonts w:ascii="Franklin Gothic Heavy" w:hAnsi="Franklin Gothic Heavy"/>
                <w:b/>
                <w:color w:val="EFEFEF"/>
                <w:sz w:val="17"/>
              </w:rPr>
              <w:t>(in </w:t>
            </w:r>
            <w:r>
              <w:rPr>
                <w:rFonts w:ascii="Franklin Gothic Heavy" w:hAnsi="Franklin Gothic Heavy"/>
                <w:b/>
                <w:color w:val="EFEFEF"/>
                <w:spacing w:val="-3"/>
                <w:sz w:val="17"/>
              </w:rPr>
              <w:t>miliardi </w:t>
            </w:r>
            <w:r>
              <w:rPr>
                <w:rFonts w:ascii="Franklin Gothic Heavy" w:hAnsi="Franklin Gothic Heavy"/>
                <w:b/>
                <w:color w:val="EFEFEF"/>
                <w:sz w:val="17"/>
              </w:rPr>
              <w:t>di euro)</w:t>
            </w:r>
          </w:p>
        </w:tc>
      </w:tr>
      <w:tr>
        <w:trPr>
          <w:trHeight w:val="1281" w:hRule="atLeast"/>
        </w:trPr>
        <w:tc>
          <w:tcPr>
            <w:tcW w:w="470" w:type="dxa"/>
            <w:vMerge w:val="restart"/>
            <w:tcBorders>
              <w:left w:val="single" w:sz="12" w:space="0" w:color="086D44"/>
            </w:tcBorders>
            <w:shd w:val="clear" w:color="auto" w:fill="EFEFEF"/>
          </w:tcPr>
          <w:p>
            <w:pPr>
              <w:pStyle w:val="TableParagraph"/>
              <w:jc w:val="left"/>
              <w:rPr>
                <w:rFonts w:ascii="Times New Roman"/>
                <w:sz w:val="18"/>
              </w:rPr>
            </w:pPr>
          </w:p>
        </w:tc>
        <w:tc>
          <w:tcPr>
            <w:tcW w:w="7770" w:type="dxa"/>
            <w:tcBorders>
              <w:bottom w:val="single" w:sz="4" w:space="0" w:color="000000"/>
            </w:tcBorders>
            <w:shd w:val="clear" w:color="auto" w:fill="EFEFEF"/>
          </w:tcPr>
          <w:p>
            <w:pPr>
              <w:pStyle w:val="TableParagraph"/>
              <w:tabs>
                <w:tab w:pos="1793" w:val="left" w:leader="none"/>
                <w:tab w:pos="3718" w:val="left" w:leader="none"/>
                <w:tab w:pos="5972" w:val="left" w:leader="none"/>
              </w:tabs>
              <w:spacing w:line="228" w:lineRule="exact"/>
              <w:ind w:left="977"/>
              <w:jc w:val="left"/>
              <w:rPr>
                <w:sz w:val="14"/>
              </w:rPr>
            </w:pPr>
            <w:r>
              <w:rPr>
                <w:position w:val="15"/>
                <w:sz w:val="14"/>
              </w:rPr>
              <w:t>Incassi</w:t>
              <w:tab/>
            </w:r>
            <w:r>
              <w:rPr>
                <w:position w:val="7"/>
                <w:sz w:val="14"/>
              </w:rPr>
              <w:t>Stima</w:t>
              <w:tab/>
            </w:r>
            <w:r>
              <w:rPr>
                <w:sz w:val="14"/>
              </w:rPr>
              <w:t>Previsioni</w:t>
            </w:r>
            <w:r>
              <w:rPr>
                <w:spacing w:val="-1"/>
                <w:sz w:val="14"/>
              </w:rPr>
              <w:t> </w:t>
            </w:r>
            <w:r>
              <w:rPr>
                <w:sz w:val="14"/>
              </w:rPr>
              <w:t>di</w:t>
              <w:tab/>
              <w:t>Differenza stima</w:t>
            </w:r>
          </w:p>
          <w:p>
            <w:pPr>
              <w:pStyle w:val="TableParagraph"/>
              <w:tabs>
                <w:tab w:pos="1759" w:val="left" w:leader="none"/>
                <w:tab w:pos="2391" w:val="left" w:leader="none"/>
                <w:tab w:pos="3538" w:val="left" w:leader="none"/>
                <w:tab w:pos="7785" w:val="left" w:leader="none"/>
              </w:tabs>
              <w:spacing w:line="96" w:lineRule="auto"/>
              <w:ind w:left="813" w:right="-29"/>
              <w:jc w:val="left"/>
              <w:rPr>
                <w:sz w:val="14"/>
              </w:rPr>
            </w:pPr>
            <w:r>
              <w:rPr>
                <w:sz w:val="14"/>
              </w:rPr>
              <w:t>registrati nel</w:t>
              <w:tab/>
            </w:r>
            <w:r>
              <w:rPr>
                <w:position w:val="-7"/>
                <w:sz w:val="14"/>
              </w:rPr>
              <w:t>incassi</w:t>
              <w:tab/>
            </w:r>
            <w:r>
              <w:rPr>
                <w:sz w:val="14"/>
              </w:rPr>
              <w:t>Previsioni</w:t>
            </w:r>
            <w:r>
              <w:rPr>
                <w:position w:val="-14"/>
                <w:sz w:val="14"/>
                <w:u w:val="single"/>
              </w:rPr>
              <w:t> </w:t>
              <w:tab/>
              <w:t>bilancio</w:t>
            </w:r>
            <w:r>
              <w:rPr>
                <w:spacing w:val="-6"/>
                <w:position w:val="-14"/>
                <w:sz w:val="14"/>
                <w:u w:val="single"/>
              </w:rPr>
              <w:t> </w:t>
            </w:r>
            <w:r>
              <w:rPr>
                <w:position w:val="-14"/>
                <w:sz w:val="14"/>
                <w:u w:val="single"/>
              </w:rPr>
              <w:t>assestate</w:t>
              <w:tab/>
            </w:r>
          </w:p>
          <w:p>
            <w:pPr>
              <w:pStyle w:val="TableParagraph"/>
              <w:tabs>
                <w:tab w:pos="1800" w:val="left" w:leader="none"/>
                <w:tab w:pos="2432" w:val="left" w:leader="none"/>
              </w:tabs>
              <w:spacing w:line="156" w:lineRule="auto"/>
              <w:ind w:left="1017"/>
              <w:jc w:val="left"/>
              <w:rPr>
                <w:sz w:val="14"/>
              </w:rPr>
            </w:pPr>
            <w:r>
              <w:rPr>
                <w:sz w:val="14"/>
              </w:rPr>
              <w:t>2018</w:t>
              <w:tab/>
            </w:r>
            <w:r>
              <w:rPr>
                <w:position w:val="-7"/>
                <w:sz w:val="14"/>
              </w:rPr>
              <w:t>2019</w:t>
              <w:tab/>
            </w:r>
            <w:r>
              <w:rPr>
                <w:sz w:val="14"/>
              </w:rPr>
              <w:t>di</w:t>
            </w:r>
            <w:r>
              <w:rPr>
                <w:spacing w:val="-1"/>
                <w:sz w:val="14"/>
              </w:rPr>
              <w:t> </w:t>
            </w:r>
            <w:r>
              <w:rPr>
                <w:sz w:val="14"/>
              </w:rPr>
              <w:t>cassa</w:t>
            </w:r>
          </w:p>
          <w:p>
            <w:pPr>
              <w:pStyle w:val="TableParagraph"/>
              <w:tabs>
                <w:tab w:pos="5262" w:val="left" w:leader="none"/>
                <w:tab w:pos="5924" w:val="left" w:leader="none"/>
                <w:tab w:pos="6586" w:val="left" w:leader="none"/>
                <w:tab w:pos="7247" w:val="left" w:leader="none"/>
              </w:tabs>
              <w:spacing w:line="153" w:lineRule="auto"/>
              <w:ind w:left="825"/>
              <w:jc w:val="left"/>
              <w:rPr>
                <w:sz w:val="14"/>
              </w:rPr>
            </w:pPr>
            <w:r>
              <w:rPr>
                <w:sz w:val="14"/>
              </w:rPr>
              <w:t>(Rendiconto    </w:t>
            </w:r>
            <w:r>
              <w:rPr>
                <w:position w:val="-6"/>
                <w:sz w:val="14"/>
              </w:rPr>
              <w:t>basata</w:t>
            </w:r>
            <w:r>
              <w:rPr>
                <w:spacing w:val="-24"/>
                <w:position w:val="-6"/>
                <w:sz w:val="14"/>
              </w:rPr>
              <w:t> </w:t>
            </w:r>
            <w:r>
              <w:rPr>
                <w:position w:val="-6"/>
                <w:sz w:val="14"/>
              </w:rPr>
              <w:t>sui   </w:t>
            </w:r>
            <w:r>
              <w:rPr>
                <w:spacing w:val="28"/>
                <w:position w:val="-6"/>
                <w:sz w:val="14"/>
              </w:rPr>
              <w:t> </w:t>
            </w:r>
            <w:r>
              <w:rPr>
                <w:sz w:val="14"/>
              </w:rPr>
              <w:t>bilancio</w:t>
              <w:tab/>
              <w:t>incassi</w:t>
              <w:tab/>
              <w:t>incassi</w:t>
              <w:tab/>
              <w:t>incassi</w:t>
              <w:tab/>
              <w:t>incassi</w:t>
            </w:r>
          </w:p>
          <w:p>
            <w:pPr>
              <w:pStyle w:val="TableParagraph"/>
              <w:tabs>
                <w:tab w:pos="1641" w:val="left" w:leader="none"/>
                <w:tab w:pos="3204" w:val="left" w:leader="none"/>
                <w:tab w:pos="3912" w:val="left" w:leader="none"/>
                <w:tab w:pos="4618" w:val="left" w:leader="none"/>
                <w:tab w:pos="5214" w:val="left" w:leader="none"/>
              </w:tabs>
              <w:spacing w:line="151" w:lineRule="auto"/>
              <w:ind w:left="924"/>
              <w:jc w:val="left"/>
              <w:rPr>
                <w:sz w:val="14"/>
              </w:rPr>
            </w:pPr>
            <w:r>
              <w:rPr>
                <w:sz w:val="14"/>
              </w:rPr>
              <w:t>generale</w:t>
              <w:tab/>
            </w:r>
            <w:r>
              <w:rPr>
                <w:position w:val="-6"/>
                <w:sz w:val="14"/>
              </w:rPr>
              <w:t>dati a</w:t>
            </w:r>
            <w:r>
              <w:rPr>
                <w:spacing w:val="-1"/>
                <w:position w:val="-6"/>
                <w:sz w:val="14"/>
              </w:rPr>
              <w:t> </w:t>
            </w:r>
            <w:r>
              <w:rPr>
                <w:position w:val="-6"/>
                <w:sz w:val="14"/>
              </w:rPr>
              <w:t>tutto </w:t>
            </w:r>
            <w:r>
              <w:rPr>
                <w:spacing w:val="27"/>
                <w:position w:val="-6"/>
                <w:sz w:val="14"/>
              </w:rPr>
              <w:t> </w:t>
            </w:r>
            <w:r>
              <w:rPr>
                <w:sz w:val="14"/>
              </w:rPr>
              <w:t>assestato</w:t>
              <w:tab/>
            </w:r>
            <w:r>
              <w:rPr>
                <w:position w:val="-7"/>
                <w:sz w:val="14"/>
              </w:rPr>
              <w:t>2019</w:t>
              <w:tab/>
              <w:t>2020</w:t>
              <w:tab/>
              <w:t>2021</w:t>
              <w:tab/>
            </w:r>
            <w:r>
              <w:rPr>
                <w:sz w:val="14"/>
              </w:rPr>
              <w:t>2019 in- 2019 pre- 2019 pre- 2019</w:t>
            </w:r>
            <w:r>
              <w:rPr>
                <w:spacing w:val="-13"/>
                <w:sz w:val="14"/>
              </w:rPr>
              <w:t> </w:t>
            </w:r>
            <w:r>
              <w:rPr>
                <w:sz w:val="14"/>
              </w:rPr>
              <w:t>pre-</w:t>
            </w:r>
          </w:p>
          <w:p>
            <w:pPr>
              <w:pStyle w:val="TableParagraph"/>
              <w:tabs>
                <w:tab w:pos="1766" w:val="left" w:leader="none"/>
                <w:tab w:pos="2511" w:val="left" w:leader="none"/>
                <w:tab w:pos="3288" w:val="left" w:leader="none"/>
                <w:tab w:pos="3999" w:val="left" w:leader="none"/>
                <w:tab w:pos="4719" w:val="left" w:leader="none"/>
                <w:tab w:pos="5314" w:val="left" w:leader="none"/>
                <w:tab w:pos="5941" w:val="left" w:leader="none"/>
                <w:tab w:pos="6603" w:val="left" w:leader="none"/>
                <w:tab w:pos="7264" w:val="left" w:leader="none"/>
              </w:tabs>
              <w:spacing w:line="151" w:lineRule="auto"/>
              <w:ind w:left="1039"/>
              <w:jc w:val="left"/>
              <w:rPr>
                <w:sz w:val="14"/>
              </w:rPr>
            </w:pPr>
            <w:r>
              <w:rPr>
                <w:sz w:val="14"/>
              </w:rPr>
              <w:t>dello</w:t>
              <w:tab/>
            </w:r>
            <w:r>
              <w:rPr>
                <w:position w:val="-6"/>
                <w:sz w:val="14"/>
              </w:rPr>
              <w:t>agosto</w:t>
              <w:tab/>
            </w:r>
            <w:r>
              <w:rPr>
                <w:sz w:val="14"/>
              </w:rPr>
              <w:t>2018</w:t>
              <w:tab/>
            </w:r>
            <w:r>
              <w:rPr>
                <w:position w:val="-7"/>
                <w:sz w:val="14"/>
              </w:rPr>
              <w:t>(d)</w:t>
              <w:tab/>
              <w:t>(e)</w:t>
              <w:tab/>
              <w:t>(f)</w:t>
              <w:tab/>
            </w:r>
            <w:r>
              <w:rPr>
                <w:sz w:val="14"/>
              </w:rPr>
              <w:t>cassi</w:t>
              <w:tab/>
              <w:t>visioni</w:t>
              <w:tab/>
              <w:t>visioni</w:t>
              <w:tab/>
              <w:t>visioni</w:t>
            </w:r>
          </w:p>
          <w:p>
            <w:pPr>
              <w:pStyle w:val="TableParagraph"/>
              <w:tabs>
                <w:tab w:pos="1886" w:val="left" w:leader="none"/>
                <w:tab w:pos="2602" w:val="left" w:leader="none"/>
                <w:tab w:pos="5302" w:val="left" w:leader="none"/>
                <w:tab w:pos="5965" w:val="left" w:leader="none"/>
                <w:tab w:pos="6627" w:val="left" w:leader="none"/>
                <w:tab w:pos="7616" w:val="right" w:leader="none"/>
              </w:tabs>
              <w:spacing w:line="153" w:lineRule="auto"/>
              <w:ind w:left="1005"/>
              <w:jc w:val="left"/>
              <w:rPr>
                <w:sz w:val="14"/>
              </w:rPr>
            </w:pPr>
            <w:r>
              <w:rPr>
                <w:sz w:val="14"/>
              </w:rPr>
              <w:t>Stato)</w:t>
              <w:tab/>
            </w:r>
            <w:r>
              <w:rPr>
                <w:position w:val="-6"/>
                <w:sz w:val="14"/>
              </w:rPr>
              <w:t>(b)</w:t>
              <w:tab/>
            </w:r>
            <w:r>
              <w:rPr>
                <w:sz w:val="14"/>
              </w:rPr>
              <w:t>(c)</w:t>
              <w:tab/>
              <w:t>2018</w:t>
              <w:tab/>
              <w:t>2019</w:t>
              <w:tab/>
              <w:t>2020</w:t>
              <w:tab/>
              <w:t>2021</w:t>
            </w:r>
          </w:p>
          <w:p>
            <w:pPr>
              <w:pStyle w:val="TableParagraph"/>
              <w:tabs>
                <w:tab w:pos="5334" w:val="left" w:leader="none"/>
                <w:tab w:pos="5994" w:val="left" w:leader="none"/>
                <w:tab w:pos="6658" w:val="left" w:leader="none"/>
                <w:tab w:pos="7333" w:val="left" w:leader="none"/>
              </w:tabs>
              <w:spacing w:line="119" w:lineRule="exact"/>
              <w:ind w:left="1104"/>
              <w:jc w:val="left"/>
              <w:rPr>
                <w:sz w:val="14"/>
              </w:rPr>
            </w:pPr>
            <w:r>
              <w:rPr>
                <w:sz w:val="14"/>
              </w:rPr>
              <w:t>(a)</w:t>
              <w:tab/>
              <w:t>(b-a)</w:t>
              <w:tab/>
              <w:t>(b-d)</w:t>
              <w:tab/>
              <w:t>(b-e)</w:t>
              <w:tab/>
              <w:t>(b-f)</w:t>
            </w:r>
          </w:p>
        </w:tc>
      </w:tr>
      <w:tr>
        <w:trPr>
          <w:trHeight w:val="91" w:hRule="atLeast"/>
        </w:trPr>
        <w:tc>
          <w:tcPr>
            <w:tcW w:w="470" w:type="dxa"/>
            <w:vMerge/>
            <w:tcBorders>
              <w:top w:val="nil"/>
              <w:left w:val="single" w:sz="12" w:space="0" w:color="086D44"/>
            </w:tcBorders>
            <w:shd w:val="clear" w:color="auto" w:fill="EFEFEF"/>
          </w:tcPr>
          <w:p>
            <w:pPr>
              <w:rPr>
                <w:sz w:val="2"/>
                <w:szCs w:val="2"/>
              </w:rPr>
            </w:pPr>
          </w:p>
        </w:tc>
        <w:tc>
          <w:tcPr>
            <w:tcW w:w="7770" w:type="dxa"/>
            <w:tcBorders>
              <w:top w:val="single" w:sz="4" w:space="0" w:color="000000"/>
            </w:tcBorders>
            <w:shd w:val="clear" w:color="auto" w:fill="EFEFEF"/>
          </w:tcPr>
          <w:p>
            <w:pPr>
              <w:pStyle w:val="TableParagraph"/>
              <w:tabs>
                <w:tab w:pos="1073" w:val="left" w:leader="none"/>
                <w:tab w:pos="1817" w:val="left" w:leader="none"/>
                <w:tab w:pos="2499" w:val="left" w:leader="none"/>
                <w:tab w:pos="3202" w:val="left" w:leader="none"/>
                <w:tab w:pos="3910" w:val="left" w:leader="none"/>
                <w:tab w:pos="4616" w:val="left" w:leader="none"/>
                <w:tab w:pos="5238" w:val="left" w:leader="none"/>
                <w:tab w:pos="5941" w:val="left" w:leader="none"/>
                <w:tab w:pos="6603" w:val="left" w:leader="none"/>
                <w:tab w:pos="7264" w:val="left" w:leader="none"/>
              </w:tabs>
              <w:spacing w:line="72" w:lineRule="exact"/>
              <w:ind w:left="43"/>
              <w:jc w:val="left"/>
              <w:rPr>
                <w:sz w:val="16"/>
              </w:rPr>
            </w:pPr>
            <w:r>
              <w:rPr>
                <w:sz w:val="16"/>
              </w:rPr>
              <w:t>IRPEF</w:t>
              <w:tab/>
              <w:t>3,75</w:t>
              <w:tab/>
              <w:t>3,52</w:t>
              <w:tab/>
              <w:t>3,83</w:t>
              <w:tab/>
              <w:t>3,09</w:t>
              <w:tab/>
              <w:t>3,03</w:t>
              <w:tab/>
              <w:t>3,05</w:t>
              <w:tab/>
              <w:t>-0,23</w:t>
              <w:tab/>
              <w:t>0,43</w:t>
              <w:tab/>
              <w:t>0,49</w:t>
              <w:tab/>
              <w:t>0,48</w:t>
            </w:r>
          </w:p>
        </w:tc>
      </w:tr>
      <w:tr>
        <w:trPr>
          <w:trHeight w:val="181" w:hRule="atLeast"/>
        </w:trPr>
        <w:tc>
          <w:tcPr>
            <w:tcW w:w="470" w:type="dxa"/>
            <w:vMerge/>
            <w:tcBorders>
              <w:top w:val="nil"/>
              <w:left w:val="single" w:sz="12" w:space="0" w:color="086D44"/>
            </w:tcBorders>
            <w:shd w:val="clear" w:color="auto" w:fill="EFEFEF"/>
          </w:tcPr>
          <w:p>
            <w:pPr>
              <w:rPr>
                <w:sz w:val="2"/>
                <w:szCs w:val="2"/>
              </w:rPr>
            </w:pPr>
          </w:p>
        </w:tc>
        <w:tc>
          <w:tcPr>
            <w:tcW w:w="7770" w:type="dxa"/>
            <w:shd w:val="clear" w:color="auto" w:fill="EFEFEF"/>
          </w:tcPr>
          <w:p>
            <w:pPr>
              <w:pStyle w:val="TableParagraph"/>
              <w:tabs>
                <w:tab w:pos="1073" w:val="left" w:leader="none"/>
                <w:tab w:pos="1817" w:val="left" w:leader="none"/>
                <w:tab w:pos="2499" w:val="left" w:leader="none"/>
                <w:tab w:pos="3202" w:val="left" w:leader="none"/>
                <w:tab w:pos="3910" w:val="left" w:leader="none"/>
                <w:tab w:pos="4616" w:val="left" w:leader="none"/>
                <w:tab w:pos="5278" w:val="left" w:leader="none"/>
                <w:tab w:pos="5941" w:val="left" w:leader="none"/>
                <w:tab w:pos="6603" w:val="left" w:leader="none"/>
                <w:tab w:pos="7264" w:val="left" w:leader="none"/>
              </w:tabs>
              <w:spacing w:line="161" w:lineRule="exact"/>
              <w:ind w:left="43"/>
              <w:jc w:val="left"/>
              <w:rPr>
                <w:sz w:val="16"/>
              </w:rPr>
            </w:pPr>
            <w:r>
              <w:rPr>
                <w:sz w:val="16"/>
              </w:rPr>
              <w:t>IRES</w:t>
              <w:tab/>
              <w:t>1,97</w:t>
              <w:tab/>
              <w:t>2,58</w:t>
              <w:tab/>
              <w:t>2,50</w:t>
              <w:tab/>
              <w:t>2,36</w:t>
              <w:tab/>
              <w:t>1,63</w:t>
              <w:tab/>
              <w:t>1,65</w:t>
              <w:tab/>
              <w:t>0,61</w:t>
              <w:tab/>
              <w:t>0,22</w:t>
              <w:tab/>
              <w:t>0,95</w:t>
              <w:tab/>
              <w:t>0,93</w:t>
            </w:r>
          </w:p>
        </w:tc>
      </w:tr>
      <w:tr>
        <w:trPr>
          <w:trHeight w:val="249" w:hRule="atLeast"/>
        </w:trPr>
        <w:tc>
          <w:tcPr>
            <w:tcW w:w="470" w:type="dxa"/>
            <w:vMerge/>
            <w:tcBorders>
              <w:top w:val="nil"/>
              <w:left w:val="single" w:sz="12" w:space="0" w:color="086D44"/>
            </w:tcBorders>
            <w:shd w:val="clear" w:color="auto" w:fill="EFEFEF"/>
          </w:tcPr>
          <w:p>
            <w:pPr>
              <w:rPr>
                <w:sz w:val="2"/>
                <w:szCs w:val="2"/>
              </w:rPr>
            </w:pPr>
          </w:p>
        </w:tc>
        <w:tc>
          <w:tcPr>
            <w:tcW w:w="7770" w:type="dxa"/>
            <w:shd w:val="clear" w:color="auto" w:fill="EFEFEF"/>
          </w:tcPr>
          <w:p>
            <w:pPr>
              <w:pStyle w:val="TableParagraph"/>
              <w:tabs>
                <w:tab w:pos="1073" w:val="left" w:leader="none"/>
                <w:tab w:pos="1817" w:val="left" w:leader="none"/>
                <w:tab w:pos="2499" w:val="left" w:leader="none"/>
                <w:tab w:pos="3202" w:val="left" w:leader="none"/>
                <w:tab w:pos="3910" w:val="left" w:leader="none"/>
                <w:tab w:pos="4616" w:val="left" w:leader="none"/>
                <w:tab w:pos="5238" w:val="left" w:leader="none"/>
                <w:tab w:pos="5941" w:val="left" w:leader="none"/>
                <w:tab w:pos="6603" w:val="left" w:leader="none"/>
                <w:tab w:pos="7264" w:val="left" w:leader="none"/>
              </w:tabs>
              <w:ind w:left="43"/>
              <w:jc w:val="left"/>
              <w:rPr>
                <w:sz w:val="16"/>
              </w:rPr>
            </w:pPr>
            <w:r>
              <w:rPr>
                <w:sz w:val="16"/>
              </w:rPr>
              <w:t>IVA</w:t>
              <w:tab/>
              <w:t>5,76</w:t>
              <w:tab/>
              <w:t>5,72</w:t>
              <w:tab/>
              <w:t>3,23</w:t>
              <w:tab/>
              <w:t>4,00</w:t>
              <w:tab/>
              <w:t>4,23</w:t>
              <w:tab/>
              <w:t>4,35</w:t>
              <w:tab/>
              <w:t>-0,04</w:t>
              <w:tab/>
              <w:t>1,72</w:t>
              <w:tab/>
              <w:t>1,48</w:t>
              <w:tab/>
              <w:t>1,36</w:t>
            </w:r>
          </w:p>
        </w:tc>
      </w:tr>
      <w:tr>
        <w:trPr>
          <w:trHeight w:val="249" w:hRule="atLeast"/>
        </w:trPr>
        <w:tc>
          <w:tcPr>
            <w:tcW w:w="470" w:type="dxa"/>
            <w:vMerge/>
            <w:tcBorders>
              <w:top w:val="nil"/>
              <w:left w:val="single" w:sz="12" w:space="0" w:color="086D44"/>
            </w:tcBorders>
            <w:shd w:val="clear" w:color="auto" w:fill="EFEFEF"/>
          </w:tcPr>
          <w:p>
            <w:pPr>
              <w:rPr>
                <w:sz w:val="2"/>
                <w:szCs w:val="2"/>
              </w:rPr>
            </w:pPr>
          </w:p>
        </w:tc>
        <w:tc>
          <w:tcPr>
            <w:tcW w:w="7770" w:type="dxa"/>
            <w:shd w:val="clear" w:color="auto" w:fill="EFEFEF"/>
          </w:tcPr>
          <w:p>
            <w:pPr>
              <w:pStyle w:val="TableParagraph"/>
              <w:spacing w:line="162" w:lineRule="exact" w:before="68"/>
              <w:ind w:left="43"/>
              <w:jc w:val="left"/>
              <w:rPr>
                <w:sz w:val="16"/>
              </w:rPr>
            </w:pPr>
            <w:r>
              <w:rPr>
                <w:sz w:val="16"/>
              </w:rPr>
              <w:t>Altre</w:t>
            </w:r>
          </w:p>
        </w:tc>
      </w:tr>
      <w:tr>
        <w:trPr>
          <w:trHeight w:val="181" w:hRule="atLeast"/>
        </w:trPr>
        <w:tc>
          <w:tcPr>
            <w:tcW w:w="470" w:type="dxa"/>
            <w:vMerge/>
            <w:tcBorders>
              <w:top w:val="nil"/>
              <w:left w:val="single" w:sz="12" w:space="0" w:color="086D44"/>
            </w:tcBorders>
            <w:shd w:val="clear" w:color="auto" w:fill="EFEFEF"/>
          </w:tcPr>
          <w:p>
            <w:pPr>
              <w:rPr>
                <w:sz w:val="2"/>
                <w:szCs w:val="2"/>
              </w:rPr>
            </w:pPr>
          </w:p>
        </w:tc>
        <w:tc>
          <w:tcPr>
            <w:tcW w:w="7770" w:type="dxa"/>
            <w:shd w:val="clear" w:color="auto" w:fill="EFEFEF"/>
          </w:tcPr>
          <w:p>
            <w:pPr>
              <w:pStyle w:val="TableParagraph"/>
              <w:spacing w:line="160" w:lineRule="exact"/>
              <w:ind w:left="43"/>
              <w:jc w:val="left"/>
              <w:rPr>
                <w:sz w:val="16"/>
              </w:rPr>
            </w:pPr>
            <w:r>
              <w:rPr>
                <w:sz w:val="16"/>
              </w:rPr>
              <w:t>imposte</w:t>
            </w:r>
          </w:p>
        </w:tc>
      </w:tr>
      <w:tr>
        <w:trPr>
          <w:trHeight w:val="248" w:hRule="atLeast"/>
        </w:trPr>
        <w:tc>
          <w:tcPr>
            <w:tcW w:w="470" w:type="dxa"/>
            <w:vMerge/>
            <w:tcBorders>
              <w:top w:val="nil"/>
              <w:left w:val="single" w:sz="12" w:space="0" w:color="086D44"/>
            </w:tcBorders>
            <w:shd w:val="clear" w:color="auto" w:fill="EFEFEF"/>
          </w:tcPr>
          <w:p>
            <w:pPr>
              <w:rPr>
                <w:sz w:val="2"/>
                <w:szCs w:val="2"/>
              </w:rPr>
            </w:pPr>
          </w:p>
        </w:tc>
        <w:tc>
          <w:tcPr>
            <w:tcW w:w="7770" w:type="dxa"/>
            <w:shd w:val="clear" w:color="auto" w:fill="EFEFEF"/>
          </w:tcPr>
          <w:p>
            <w:pPr>
              <w:pStyle w:val="TableParagraph"/>
              <w:tabs>
                <w:tab w:pos="1073" w:val="left" w:leader="none"/>
                <w:tab w:pos="1817" w:val="left" w:leader="none"/>
                <w:tab w:pos="2499" w:val="left" w:leader="none"/>
                <w:tab w:pos="3202" w:val="left" w:leader="none"/>
                <w:tab w:pos="3910" w:val="left" w:leader="none"/>
                <w:tab w:pos="4616" w:val="left" w:leader="none"/>
                <w:tab w:pos="5238" w:val="left" w:leader="none"/>
                <w:tab w:pos="5900" w:val="left" w:leader="none"/>
                <w:tab w:pos="6603" w:val="left" w:leader="none"/>
                <w:tab w:pos="7264" w:val="left" w:leader="none"/>
              </w:tabs>
              <w:spacing w:line="181" w:lineRule="exact"/>
              <w:ind w:left="43"/>
              <w:jc w:val="left"/>
              <w:rPr>
                <w:sz w:val="16"/>
              </w:rPr>
            </w:pPr>
            <w:r>
              <w:rPr>
                <w:sz w:val="16"/>
              </w:rPr>
              <w:t>minori</w:t>
              <w:tab/>
              <w:t>0,94</w:t>
              <w:tab/>
              <w:t>0,75</w:t>
              <w:tab/>
              <w:t>0,63</w:t>
              <w:tab/>
              <w:t>0,99</w:t>
              <w:tab/>
              <w:t>0,60</w:t>
              <w:tab/>
              <w:t>0,60</w:t>
              <w:tab/>
              <w:t>-0,19</w:t>
              <w:tab/>
              <w:t>-0,23</w:t>
              <w:tab/>
              <w:t>0,15</w:t>
              <w:tab/>
              <w:t>0,15</w:t>
            </w:r>
          </w:p>
        </w:tc>
      </w:tr>
      <w:tr>
        <w:trPr>
          <w:trHeight w:val="249" w:hRule="atLeast"/>
        </w:trPr>
        <w:tc>
          <w:tcPr>
            <w:tcW w:w="470" w:type="dxa"/>
            <w:vMerge/>
            <w:tcBorders>
              <w:top w:val="nil"/>
              <w:left w:val="single" w:sz="12" w:space="0" w:color="086D44"/>
            </w:tcBorders>
            <w:shd w:val="clear" w:color="auto" w:fill="EFEFEF"/>
          </w:tcPr>
          <w:p>
            <w:pPr>
              <w:rPr>
                <w:sz w:val="2"/>
                <w:szCs w:val="2"/>
              </w:rPr>
            </w:pPr>
          </w:p>
        </w:tc>
        <w:tc>
          <w:tcPr>
            <w:tcW w:w="7770" w:type="dxa"/>
            <w:shd w:val="clear" w:color="auto" w:fill="EFEFEF"/>
          </w:tcPr>
          <w:p>
            <w:pPr>
              <w:pStyle w:val="TableParagraph"/>
              <w:spacing w:line="162" w:lineRule="exact" w:before="68"/>
              <w:ind w:left="43"/>
              <w:jc w:val="left"/>
              <w:rPr>
                <w:sz w:val="16"/>
              </w:rPr>
            </w:pPr>
            <w:r>
              <w:rPr>
                <w:sz w:val="16"/>
              </w:rPr>
              <w:t>Totale</w:t>
            </w:r>
          </w:p>
        </w:tc>
      </w:tr>
      <w:tr>
        <w:trPr>
          <w:trHeight w:val="182" w:hRule="atLeast"/>
        </w:trPr>
        <w:tc>
          <w:tcPr>
            <w:tcW w:w="470" w:type="dxa"/>
            <w:vMerge/>
            <w:tcBorders>
              <w:top w:val="nil"/>
              <w:left w:val="single" w:sz="12" w:space="0" w:color="086D44"/>
            </w:tcBorders>
            <w:shd w:val="clear" w:color="auto" w:fill="EFEFEF"/>
          </w:tcPr>
          <w:p>
            <w:pPr>
              <w:rPr>
                <w:sz w:val="2"/>
                <w:szCs w:val="2"/>
              </w:rPr>
            </w:pPr>
          </w:p>
        </w:tc>
        <w:tc>
          <w:tcPr>
            <w:tcW w:w="7770" w:type="dxa"/>
            <w:shd w:val="clear" w:color="auto" w:fill="EFEFEF"/>
          </w:tcPr>
          <w:p>
            <w:pPr>
              <w:pStyle w:val="TableParagraph"/>
              <w:spacing w:line="162" w:lineRule="exact"/>
              <w:ind w:left="43"/>
              <w:jc w:val="left"/>
              <w:rPr>
                <w:sz w:val="16"/>
              </w:rPr>
            </w:pPr>
            <w:r>
              <w:rPr>
                <w:sz w:val="16"/>
              </w:rPr>
              <w:t>ruoli</w:t>
            </w:r>
          </w:p>
        </w:tc>
      </w:tr>
      <w:tr>
        <w:trPr>
          <w:trHeight w:val="249" w:hRule="atLeast"/>
        </w:trPr>
        <w:tc>
          <w:tcPr>
            <w:tcW w:w="470" w:type="dxa"/>
            <w:vMerge/>
            <w:tcBorders>
              <w:top w:val="nil"/>
              <w:left w:val="single" w:sz="12" w:space="0" w:color="086D44"/>
            </w:tcBorders>
            <w:shd w:val="clear" w:color="auto" w:fill="EFEFEF"/>
          </w:tcPr>
          <w:p>
            <w:pPr>
              <w:rPr>
                <w:sz w:val="2"/>
                <w:szCs w:val="2"/>
              </w:rPr>
            </w:pPr>
          </w:p>
        </w:tc>
        <w:tc>
          <w:tcPr>
            <w:tcW w:w="7770" w:type="dxa"/>
            <w:shd w:val="clear" w:color="auto" w:fill="EFEFEF"/>
          </w:tcPr>
          <w:p>
            <w:pPr>
              <w:pStyle w:val="TableParagraph"/>
              <w:tabs>
                <w:tab w:pos="979" w:val="left" w:leader="none"/>
                <w:tab w:pos="1723" w:val="left" w:leader="none"/>
                <w:tab w:pos="2405" w:val="left" w:leader="none"/>
                <w:tab w:pos="3108" w:val="left" w:leader="none"/>
                <w:tab w:pos="3910" w:val="left" w:leader="none"/>
                <w:tab w:pos="4616" w:val="left" w:leader="none"/>
                <w:tab w:pos="5278" w:val="left" w:leader="none"/>
                <w:tab w:pos="5941" w:val="left" w:leader="none"/>
                <w:tab w:pos="6603" w:val="left" w:leader="none"/>
                <w:tab w:pos="7264" w:val="left" w:leader="none"/>
              </w:tabs>
              <w:ind w:left="43"/>
              <w:jc w:val="left"/>
              <w:rPr>
                <w:sz w:val="16"/>
              </w:rPr>
            </w:pPr>
            <w:r>
              <w:rPr>
                <w:sz w:val="16"/>
              </w:rPr>
              <w:t>tributarie</w:t>
              <w:tab/>
              <w:t>12,42</w:t>
              <w:tab/>
              <w:t>12,57</w:t>
              <w:tab/>
              <w:t>10,19</w:t>
              <w:tab/>
              <w:t>10,43</w:t>
              <w:tab/>
              <w:t>9,49</w:t>
              <w:tab/>
              <w:t>9,65</w:t>
              <w:tab/>
              <w:t>0,16</w:t>
              <w:tab/>
              <w:t>2,14</w:t>
              <w:tab/>
              <w:t>3,08</w:t>
              <w:tab/>
              <w:t>2,93</w:t>
            </w:r>
          </w:p>
        </w:tc>
      </w:tr>
      <w:tr>
        <w:trPr>
          <w:trHeight w:val="248" w:hRule="atLeast"/>
        </w:trPr>
        <w:tc>
          <w:tcPr>
            <w:tcW w:w="470" w:type="dxa"/>
            <w:vMerge/>
            <w:tcBorders>
              <w:top w:val="nil"/>
              <w:left w:val="single" w:sz="12" w:space="0" w:color="086D44"/>
            </w:tcBorders>
            <w:shd w:val="clear" w:color="auto" w:fill="EFEFEF"/>
          </w:tcPr>
          <w:p>
            <w:pPr>
              <w:rPr>
                <w:sz w:val="2"/>
                <w:szCs w:val="2"/>
              </w:rPr>
            </w:pPr>
          </w:p>
        </w:tc>
        <w:tc>
          <w:tcPr>
            <w:tcW w:w="7770" w:type="dxa"/>
            <w:shd w:val="clear" w:color="auto" w:fill="EFEFEF"/>
          </w:tcPr>
          <w:p>
            <w:pPr>
              <w:pStyle w:val="TableParagraph"/>
              <w:spacing w:line="160" w:lineRule="exact" w:before="68"/>
              <w:ind w:left="43"/>
              <w:jc w:val="left"/>
              <w:rPr>
                <w:sz w:val="16"/>
              </w:rPr>
            </w:pPr>
            <w:r>
              <w:rPr>
                <w:sz w:val="16"/>
              </w:rPr>
              <w:t>Totali</w:t>
            </w:r>
          </w:p>
        </w:tc>
      </w:tr>
      <w:tr>
        <w:trPr>
          <w:trHeight w:val="181" w:hRule="atLeast"/>
        </w:trPr>
        <w:tc>
          <w:tcPr>
            <w:tcW w:w="470" w:type="dxa"/>
            <w:vMerge/>
            <w:tcBorders>
              <w:top w:val="nil"/>
              <w:left w:val="single" w:sz="12" w:space="0" w:color="086D44"/>
            </w:tcBorders>
            <w:shd w:val="clear" w:color="auto" w:fill="EFEFEF"/>
          </w:tcPr>
          <w:p>
            <w:pPr>
              <w:rPr>
                <w:sz w:val="2"/>
                <w:szCs w:val="2"/>
              </w:rPr>
            </w:pPr>
          </w:p>
        </w:tc>
        <w:tc>
          <w:tcPr>
            <w:tcW w:w="7770" w:type="dxa"/>
            <w:shd w:val="clear" w:color="auto" w:fill="EFEFEF"/>
          </w:tcPr>
          <w:p>
            <w:pPr>
              <w:pStyle w:val="TableParagraph"/>
              <w:spacing w:line="161" w:lineRule="exact"/>
              <w:ind w:left="43"/>
              <w:jc w:val="left"/>
              <w:rPr>
                <w:sz w:val="16"/>
              </w:rPr>
            </w:pPr>
            <w:r>
              <w:rPr>
                <w:sz w:val="16"/>
              </w:rPr>
              <w:t>ruoli extra</w:t>
            </w:r>
          </w:p>
        </w:tc>
      </w:tr>
      <w:tr>
        <w:trPr>
          <w:trHeight w:val="232" w:hRule="atLeast"/>
        </w:trPr>
        <w:tc>
          <w:tcPr>
            <w:tcW w:w="470" w:type="dxa"/>
            <w:vMerge/>
            <w:tcBorders>
              <w:top w:val="nil"/>
              <w:left w:val="single" w:sz="12" w:space="0" w:color="086D44"/>
            </w:tcBorders>
            <w:shd w:val="clear" w:color="auto" w:fill="EFEFEF"/>
          </w:tcPr>
          <w:p>
            <w:pPr>
              <w:rPr>
                <w:sz w:val="2"/>
                <w:szCs w:val="2"/>
              </w:rPr>
            </w:pPr>
          </w:p>
        </w:tc>
        <w:tc>
          <w:tcPr>
            <w:tcW w:w="7770" w:type="dxa"/>
            <w:shd w:val="clear" w:color="auto" w:fill="EFEFEF"/>
          </w:tcPr>
          <w:p>
            <w:pPr>
              <w:pStyle w:val="TableParagraph"/>
              <w:tabs>
                <w:tab w:pos="1073" w:val="left" w:leader="none"/>
                <w:tab w:pos="1817" w:val="left" w:leader="none"/>
                <w:tab w:pos="2499" w:val="left" w:leader="none"/>
                <w:tab w:pos="3202" w:val="left" w:leader="none"/>
                <w:tab w:pos="3910" w:val="left" w:leader="none"/>
                <w:tab w:pos="4616" w:val="left" w:leader="none"/>
                <w:tab w:pos="5278" w:val="left" w:leader="none"/>
                <w:tab w:pos="5941" w:val="left" w:leader="none"/>
                <w:tab w:pos="6562" w:val="left" w:leader="none"/>
                <w:tab w:pos="7264" w:val="left" w:leader="none"/>
              </w:tabs>
              <w:ind w:left="43"/>
              <w:jc w:val="left"/>
              <w:rPr>
                <w:sz w:val="16"/>
              </w:rPr>
            </w:pPr>
            <w:r>
              <w:rPr>
                <w:sz w:val="16"/>
              </w:rPr>
              <w:t>tributarie</w:t>
              <w:tab/>
              <w:t>2,51</w:t>
              <w:tab/>
              <w:t>2,76</w:t>
              <w:tab/>
              <w:t>3,40</w:t>
              <w:tab/>
              <w:t>2,76</w:t>
              <w:tab/>
              <w:t>3,17</w:t>
              <w:tab/>
              <w:t>2,65</w:t>
              <w:tab/>
              <w:t>0,26</w:t>
              <w:tab/>
              <w:t>0,00</w:t>
              <w:tab/>
              <w:t>-0,41</w:t>
              <w:tab/>
              <w:t>0,11</w:t>
            </w:r>
          </w:p>
        </w:tc>
      </w:tr>
      <w:tr>
        <w:trPr>
          <w:trHeight w:val="247" w:hRule="atLeast"/>
        </w:trPr>
        <w:tc>
          <w:tcPr>
            <w:tcW w:w="470" w:type="dxa"/>
            <w:vMerge/>
            <w:tcBorders>
              <w:top w:val="nil"/>
              <w:left w:val="single" w:sz="12" w:space="0" w:color="086D44"/>
            </w:tcBorders>
            <w:shd w:val="clear" w:color="auto" w:fill="EFEFEF"/>
          </w:tcPr>
          <w:p>
            <w:pPr>
              <w:rPr>
                <w:sz w:val="2"/>
                <w:szCs w:val="2"/>
              </w:rPr>
            </w:pPr>
          </w:p>
        </w:tc>
        <w:tc>
          <w:tcPr>
            <w:tcW w:w="7770" w:type="dxa"/>
            <w:tcBorders>
              <w:bottom w:val="single" w:sz="12" w:space="0" w:color="086D44"/>
            </w:tcBorders>
            <w:shd w:val="clear" w:color="auto" w:fill="EFEFEF"/>
          </w:tcPr>
          <w:p>
            <w:pPr>
              <w:pStyle w:val="TableParagraph"/>
              <w:tabs>
                <w:tab w:pos="979" w:val="left" w:leader="none"/>
                <w:tab w:pos="1723" w:val="left" w:leader="none"/>
                <w:tab w:pos="2405" w:val="left" w:leader="none"/>
                <w:tab w:pos="3108" w:val="left" w:leader="none"/>
                <w:tab w:pos="3816" w:val="left" w:leader="none"/>
                <w:tab w:pos="4522" w:val="left" w:leader="none"/>
                <w:tab w:pos="5278" w:val="left" w:leader="none"/>
                <w:tab w:pos="5941" w:val="left" w:leader="none"/>
                <w:tab w:pos="6603" w:val="left" w:leader="none"/>
                <w:tab w:pos="7264" w:val="left" w:leader="none"/>
              </w:tabs>
              <w:spacing w:line="176" w:lineRule="exact" w:before="51"/>
              <w:ind w:left="43"/>
              <w:jc w:val="left"/>
              <w:rPr>
                <w:sz w:val="16"/>
              </w:rPr>
            </w:pPr>
            <w:r>
              <w:rPr>
                <w:sz w:val="16"/>
              </w:rPr>
              <w:t>Totale</w:t>
              <w:tab/>
              <w:t>14,93</w:t>
              <w:tab/>
              <w:t>15,34</w:t>
              <w:tab/>
              <w:t>13,59</w:t>
              <w:tab/>
              <w:t>13,20</w:t>
              <w:tab/>
              <w:t>12,66</w:t>
              <w:tab/>
              <w:t>12,30</w:t>
              <w:tab/>
              <w:t>0,41</w:t>
              <w:tab/>
              <w:t>2,14</w:t>
              <w:tab/>
              <w:t>2,68</w:t>
              <w:tab/>
              <w:t>3,04</w:t>
            </w:r>
          </w:p>
        </w:tc>
      </w:tr>
      <w:tr>
        <w:trPr>
          <w:trHeight w:val="601" w:hRule="atLeast"/>
        </w:trPr>
        <w:tc>
          <w:tcPr>
            <w:tcW w:w="470" w:type="dxa"/>
            <w:vMerge/>
            <w:tcBorders>
              <w:top w:val="nil"/>
              <w:left w:val="single" w:sz="12" w:space="0" w:color="086D44"/>
            </w:tcBorders>
            <w:shd w:val="clear" w:color="auto" w:fill="EFEFEF"/>
          </w:tcPr>
          <w:p>
            <w:pPr>
              <w:rPr>
                <w:sz w:val="2"/>
                <w:szCs w:val="2"/>
              </w:rPr>
            </w:pPr>
          </w:p>
        </w:tc>
        <w:tc>
          <w:tcPr>
            <w:tcW w:w="7770" w:type="dxa"/>
            <w:tcBorders>
              <w:top w:val="single" w:sz="12" w:space="0" w:color="086D44"/>
            </w:tcBorders>
            <w:shd w:val="clear" w:color="auto" w:fill="EFEFEF"/>
          </w:tcPr>
          <w:p>
            <w:pPr>
              <w:pStyle w:val="TableParagraph"/>
              <w:spacing w:before="5"/>
              <w:jc w:val="left"/>
              <w:rPr>
                <w:sz w:val="32"/>
              </w:rPr>
            </w:pPr>
          </w:p>
          <w:p>
            <w:pPr>
              <w:pStyle w:val="TableParagraph"/>
              <w:spacing w:line="214" w:lineRule="exact"/>
              <w:ind w:left="14" w:right="-15"/>
              <w:jc w:val="left"/>
              <w:rPr>
                <w:sz w:val="20"/>
              </w:rPr>
            </w:pPr>
            <w:r>
              <w:rPr>
                <w:sz w:val="20"/>
              </w:rPr>
              <w:t>L’ammontare</w:t>
            </w:r>
            <w:r>
              <w:rPr>
                <w:spacing w:val="36"/>
                <w:sz w:val="20"/>
              </w:rPr>
              <w:t> </w:t>
            </w:r>
            <w:r>
              <w:rPr>
                <w:sz w:val="20"/>
              </w:rPr>
              <w:t>di</w:t>
            </w:r>
            <w:r>
              <w:rPr>
                <w:spacing w:val="35"/>
                <w:sz w:val="20"/>
              </w:rPr>
              <w:t> </w:t>
            </w:r>
            <w:r>
              <w:rPr>
                <w:sz w:val="20"/>
              </w:rPr>
              <w:t>risorse</w:t>
            </w:r>
            <w:r>
              <w:rPr>
                <w:spacing w:val="36"/>
                <w:sz w:val="20"/>
              </w:rPr>
              <w:t> </w:t>
            </w:r>
            <w:r>
              <w:rPr>
                <w:sz w:val="20"/>
              </w:rPr>
              <w:t>da</w:t>
            </w:r>
            <w:r>
              <w:rPr>
                <w:spacing w:val="33"/>
                <w:sz w:val="20"/>
              </w:rPr>
              <w:t> </w:t>
            </w:r>
            <w:r>
              <w:rPr>
                <w:sz w:val="20"/>
              </w:rPr>
              <w:t>destinare</w:t>
            </w:r>
            <w:r>
              <w:rPr>
                <w:spacing w:val="36"/>
                <w:sz w:val="20"/>
              </w:rPr>
              <w:t> </w:t>
            </w:r>
            <w:r>
              <w:rPr>
                <w:sz w:val="20"/>
              </w:rPr>
              <w:t>al</w:t>
            </w:r>
            <w:r>
              <w:rPr>
                <w:spacing w:val="35"/>
                <w:sz w:val="20"/>
              </w:rPr>
              <w:t> </w:t>
            </w:r>
            <w:r>
              <w:rPr>
                <w:sz w:val="20"/>
              </w:rPr>
              <w:t>Fondo</w:t>
            </w:r>
            <w:r>
              <w:rPr>
                <w:spacing w:val="36"/>
                <w:sz w:val="20"/>
              </w:rPr>
              <w:t> </w:t>
            </w:r>
            <w:r>
              <w:rPr>
                <w:sz w:val="20"/>
              </w:rPr>
              <w:t>per</w:t>
            </w:r>
            <w:r>
              <w:rPr>
                <w:spacing w:val="34"/>
                <w:sz w:val="20"/>
              </w:rPr>
              <w:t> </w:t>
            </w:r>
            <w:r>
              <w:rPr>
                <w:sz w:val="20"/>
              </w:rPr>
              <w:t>la</w:t>
            </w:r>
            <w:r>
              <w:rPr>
                <w:spacing w:val="36"/>
                <w:sz w:val="20"/>
              </w:rPr>
              <w:t> </w:t>
            </w:r>
            <w:r>
              <w:rPr>
                <w:sz w:val="20"/>
              </w:rPr>
              <w:t>riduzione</w:t>
            </w:r>
            <w:r>
              <w:rPr>
                <w:spacing w:val="35"/>
                <w:sz w:val="20"/>
              </w:rPr>
              <w:t> </w:t>
            </w:r>
            <w:r>
              <w:rPr>
                <w:sz w:val="20"/>
              </w:rPr>
              <w:t>della</w:t>
            </w:r>
            <w:r>
              <w:rPr>
                <w:spacing w:val="36"/>
                <w:sz w:val="20"/>
              </w:rPr>
              <w:t> </w:t>
            </w:r>
            <w:r>
              <w:rPr>
                <w:sz w:val="20"/>
              </w:rPr>
              <w:t>pressione</w:t>
            </w:r>
            <w:r>
              <w:rPr>
                <w:spacing w:val="35"/>
                <w:sz w:val="20"/>
              </w:rPr>
              <w:t> </w:t>
            </w:r>
            <w:r>
              <w:rPr>
                <w:sz w:val="20"/>
              </w:rPr>
              <w:t>fiscale</w:t>
            </w:r>
            <w:r>
              <w:rPr>
                <w:spacing w:val="36"/>
                <w:sz w:val="20"/>
              </w:rPr>
              <w:t> </w:t>
            </w:r>
            <w:r>
              <w:rPr>
                <w:sz w:val="20"/>
              </w:rPr>
              <w:t>è</w:t>
            </w:r>
          </w:p>
        </w:tc>
      </w:tr>
      <w:tr>
        <w:trPr>
          <w:trHeight w:val="240" w:hRule="atLeast"/>
        </w:trPr>
        <w:tc>
          <w:tcPr>
            <w:tcW w:w="470" w:type="dxa"/>
            <w:vMerge/>
            <w:tcBorders>
              <w:top w:val="nil"/>
              <w:left w:val="single" w:sz="12" w:space="0" w:color="086D44"/>
            </w:tcBorders>
            <w:shd w:val="clear" w:color="auto" w:fill="EFEFEF"/>
          </w:tcPr>
          <w:p>
            <w:pPr>
              <w:rPr>
                <w:sz w:val="2"/>
                <w:szCs w:val="2"/>
              </w:rPr>
            </w:pPr>
          </w:p>
        </w:tc>
        <w:tc>
          <w:tcPr>
            <w:tcW w:w="7770" w:type="dxa"/>
            <w:shd w:val="clear" w:color="auto" w:fill="EFEFEF"/>
          </w:tcPr>
          <w:p>
            <w:pPr>
              <w:pStyle w:val="TableParagraph"/>
              <w:spacing w:line="214" w:lineRule="exact" w:before="6"/>
              <w:ind w:left="14"/>
              <w:jc w:val="left"/>
              <w:rPr>
                <w:sz w:val="20"/>
              </w:rPr>
            </w:pPr>
            <w:r>
              <w:rPr>
                <w:sz w:val="20"/>
              </w:rPr>
              <w:t>valutato, per ragioni prudenziali, al minore dei predetti importi (circa 0,41 miliardi). Tuttavia,</w:t>
            </w:r>
          </w:p>
        </w:tc>
      </w:tr>
      <w:tr>
        <w:trPr>
          <w:trHeight w:val="240" w:hRule="atLeast"/>
        </w:trPr>
        <w:tc>
          <w:tcPr>
            <w:tcW w:w="470" w:type="dxa"/>
            <w:vMerge/>
            <w:tcBorders>
              <w:top w:val="nil"/>
              <w:left w:val="single" w:sz="12" w:space="0" w:color="086D44"/>
            </w:tcBorders>
            <w:shd w:val="clear" w:color="auto" w:fill="EFEFEF"/>
          </w:tcPr>
          <w:p>
            <w:pPr>
              <w:rPr>
                <w:sz w:val="2"/>
                <w:szCs w:val="2"/>
              </w:rPr>
            </w:pPr>
          </w:p>
        </w:tc>
        <w:tc>
          <w:tcPr>
            <w:tcW w:w="7770" w:type="dxa"/>
            <w:shd w:val="clear" w:color="auto" w:fill="EFEFEF"/>
          </w:tcPr>
          <w:p>
            <w:pPr>
              <w:pStyle w:val="TableParagraph"/>
              <w:spacing w:line="214" w:lineRule="exact" w:before="6"/>
              <w:ind w:left="14" w:right="-15"/>
              <w:jc w:val="left"/>
              <w:rPr>
                <w:sz w:val="20"/>
              </w:rPr>
            </w:pPr>
            <w:r>
              <w:rPr>
                <w:sz w:val="20"/>
              </w:rPr>
              <w:t>soltanto</w:t>
            </w:r>
            <w:r>
              <w:rPr>
                <w:spacing w:val="-6"/>
                <w:sz w:val="20"/>
              </w:rPr>
              <w:t> </w:t>
            </w:r>
            <w:r>
              <w:rPr>
                <w:sz w:val="20"/>
              </w:rPr>
              <w:t>una</w:t>
            </w:r>
            <w:r>
              <w:rPr>
                <w:spacing w:val="-5"/>
                <w:sz w:val="20"/>
              </w:rPr>
              <w:t> </w:t>
            </w:r>
            <w:r>
              <w:rPr>
                <w:sz w:val="20"/>
              </w:rPr>
              <w:t>parte</w:t>
            </w:r>
            <w:r>
              <w:rPr>
                <w:spacing w:val="-6"/>
                <w:sz w:val="20"/>
              </w:rPr>
              <w:t> </w:t>
            </w:r>
            <w:r>
              <w:rPr>
                <w:sz w:val="20"/>
              </w:rPr>
              <w:t>di</w:t>
            </w:r>
            <w:r>
              <w:rPr>
                <w:spacing w:val="-5"/>
                <w:sz w:val="20"/>
              </w:rPr>
              <w:t> </w:t>
            </w:r>
            <w:r>
              <w:rPr>
                <w:sz w:val="20"/>
              </w:rPr>
              <w:t>queste</w:t>
            </w:r>
            <w:r>
              <w:rPr>
                <w:spacing w:val="-3"/>
                <w:sz w:val="20"/>
              </w:rPr>
              <w:t> </w:t>
            </w:r>
            <w:r>
              <w:rPr>
                <w:sz w:val="20"/>
              </w:rPr>
              <w:t>risorse</w:t>
            </w:r>
            <w:r>
              <w:rPr>
                <w:spacing w:val="-6"/>
                <w:sz w:val="20"/>
              </w:rPr>
              <w:t> </w:t>
            </w:r>
            <w:r>
              <w:rPr>
                <w:sz w:val="20"/>
              </w:rPr>
              <w:t>può</w:t>
            </w:r>
            <w:r>
              <w:rPr>
                <w:spacing w:val="-6"/>
                <w:sz w:val="20"/>
              </w:rPr>
              <w:t> </w:t>
            </w:r>
            <w:r>
              <w:rPr>
                <w:sz w:val="20"/>
              </w:rPr>
              <w:t>essere</w:t>
            </w:r>
            <w:r>
              <w:rPr>
                <w:spacing w:val="-5"/>
                <w:sz w:val="20"/>
              </w:rPr>
              <w:t> </w:t>
            </w:r>
            <w:r>
              <w:rPr>
                <w:sz w:val="20"/>
              </w:rPr>
              <w:t>considerata</w:t>
            </w:r>
            <w:r>
              <w:rPr>
                <w:spacing w:val="-5"/>
                <w:sz w:val="20"/>
              </w:rPr>
              <w:t> </w:t>
            </w:r>
            <w:r>
              <w:rPr>
                <w:sz w:val="20"/>
              </w:rPr>
              <w:t>permanente.</w:t>
            </w:r>
            <w:r>
              <w:rPr>
                <w:spacing w:val="-3"/>
                <w:sz w:val="20"/>
              </w:rPr>
              <w:t> </w:t>
            </w:r>
            <w:r>
              <w:rPr>
                <w:sz w:val="20"/>
              </w:rPr>
              <w:t>Pertanto</w:t>
            </w:r>
            <w:r>
              <w:rPr>
                <w:spacing w:val="-1"/>
                <w:sz w:val="20"/>
              </w:rPr>
              <w:t> </w:t>
            </w:r>
            <w:r>
              <w:rPr>
                <w:sz w:val="20"/>
              </w:rPr>
              <w:t>in</w:t>
            </w:r>
            <w:r>
              <w:rPr>
                <w:spacing w:val="-6"/>
                <w:sz w:val="20"/>
              </w:rPr>
              <w:t> </w:t>
            </w:r>
            <w:r>
              <w:rPr>
                <w:sz w:val="20"/>
              </w:rPr>
              <w:t>sede</w:t>
            </w:r>
            <w:r>
              <w:rPr>
                <w:spacing w:val="-5"/>
                <w:sz w:val="20"/>
              </w:rPr>
              <w:t> </w:t>
            </w:r>
            <w:r>
              <w:rPr>
                <w:sz w:val="20"/>
              </w:rPr>
              <w:t>di</w:t>
            </w:r>
          </w:p>
        </w:tc>
      </w:tr>
      <w:tr>
        <w:trPr>
          <w:trHeight w:val="240" w:hRule="atLeast"/>
        </w:trPr>
        <w:tc>
          <w:tcPr>
            <w:tcW w:w="470" w:type="dxa"/>
            <w:vMerge/>
            <w:tcBorders>
              <w:top w:val="nil"/>
              <w:left w:val="single" w:sz="12" w:space="0" w:color="086D44"/>
            </w:tcBorders>
            <w:shd w:val="clear" w:color="auto" w:fill="EFEFEF"/>
          </w:tcPr>
          <w:p>
            <w:pPr>
              <w:rPr>
                <w:sz w:val="2"/>
                <w:szCs w:val="2"/>
              </w:rPr>
            </w:pPr>
          </w:p>
        </w:tc>
        <w:tc>
          <w:tcPr>
            <w:tcW w:w="7770" w:type="dxa"/>
            <w:shd w:val="clear" w:color="auto" w:fill="EFEFEF"/>
          </w:tcPr>
          <w:p>
            <w:pPr>
              <w:pStyle w:val="TableParagraph"/>
              <w:spacing w:line="214" w:lineRule="exact" w:before="6"/>
              <w:ind w:left="14" w:right="-15"/>
              <w:jc w:val="left"/>
              <w:rPr>
                <w:sz w:val="20"/>
              </w:rPr>
            </w:pPr>
            <w:r>
              <w:rPr>
                <w:sz w:val="20"/>
              </w:rPr>
              <w:t>predisposizione</w:t>
            </w:r>
            <w:r>
              <w:rPr>
                <w:spacing w:val="20"/>
                <w:sz w:val="20"/>
              </w:rPr>
              <w:t> </w:t>
            </w:r>
            <w:r>
              <w:rPr>
                <w:sz w:val="20"/>
              </w:rPr>
              <w:t>del</w:t>
            </w:r>
            <w:r>
              <w:rPr>
                <w:spacing w:val="20"/>
                <w:sz w:val="20"/>
              </w:rPr>
              <w:t> </w:t>
            </w:r>
            <w:r>
              <w:rPr>
                <w:sz w:val="20"/>
              </w:rPr>
              <w:t>disegno</w:t>
            </w:r>
            <w:r>
              <w:rPr>
                <w:spacing w:val="22"/>
                <w:sz w:val="20"/>
              </w:rPr>
              <w:t> </w:t>
            </w:r>
            <w:r>
              <w:rPr>
                <w:sz w:val="20"/>
              </w:rPr>
              <w:t>di</w:t>
            </w:r>
            <w:r>
              <w:rPr>
                <w:spacing w:val="20"/>
                <w:sz w:val="20"/>
              </w:rPr>
              <w:t> </w:t>
            </w:r>
            <w:r>
              <w:rPr>
                <w:sz w:val="20"/>
              </w:rPr>
              <w:t>Legge</w:t>
            </w:r>
            <w:r>
              <w:rPr>
                <w:spacing w:val="20"/>
                <w:sz w:val="20"/>
              </w:rPr>
              <w:t> </w:t>
            </w:r>
            <w:r>
              <w:rPr>
                <w:sz w:val="20"/>
              </w:rPr>
              <w:t>di</w:t>
            </w:r>
            <w:r>
              <w:rPr>
                <w:spacing w:val="20"/>
                <w:sz w:val="20"/>
              </w:rPr>
              <w:t> </w:t>
            </w:r>
            <w:r>
              <w:rPr>
                <w:sz w:val="20"/>
              </w:rPr>
              <w:t>Bilancio</w:t>
            </w:r>
            <w:r>
              <w:rPr>
                <w:spacing w:val="21"/>
                <w:sz w:val="20"/>
              </w:rPr>
              <w:t> </w:t>
            </w:r>
            <w:r>
              <w:rPr>
                <w:sz w:val="20"/>
              </w:rPr>
              <w:t>2020,</w:t>
            </w:r>
            <w:r>
              <w:rPr>
                <w:spacing w:val="24"/>
                <w:sz w:val="20"/>
              </w:rPr>
              <w:t> </w:t>
            </w:r>
            <w:r>
              <w:rPr>
                <w:sz w:val="20"/>
              </w:rPr>
              <w:t>saranno</w:t>
            </w:r>
            <w:r>
              <w:rPr>
                <w:spacing w:val="21"/>
                <w:sz w:val="20"/>
              </w:rPr>
              <w:t> </w:t>
            </w:r>
            <w:r>
              <w:rPr>
                <w:sz w:val="20"/>
              </w:rPr>
              <w:t>iscritti</w:t>
            </w:r>
            <w:r>
              <w:rPr>
                <w:spacing w:val="20"/>
                <w:sz w:val="20"/>
              </w:rPr>
              <w:t> </w:t>
            </w:r>
            <w:r>
              <w:rPr>
                <w:sz w:val="20"/>
              </w:rPr>
              <w:t>0,37</w:t>
            </w:r>
            <w:r>
              <w:rPr>
                <w:spacing w:val="21"/>
                <w:sz w:val="20"/>
              </w:rPr>
              <w:t> </w:t>
            </w:r>
            <w:r>
              <w:rPr>
                <w:sz w:val="20"/>
              </w:rPr>
              <w:t>miliardi</w:t>
            </w:r>
            <w:r>
              <w:rPr>
                <w:spacing w:val="23"/>
                <w:sz w:val="20"/>
              </w:rPr>
              <w:t> </w:t>
            </w:r>
            <w:r>
              <w:rPr>
                <w:sz w:val="20"/>
              </w:rPr>
              <w:t>nello</w:t>
            </w:r>
          </w:p>
        </w:tc>
      </w:tr>
      <w:tr>
        <w:trPr>
          <w:trHeight w:val="240" w:hRule="atLeast"/>
        </w:trPr>
        <w:tc>
          <w:tcPr>
            <w:tcW w:w="470" w:type="dxa"/>
            <w:vMerge/>
            <w:tcBorders>
              <w:top w:val="nil"/>
              <w:left w:val="single" w:sz="12" w:space="0" w:color="086D44"/>
            </w:tcBorders>
            <w:shd w:val="clear" w:color="auto" w:fill="EFEFEF"/>
          </w:tcPr>
          <w:p>
            <w:pPr>
              <w:rPr>
                <w:sz w:val="2"/>
                <w:szCs w:val="2"/>
              </w:rPr>
            </w:pPr>
          </w:p>
        </w:tc>
        <w:tc>
          <w:tcPr>
            <w:tcW w:w="7770" w:type="dxa"/>
            <w:shd w:val="clear" w:color="auto" w:fill="EFEFEF"/>
          </w:tcPr>
          <w:p>
            <w:pPr>
              <w:pStyle w:val="TableParagraph"/>
              <w:spacing w:line="214" w:lineRule="exact" w:before="6"/>
              <w:ind w:left="14" w:right="-15"/>
              <w:jc w:val="left"/>
              <w:rPr>
                <w:sz w:val="20"/>
              </w:rPr>
            </w:pPr>
            <w:r>
              <w:rPr>
                <w:sz w:val="20"/>
              </w:rPr>
              <w:t>Stato</w:t>
            </w:r>
            <w:r>
              <w:rPr>
                <w:spacing w:val="-4"/>
                <w:sz w:val="20"/>
              </w:rPr>
              <w:t> </w:t>
            </w:r>
            <w:r>
              <w:rPr>
                <w:sz w:val="20"/>
              </w:rPr>
              <w:t>di</w:t>
            </w:r>
            <w:r>
              <w:rPr>
                <w:spacing w:val="-4"/>
                <w:sz w:val="20"/>
              </w:rPr>
              <w:t> </w:t>
            </w:r>
            <w:r>
              <w:rPr>
                <w:sz w:val="20"/>
              </w:rPr>
              <w:t>previsione</w:t>
            </w:r>
            <w:r>
              <w:rPr>
                <w:spacing w:val="-3"/>
                <w:sz w:val="20"/>
              </w:rPr>
              <w:t> </w:t>
            </w:r>
            <w:r>
              <w:rPr>
                <w:sz w:val="20"/>
              </w:rPr>
              <w:t>dell’entrata</w:t>
            </w:r>
            <w:r>
              <w:rPr>
                <w:spacing w:val="-3"/>
                <w:sz w:val="20"/>
              </w:rPr>
              <w:t> </w:t>
            </w:r>
            <w:r>
              <w:rPr>
                <w:sz w:val="20"/>
              </w:rPr>
              <w:t>e,</w:t>
            </w:r>
            <w:r>
              <w:rPr>
                <w:spacing w:val="-3"/>
                <w:sz w:val="20"/>
              </w:rPr>
              <w:t> </w:t>
            </w:r>
            <w:r>
              <w:rPr>
                <w:sz w:val="20"/>
              </w:rPr>
              <w:t>contestualmente,</w:t>
            </w:r>
            <w:r>
              <w:rPr>
                <w:spacing w:val="-2"/>
                <w:sz w:val="20"/>
              </w:rPr>
              <w:t> </w:t>
            </w:r>
            <w:r>
              <w:rPr>
                <w:sz w:val="20"/>
              </w:rPr>
              <w:t>nel</w:t>
            </w:r>
            <w:r>
              <w:rPr>
                <w:spacing w:val="-4"/>
                <w:sz w:val="20"/>
              </w:rPr>
              <w:t> </w:t>
            </w:r>
            <w:r>
              <w:rPr>
                <w:sz w:val="20"/>
              </w:rPr>
              <w:t>predetto</w:t>
            </w:r>
            <w:r>
              <w:rPr>
                <w:spacing w:val="-4"/>
                <w:sz w:val="20"/>
              </w:rPr>
              <w:t> </w:t>
            </w:r>
            <w:r>
              <w:rPr>
                <w:sz w:val="20"/>
              </w:rPr>
              <w:t>Fondo per</w:t>
            </w:r>
            <w:r>
              <w:rPr>
                <w:spacing w:val="-4"/>
                <w:sz w:val="20"/>
              </w:rPr>
              <w:t> </w:t>
            </w:r>
            <w:r>
              <w:rPr>
                <w:sz w:val="20"/>
              </w:rPr>
              <w:t>la</w:t>
            </w:r>
            <w:r>
              <w:rPr>
                <w:spacing w:val="-3"/>
                <w:sz w:val="20"/>
              </w:rPr>
              <w:t> </w:t>
            </w:r>
            <w:r>
              <w:rPr>
                <w:sz w:val="20"/>
              </w:rPr>
              <w:t>riduzione</w:t>
            </w:r>
            <w:r>
              <w:rPr>
                <w:spacing w:val="-3"/>
                <w:sz w:val="20"/>
              </w:rPr>
              <w:t> </w:t>
            </w:r>
            <w:r>
              <w:rPr>
                <w:sz w:val="20"/>
              </w:rPr>
              <w:t>della</w:t>
            </w:r>
          </w:p>
        </w:tc>
      </w:tr>
      <w:tr>
        <w:trPr>
          <w:trHeight w:val="237" w:hRule="atLeast"/>
        </w:trPr>
        <w:tc>
          <w:tcPr>
            <w:tcW w:w="470" w:type="dxa"/>
            <w:vMerge/>
            <w:tcBorders>
              <w:top w:val="nil"/>
              <w:left w:val="single" w:sz="12" w:space="0" w:color="086D44"/>
            </w:tcBorders>
            <w:shd w:val="clear" w:color="auto" w:fill="EFEFEF"/>
          </w:tcPr>
          <w:p>
            <w:pPr>
              <w:rPr>
                <w:sz w:val="2"/>
                <w:szCs w:val="2"/>
              </w:rPr>
            </w:pPr>
          </w:p>
        </w:tc>
        <w:tc>
          <w:tcPr>
            <w:tcW w:w="7770" w:type="dxa"/>
            <w:shd w:val="clear" w:color="auto" w:fill="EFEFEF"/>
          </w:tcPr>
          <w:p>
            <w:pPr>
              <w:pStyle w:val="TableParagraph"/>
              <w:spacing w:line="211" w:lineRule="exact" w:before="6"/>
              <w:ind w:left="14"/>
              <w:jc w:val="left"/>
              <w:rPr>
                <w:sz w:val="20"/>
              </w:rPr>
            </w:pPr>
            <w:r>
              <w:rPr>
                <w:sz w:val="20"/>
              </w:rPr>
              <w:t>pressione fiscale.</w:t>
            </w:r>
          </w:p>
        </w:tc>
      </w:tr>
    </w:tbl>
    <w:p>
      <w:pPr>
        <w:pStyle w:val="BodyText"/>
        <w:rPr>
          <w:rFonts w:ascii="Franklin Gothic Book"/>
          <w:sz w:val="20"/>
        </w:rPr>
      </w:pPr>
    </w:p>
    <w:p>
      <w:pPr>
        <w:pStyle w:val="BodyText"/>
        <w:spacing w:before="1"/>
        <w:rPr>
          <w:rFonts w:ascii="Franklin Gothic Book"/>
          <w:sz w:val="17"/>
        </w:rPr>
      </w:pPr>
    </w:p>
    <w:p>
      <w:pPr>
        <w:pStyle w:val="Heading2"/>
        <w:numPr>
          <w:ilvl w:val="1"/>
          <w:numId w:val="2"/>
        </w:numPr>
        <w:tabs>
          <w:tab w:pos="819" w:val="left" w:leader="none"/>
        </w:tabs>
        <w:spacing w:line="218" w:lineRule="auto" w:before="121" w:after="0"/>
        <w:ind w:left="845" w:right="4142" w:hanging="567"/>
        <w:jc w:val="left"/>
      </w:pPr>
      <w:r>
        <w:rPr>
          <w:color w:val="086D44"/>
        </w:rPr>
        <w:t>VALORIZZAZIONE DEL PATRIMONIO PUBBLICO</w:t>
      </w:r>
      <w:r>
        <w:rPr>
          <w:color w:val="086D44"/>
          <w:spacing w:val="-24"/>
        </w:rPr>
        <w:t> </w:t>
      </w:r>
      <w:r>
        <w:rPr>
          <w:color w:val="086D44"/>
        </w:rPr>
        <w:t>E PRIVATIZZAZIONI</w:t>
      </w:r>
    </w:p>
    <w:p>
      <w:pPr>
        <w:pStyle w:val="BodyText"/>
        <w:spacing w:before="3"/>
        <w:rPr>
          <w:rFonts w:ascii="Franklin Gothic Heavy"/>
          <w:b/>
          <w:sz w:val="23"/>
        </w:rPr>
      </w:pPr>
    </w:p>
    <w:p>
      <w:pPr>
        <w:pStyle w:val="BodyText"/>
        <w:spacing w:line="252" w:lineRule="auto"/>
        <w:ind w:left="278" w:right="2261" w:firstLine="453"/>
        <w:jc w:val="both"/>
      </w:pPr>
      <w:r>
        <w:rPr/>
        <w:t>La valorizzazione del patrimonio pubblico è parte integrante della strategia economica e di bilancio del Governo in quanto, oltre ai benefici per la finanza pubblica connessi al recupero della spesa e alla riduzione del debito pubblico, ha implicazioni rilevanti per l’efficienza nella gestione degli stessi </w:t>
      </w:r>
      <w:r>
        <w:rPr>
          <w:i/>
        </w:rPr>
        <w:t>asset </w:t>
      </w:r>
      <w:r>
        <w:rPr/>
        <w:t>pubblici.</w:t>
      </w:r>
    </w:p>
    <w:p>
      <w:pPr>
        <w:pStyle w:val="BodyText"/>
        <w:spacing w:line="252" w:lineRule="auto"/>
        <w:ind w:left="278" w:right="2260" w:firstLine="453"/>
        <w:jc w:val="both"/>
      </w:pPr>
      <w:r>
        <w:rPr/>
        <w:t>Per il patrimonio immobiliare, la valorizzazione si sviluppa secondo due principali</w:t>
      </w:r>
      <w:r>
        <w:rPr>
          <w:spacing w:val="-7"/>
        </w:rPr>
        <w:t> </w:t>
      </w:r>
      <w:r>
        <w:rPr/>
        <w:t>direttrici:</w:t>
      </w:r>
      <w:r>
        <w:rPr>
          <w:spacing w:val="-5"/>
        </w:rPr>
        <w:t> </w:t>
      </w:r>
      <w:r>
        <w:rPr/>
        <w:t>i)</w:t>
      </w:r>
      <w:r>
        <w:rPr>
          <w:spacing w:val="-9"/>
        </w:rPr>
        <w:t> </w:t>
      </w:r>
      <w:r>
        <w:rPr/>
        <w:t>per</w:t>
      </w:r>
      <w:r>
        <w:rPr>
          <w:spacing w:val="-5"/>
        </w:rPr>
        <w:t> </w:t>
      </w:r>
      <w:r>
        <w:rPr/>
        <w:t>i</w:t>
      </w:r>
      <w:r>
        <w:rPr>
          <w:spacing w:val="-5"/>
        </w:rPr>
        <w:t> </w:t>
      </w:r>
      <w:r>
        <w:rPr/>
        <w:t>cespiti</w:t>
      </w:r>
      <w:r>
        <w:rPr>
          <w:spacing w:val="-6"/>
        </w:rPr>
        <w:t> </w:t>
      </w:r>
      <w:r>
        <w:rPr/>
        <w:t>più</w:t>
      </w:r>
      <w:r>
        <w:rPr>
          <w:spacing w:val="-6"/>
        </w:rPr>
        <w:t> </w:t>
      </w:r>
      <w:r>
        <w:rPr/>
        <w:t>appetibili,</w:t>
      </w:r>
      <w:r>
        <w:rPr>
          <w:spacing w:val="-6"/>
        </w:rPr>
        <w:t> </w:t>
      </w:r>
      <w:r>
        <w:rPr/>
        <w:t>attraverso</w:t>
      </w:r>
      <w:r>
        <w:rPr>
          <w:spacing w:val="-6"/>
        </w:rPr>
        <w:t> </w:t>
      </w:r>
      <w:r>
        <w:rPr/>
        <w:t>varianti</w:t>
      </w:r>
      <w:r>
        <w:rPr>
          <w:spacing w:val="-7"/>
        </w:rPr>
        <w:t> </w:t>
      </w:r>
      <w:r>
        <w:rPr/>
        <w:t>urbanistiche</w:t>
      </w:r>
      <w:r>
        <w:rPr>
          <w:spacing w:val="-5"/>
        </w:rPr>
        <w:t> </w:t>
      </w:r>
      <w:r>
        <w:rPr/>
        <w:t>e variazioni nella destinazione d'uso degli immobili, propedeutiche alla cessione,</w:t>
      </w:r>
      <w:r>
        <w:rPr>
          <w:spacing w:val="-48"/>
        </w:rPr>
        <w:t> </w:t>
      </w:r>
      <w:r>
        <w:rPr/>
        <w:t>che può essere diretta o mediata da Fondi immobiliari; ii) per gli immobili utilizzati a fini istituzionali, attraverso una gestione economica più efficiente, la razionalizzazione</w:t>
      </w:r>
      <w:r>
        <w:rPr>
          <w:spacing w:val="-13"/>
        </w:rPr>
        <w:t> </w:t>
      </w:r>
      <w:r>
        <w:rPr/>
        <w:t>degli</w:t>
      </w:r>
      <w:r>
        <w:rPr>
          <w:spacing w:val="-13"/>
        </w:rPr>
        <w:t> </w:t>
      </w:r>
      <w:r>
        <w:rPr/>
        <w:t>spazi</w:t>
      </w:r>
      <w:r>
        <w:rPr>
          <w:spacing w:val="-13"/>
        </w:rPr>
        <w:t> </w:t>
      </w:r>
      <w:r>
        <w:rPr/>
        <w:t>utilizzati</w:t>
      </w:r>
      <w:r>
        <w:rPr>
          <w:spacing w:val="-13"/>
        </w:rPr>
        <w:t> </w:t>
      </w:r>
      <w:r>
        <w:rPr/>
        <w:t>e</w:t>
      </w:r>
      <w:r>
        <w:rPr>
          <w:spacing w:val="-10"/>
        </w:rPr>
        <w:t> </w:t>
      </w:r>
      <w:r>
        <w:rPr/>
        <w:t>la</w:t>
      </w:r>
      <w:r>
        <w:rPr>
          <w:spacing w:val="-13"/>
        </w:rPr>
        <w:t> </w:t>
      </w:r>
      <w:r>
        <w:rPr/>
        <w:t>rinegoziazione</w:t>
      </w:r>
      <w:r>
        <w:rPr>
          <w:spacing w:val="-13"/>
        </w:rPr>
        <w:t> </w:t>
      </w:r>
      <w:r>
        <w:rPr/>
        <w:t>dei</w:t>
      </w:r>
      <w:r>
        <w:rPr>
          <w:spacing w:val="-13"/>
        </w:rPr>
        <w:t> </w:t>
      </w:r>
      <w:r>
        <w:rPr/>
        <w:t>contratti</w:t>
      </w:r>
      <w:r>
        <w:rPr>
          <w:spacing w:val="-12"/>
        </w:rPr>
        <w:t> </w:t>
      </w:r>
      <w:r>
        <w:rPr/>
        <w:t>di</w:t>
      </w:r>
      <w:r>
        <w:rPr>
          <w:spacing w:val="-13"/>
        </w:rPr>
        <w:t> </w:t>
      </w:r>
      <w:r>
        <w:rPr/>
        <w:t>locazione. Le azioni di riqualificazione e dismissione prevedono il coinvolgimento di tutti i livelli istituzionali, nel quadro del c.d. federalismo</w:t>
      </w:r>
      <w:r>
        <w:rPr>
          <w:spacing w:val="-5"/>
        </w:rPr>
        <w:t> </w:t>
      </w:r>
      <w:r>
        <w:rPr/>
        <w:t>demaniale.</w:t>
      </w:r>
    </w:p>
    <w:p>
      <w:pPr>
        <w:pStyle w:val="BodyText"/>
        <w:spacing w:line="252" w:lineRule="auto"/>
        <w:ind w:left="278" w:right="2262" w:firstLine="453"/>
        <w:jc w:val="both"/>
      </w:pPr>
      <w:r>
        <w:rPr/>
        <w:t>Tali azioni sono affiancate dalle operazioni di collocamento sul mercato delle partecipazioni in società detenute dallo Stato e da quelle previste dal processo di razionalizzazione delle partecipate locali avviato dal 2015. Alla base di queste operazioni</w:t>
      </w:r>
      <w:r>
        <w:rPr>
          <w:spacing w:val="-7"/>
        </w:rPr>
        <w:t> </w:t>
      </w:r>
      <w:r>
        <w:rPr/>
        <w:t>vi</w:t>
      </w:r>
      <w:r>
        <w:rPr>
          <w:spacing w:val="-7"/>
        </w:rPr>
        <w:t> </w:t>
      </w:r>
      <w:r>
        <w:rPr/>
        <w:t>sono,</w:t>
      </w:r>
      <w:r>
        <w:rPr>
          <w:spacing w:val="-5"/>
        </w:rPr>
        <w:t> </w:t>
      </w:r>
      <w:r>
        <w:rPr/>
        <w:t>tra</w:t>
      </w:r>
      <w:r>
        <w:rPr>
          <w:spacing w:val="-5"/>
        </w:rPr>
        <w:t> </w:t>
      </w:r>
      <w:r>
        <w:rPr/>
        <w:t>l’altro,</w:t>
      </w:r>
      <w:r>
        <w:rPr>
          <w:spacing w:val="-6"/>
        </w:rPr>
        <w:t> </w:t>
      </w:r>
      <w:r>
        <w:rPr/>
        <w:t>obiettivi</w:t>
      </w:r>
      <w:r>
        <w:rPr>
          <w:spacing w:val="-7"/>
        </w:rPr>
        <w:t> </w:t>
      </w:r>
      <w:r>
        <w:rPr/>
        <w:t>di</w:t>
      </w:r>
      <w:r>
        <w:rPr>
          <w:spacing w:val="-7"/>
        </w:rPr>
        <w:t> </w:t>
      </w:r>
      <w:r>
        <w:rPr/>
        <w:t>miglioramento</w:t>
      </w:r>
      <w:r>
        <w:rPr>
          <w:spacing w:val="-6"/>
        </w:rPr>
        <w:t> </w:t>
      </w:r>
      <w:r>
        <w:rPr/>
        <w:t>dell’efficienza</w:t>
      </w:r>
      <w:r>
        <w:rPr>
          <w:spacing w:val="-7"/>
        </w:rPr>
        <w:t> </w:t>
      </w:r>
      <w:r>
        <w:rPr/>
        <w:t>economico finanziaria e di sviluppo delle società partecipate pubbliche, anche attraverso l’acquisizione di nuovi capitali italiani ed esteri; nonché di miglioramento della regolamentazione dei mercati e crescita della concorrenza nei settori</w:t>
      </w:r>
      <w:r>
        <w:rPr>
          <w:spacing w:val="-34"/>
        </w:rPr>
        <w:t> </w:t>
      </w:r>
      <w:r>
        <w:rPr/>
        <w:t>interessati.</w:t>
      </w:r>
    </w:p>
    <w:p>
      <w:pPr>
        <w:spacing w:after="0" w:line="252" w:lineRule="auto"/>
        <w:jc w:val="both"/>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1128" w:right="1411" w:firstLine="453"/>
        <w:jc w:val="both"/>
      </w:pPr>
      <w:r>
        <w:rPr/>
        <w:t>La normativa prevede che i proventi derivanti dalla cessione delle partecipazioni</w:t>
      </w:r>
      <w:r>
        <w:rPr>
          <w:spacing w:val="-9"/>
        </w:rPr>
        <w:t> </w:t>
      </w:r>
      <w:r>
        <w:rPr/>
        <w:t>dirette</w:t>
      </w:r>
      <w:r>
        <w:rPr>
          <w:spacing w:val="-9"/>
        </w:rPr>
        <w:t> </w:t>
      </w:r>
      <w:r>
        <w:rPr/>
        <w:t>dello</w:t>
      </w:r>
      <w:r>
        <w:rPr>
          <w:spacing w:val="-9"/>
        </w:rPr>
        <w:t> </w:t>
      </w:r>
      <w:r>
        <w:rPr/>
        <w:t>Stato</w:t>
      </w:r>
      <w:r>
        <w:rPr>
          <w:spacing w:val="-9"/>
        </w:rPr>
        <w:t> </w:t>
      </w:r>
      <w:r>
        <w:rPr/>
        <w:t>siano</w:t>
      </w:r>
      <w:r>
        <w:rPr>
          <w:spacing w:val="-10"/>
        </w:rPr>
        <w:t> </w:t>
      </w:r>
      <w:r>
        <w:rPr/>
        <w:t>destinati</w:t>
      </w:r>
      <w:r>
        <w:rPr>
          <w:spacing w:val="-6"/>
        </w:rPr>
        <w:t> </w:t>
      </w:r>
      <w:r>
        <w:rPr/>
        <w:t>alla</w:t>
      </w:r>
      <w:r>
        <w:rPr>
          <w:spacing w:val="-9"/>
        </w:rPr>
        <w:t> </w:t>
      </w:r>
      <w:r>
        <w:rPr/>
        <w:t>riduzione</w:t>
      </w:r>
      <w:r>
        <w:rPr>
          <w:spacing w:val="-12"/>
        </w:rPr>
        <w:t> </w:t>
      </w:r>
      <w:r>
        <w:rPr/>
        <w:t>del</w:t>
      </w:r>
      <w:r>
        <w:rPr>
          <w:spacing w:val="-8"/>
        </w:rPr>
        <w:t> </w:t>
      </w:r>
      <w:r>
        <w:rPr/>
        <w:t>debito</w:t>
      </w:r>
      <w:r>
        <w:rPr>
          <w:spacing w:val="-9"/>
        </w:rPr>
        <w:t> </w:t>
      </w:r>
      <w:r>
        <w:rPr/>
        <w:t>pubblico. I proventi derivanti dal collocamento delle partecipazioni detenute indirettamente dal MEF tramite società controllate, invece, possono essere distribuiti all’azionista pubblico sotto forma di pagamento di un dividendo straordinario e quindi essere destinati alla riduzione del debito pubblico, oppure contribuire al rafforzamento patrimoniale delle capogruppo. L’attuazione delle operazioni è in ogni caso condizionata alla presenza di condizioni di mercato favorevoli, che permettano di valorizzare al meglio tali</w:t>
      </w:r>
      <w:r>
        <w:rPr>
          <w:spacing w:val="-5"/>
        </w:rPr>
        <w:t> </w:t>
      </w:r>
      <w:r>
        <w:rPr/>
        <w:t>asset.</w:t>
      </w:r>
    </w:p>
    <w:p>
      <w:pPr>
        <w:pStyle w:val="BodyText"/>
        <w:spacing w:before="6"/>
        <w:rPr>
          <w:sz w:val="33"/>
        </w:rPr>
      </w:pPr>
    </w:p>
    <w:p>
      <w:pPr>
        <w:pStyle w:val="Heading3"/>
        <w:ind w:left="1128"/>
      </w:pPr>
      <w:r>
        <w:rPr>
          <w:color w:val="585858"/>
        </w:rPr>
        <w:t>Valorizzazione del patrimonio immobiliare</w:t>
      </w:r>
    </w:p>
    <w:p>
      <w:pPr>
        <w:pStyle w:val="BodyText"/>
        <w:spacing w:line="252" w:lineRule="auto" w:before="152"/>
        <w:ind w:left="1128" w:right="1415" w:firstLine="453"/>
        <w:jc w:val="both"/>
      </w:pPr>
      <w:r>
        <w:rPr/>
        <w:t>L’attività</w:t>
      </w:r>
      <w:r>
        <w:rPr>
          <w:spacing w:val="-7"/>
        </w:rPr>
        <w:t> </w:t>
      </w:r>
      <w:r>
        <w:rPr/>
        <w:t>di</w:t>
      </w:r>
      <w:r>
        <w:rPr>
          <w:spacing w:val="-6"/>
        </w:rPr>
        <w:t> </w:t>
      </w:r>
      <w:r>
        <w:rPr/>
        <w:t>valorizzazione</w:t>
      </w:r>
      <w:r>
        <w:rPr>
          <w:spacing w:val="-7"/>
        </w:rPr>
        <w:t> </w:t>
      </w:r>
      <w:r>
        <w:rPr/>
        <w:t>e</w:t>
      </w:r>
      <w:r>
        <w:rPr>
          <w:spacing w:val="-5"/>
        </w:rPr>
        <w:t> </w:t>
      </w:r>
      <w:r>
        <w:rPr/>
        <w:t>dismissione</w:t>
      </w:r>
      <w:r>
        <w:rPr>
          <w:spacing w:val="-6"/>
        </w:rPr>
        <w:t> </w:t>
      </w:r>
      <w:r>
        <w:rPr/>
        <w:t>del</w:t>
      </w:r>
      <w:r>
        <w:rPr>
          <w:spacing w:val="-6"/>
        </w:rPr>
        <w:t> </w:t>
      </w:r>
      <w:r>
        <w:rPr/>
        <w:t>patrimonio</w:t>
      </w:r>
      <w:r>
        <w:rPr>
          <w:spacing w:val="-6"/>
        </w:rPr>
        <w:t> </w:t>
      </w:r>
      <w:r>
        <w:rPr/>
        <w:t>pubblico</w:t>
      </w:r>
      <w:r>
        <w:rPr>
          <w:spacing w:val="-7"/>
        </w:rPr>
        <w:t> </w:t>
      </w:r>
      <w:r>
        <w:rPr/>
        <w:t>rimane</w:t>
      </w:r>
      <w:r>
        <w:rPr>
          <w:spacing w:val="-6"/>
        </w:rPr>
        <w:t> </w:t>
      </w:r>
      <w:r>
        <w:rPr/>
        <w:t>parte integrante della strategia economica e di bilancio del Governo, finalizzata al contenimento della spesa e alla riduzione del debito, ma con implicazioni rilevanti anche in termini di maggiore efficienza nella gestione degli asset</w:t>
      </w:r>
      <w:r>
        <w:rPr>
          <w:spacing w:val="-21"/>
        </w:rPr>
        <w:t> </w:t>
      </w:r>
      <w:r>
        <w:rPr/>
        <w:t>pubblici.</w:t>
      </w:r>
    </w:p>
    <w:p>
      <w:pPr>
        <w:pStyle w:val="BodyText"/>
        <w:spacing w:line="252" w:lineRule="auto" w:before="1"/>
        <w:ind w:left="1128" w:right="1414" w:firstLine="453"/>
        <w:jc w:val="both"/>
      </w:pPr>
      <w:r>
        <w:rPr/>
        <w:t>In</w:t>
      </w:r>
      <w:r>
        <w:rPr>
          <w:spacing w:val="-10"/>
        </w:rPr>
        <w:t> </w:t>
      </w:r>
      <w:r>
        <w:rPr/>
        <w:t>tale</w:t>
      </w:r>
      <w:r>
        <w:rPr>
          <w:spacing w:val="-9"/>
        </w:rPr>
        <w:t> </w:t>
      </w:r>
      <w:r>
        <w:rPr/>
        <w:t>ottica,</w:t>
      </w:r>
      <w:r>
        <w:rPr>
          <w:spacing w:val="-8"/>
        </w:rPr>
        <w:t> </w:t>
      </w:r>
      <w:r>
        <w:rPr/>
        <w:t>la</w:t>
      </w:r>
      <w:r>
        <w:rPr>
          <w:spacing w:val="-10"/>
        </w:rPr>
        <w:t> </w:t>
      </w:r>
      <w:r>
        <w:rPr/>
        <w:t>Legge</w:t>
      </w:r>
      <w:r>
        <w:rPr>
          <w:spacing w:val="-12"/>
        </w:rPr>
        <w:t> </w:t>
      </w:r>
      <w:r>
        <w:rPr/>
        <w:t>di</w:t>
      </w:r>
      <w:r>
        <w:rPr>
          <w:spacing w:val="-8"/>
        </w:rPr>
        <w:t> </w:t>
      </w:r>
      <w:r>
        <w:rPr/>
        <w:t>Bilancio</w:t>
      </w:r>
      <w:r>
        <w:rPr>
          <w:spacing w:val="-10"/>
        </w:rPr>
        <w:t> </w:t>
      </w:r>
      <w:r>
        <w:rPr/>
        <w:t>per</w:t>
      </w:r>
      <w:r>
        <w:rPr>
          <w:spacing w:val="-8"/>
        </w:rPr>
        <w:t> </w:t>
      </w:r>
      <w:r>
        <w:rPr/>
        <w:t>il</w:t>
      </w:r>
      <w:r>
        <w:rPr>
          <w:spacing w:val="-10"/>
        </w:rPr>
        <w:t> </w:t>
      </w:r>
      <w:r>
        <w:rPr/>
        <w:t>2019</w:t>
      </w:r>
      <w:r>
        <w:rPr>
          <w:spacing w:val="-10"/>
        </w:rPr>
        <w:t> </w:t>
      </w:r>
      <w:r>
        <w:rPr/>
        <w:t>ha</w:t>
      </w:r>
      <w:r>
        <w:rPr>
          <w:spacing w:val="-14"/>
        </w:rPr>
        <w:t> </w:t>
      </w:r>
      <w:r>
        <w:rPr/>
        <w:t>previsto</w:t>
      </w:r>
      <w:r>
        <w:rPr>
          <w:spacing w:val="-10"/>
        </w:rPr>
        <w:t> </w:t>
      </w:r>
      <w:r>
        <w:rPr/>
        <w:t>un</w:t>
      </w:r>
      <w:r>
        <w:rPr>
          <w:spacing w:val="-10"/>
        </w:rPr>
        <w:t> </w:t>
      </w:r>
      <w:r>
        <w:rPr/>
        <w:t>Piano</w:t>
      </w:r>
      <w:r>
        <w:rPr>
          <w:spacing w:val="-10"/>
        </w:rPr>
        <w:t> </w:t>
      </w:r>
      <w:r>
        <w:rPr/>
        <w:t>straordinario di dismissioni, che è stato adottato con apposito Decreto del Presidente</w:t>
      </w:r>
      <w:r>
        <w:rPr>
          <w:spacing w:val="27"/>
        </w:rPr>
        <w:t> </w:t>
      </w:r>
      <w:r>
        <w:rPr/>
        <w:t>del Consiglio</w:t>
      </w:r>
      <w:r>
        <w:rPr>
          <w:spacing w:val="-16"/>
        </w:rPr>
        <w:t> </w:t>
      </w:r>
      <w:r>
        <w:rPr/>
        <w:t>dei</w:t>
      </w:r>
      <w:r>
        <w:rPr>
          <w:spacing w:val="-15"/>
        </w:rPr>
        <w:t> </w:t>
      </w:r>
      <w:r>
        <w:rPr/>
        <w:t>Ministri</w:t>
      </w:r>
      <w:r>
        <w:rPr>
          <w:spacing w:val="-14"/>
        </w:rPr>
        <w:t> </w:t>
      </w:r>
      <w:r>
        <w:rPr/>
        <w:t>(DPCM)</w:t>
      </w:r>
      <w:r>
        <w:rPr>
          <w:spacing w:val="-15"/>
        </w:rPr>
        <w:t> </w:t>
      </w:r>
      <w:r>
        <w:rPr/>
        <w:t>su</w:t>
      </w:r>
      <w:r>
        <w:rPr>
          <w:spacing w:val="-16"/>
        </w:rPr>
        <w:t> </w:t>
      </w:r>
      <w:r>
        <w:rPr/>
        <w:t>proposta</w:t>
      </w:r>
      <w:r>
        <w:rPr>
          <w:spacing w:val="-15"/>
        </w:rPr>
        <w:t> </w:t>
      </w:r>
      <w:r>
        <w:rPr/>
        <w:t>del</w:t>
      </w:r>
      <w:r>
        <w:rPr>
          <w:spacing w:val="-15"/>
        </w:rPr>
        <w:t> </w:t>
      </w:r>
      <w:r>
        <w:rPr/>
        <w:t>Ministro</w:t>
      </w:r>
      <w:r>
        <w:rPr>
          <w:spacing w:val="-16"/>
        </w:rPr>
        <w:t> </w:t>
      </w:r>
      <w:r>
        <w:rPr/>
        <w:t>dell’Economia</w:t>
      </w:r>
      <w:r>
        <w:rPr>
          <w:spacing w:val="-16"/>
        </w:rPr>
        <w:t> </w:t>
      </w:r>
      <w:r>
        <w:rPr/>
        <w:t>e</w:t>
      </w:r>
      <w:r>
        <w:rPr>
          <w:spacing w:val="-15"/>
        </w:rPr>
        <w:t> </w:t>
      </w:r>
      <w:r>
        <w:rPr/>
        <w:t>delle</w:t>
      </w:r>
      <w:r>
        <w:rPr>
          <w:spacing w:val="-15"/>
        </w:rPr>
        <w:t> </w:t>
      </w:r>
      <w:r>
        <w:rPr/>
        <w:t>Finanze.</w:t>
      </w:r>
    </w:p>
    <w:p>
      <w:pPr>
        <w:pStyle w:val="BodyText"/>
        <w:spacing w:line="255" w:lineRule="exact"/>
        <w:ind w:left="1582"/>
        <w:jc w:val="both"/>
      </w:pPr>
      <w:r>
        <w:rPr/>
        <w:t>L’attuazione del Piano avrà effetti positivi sulla finanza pubblica attraverso:</w:t>
      </w:r>
    </w:p>
    <w:p>
      <w:pPr>
        <w:pStyle w:val="ListParagraph"/>
        <w:numPr>
          <w:ilvl w:val="0"/>
          <w:numId w:val="12"/>
        </w:numPr>
        <w:tabs>
          <w:tab w:pos="1582" w:val="left" w:leader="none"/>
        </w:tabs>
        <w:spacing w:line="240" w:lineRule="auto" w:before="73" w:after="0"/>
        <w:ind w:left="1582" w:right="0" w:hanging="454"/>
        <w:jc w:val="both"/>
        <w:rPr>
          <w:sz w:val="22"/>
        </w:rPr>
      </w:pPr>
      <w:r>
        <w:rPr>
          <w:sz w:val="22"/>
        </w:rPr>
        <w:t>l’abbattimento diretto del debito dello</w:t>
      </w:r>
      <w:r>
        <w:rPr>
          <w:spacing w:val="-7"/>
          <w:sz w:val="22"/>
        </w:rPr>
        <w:t> </w:t>
      </w:r>
      <w:r>
        <w:rPr>
          <w:sz w:val="22"/>
        </w:rPr>
        <w:t>Stato;</w:t>
      </w:r>
    </w:p>
    <w:p>
      <w:pPr>
        <w:pStyle w:val="ListParagraph"/>
        <w:numPr>
          <w:ilvl w:val="0"/>
          <w:numId w:val="12"/>
        </w:numPr>
        <w:tabs>
          <w:tab w:pos="1582" w:val="left" w:leader="none"/>
        </w:tabs>
        <w:spacing w:line="240" w:lineRule="auto" w:before="73" w:after="0"/>
        <w:ind w:left="1582" w:right="0" w:hanging="454"/>
        <w:jc w:val="both"/>
        <w:rPr>
          <w:sz w:val="22"/>
        </w:rPr>
      </w:pPr>
      <w:r>
        <w:rPr>
          <w:sz w:val="22"/>
        </w:rPr>
        <w:t>il miglioramento del debito degli enti</w:t>
      </w:r>
      <w:r>
        <w:rPr>
          <w:spacing w:val="-5"/>
          <w:sz w:val="22"/>
        </w:rPr>
        <w:t> </w:t>
      </w:r>
      <w:r>
        <w:rPr>
          <w:sz w:val="22"/>
        </w:rPr>
        <w:t>locali;</w:t>
      </w:r>
    </w:p>
    <w:p>
      <w:pPr>
        <w:pStyle w:val="ListParagraph"/>
        <w:numPr>
          <w:ilvl w:val="0"/>
          <w:numId w:val="12"/>
        </w:numPr>
        <w:tabs>
          <w:tab w:pos="1582" w:val="left" w:leader="none"/>
        </w:tabs>
        <w:spacing w:line="252" w:lineRule="auto" w:before="71" w:after="0"/>
        <w:ind w:left="1582" w:right="1414" w:hanging="454"/>
        <w:jc w:val="both"/>
        <w:rPr>
          <w:sz w:val="22"/>
        </w:rPr>
      </w:pPr>
      <w:r>
        <w:rPr>
          <w:sz w:val="22"/>
        </w:rPr>
        <w:t>la possibilità, cambiando la proprietà e la destinazione d’uso di alcuni edifici, di</w:t>
      </w:r>
      <w:r>
        <w:rPr>
          <w:spacing w:val="-9"/>
          <w:sz w:val="22"/>
        </w:rPr>
        <w:t> </w:t>
      </w:r>
      <w:r>
        <w:rPr>
          <w:sz w:val="22"/>
        </w:rPr>
        <w:t>incentivare</w:t>
      </w:r>
      <w:r>
        <w:rPr>
          <w:spacing w:val="-7"/>
          <w:sz w:val="22"/>
        </w:rPr>
        <w:t> </w:t>
      </w:r>
      <w:r>
        <w:rPr>
          <w:sz w:val="22"/>
        </w:rPr>
        <w:t>il</w:t>
      </w:r>
      <w:r>
        <w:rPr>
          <w:spacing w:val="-11"/>
          <w:sz w:val="22"/>
        </w:rPr>
        <w:t> </w:t>
      </w:r>
      <w:r>
        <w:rPr>
          <w:sz w:val="22"/>
        </w:rPr>
        <w:t>recupero</w:t>
      </w:r>
      <w:r>
        <w:rPr>
          <w:spacing w:val="-9"/>
          <w:sz w:val="22"/>
        </w:rPr>
        <w:t> </w:t>
      </w:r>
      <w:r>
        <w:rPr>
          <w:sz w:val="22"/>
        </w:rPr>
        <w:t>di</w:t>
      </w:r>
      <w:r>
        <w:rPr>
          <w:spacing w:val="-8"/>
          <w:sz w:val="22"/>
        </w:rPr>
        <w:t> </w:t>
      </w:r>
      <w:r>
        <w:rPr>
          <w:sz w:val="22"/>
        </w:rPr>
        <w:t>beni</w:t>
      </w:r>
      <w:r>
        <w:rPr>
          <w:spacing w:val="-8"/>
          <w:sz w:val="22"/>
        </w:rPr>
        <w:t> </w:t>
      </w:r>
      <w:r>
        <w:rPr>
          <w:sz w:val="22"/>
        </w:rPr>
        <w:t>non</w:t>
      </w:r>
      <w:r>
        <w:rPr>
          <w:spacing w:val="-9"/>
          <w:sz w:val="22"/>
        </w:rPr>
        <w:t> </w:t>
      </w:r>
      <w:r>
        <w:rPr>
          <w:sz w:val="22"/>
        </w:rPr>
        <w:t>utilizzati</w:t>
      </w:r>
      <w:r>
        <w:rPr>
          <w:spacing w:val="-8"/>
          <w:sz w:val="22"/>
        </w:rPr>
        <w:t> </w:t>
      </w:r>
      <w:r>
        <w:rPr>
          <w:sz w:val="22"/>
        </w:rPr>
        <w:t>e</w:t>
      </w:r>
      <w:r>
        <w:rPr>
          <w:spacing w:val="-10"/>
          <w:sz w:val="22"/>
        </w:rPr>
        <w:t> </w:t>
      </w:r>
      <w:r>
        <w:rPr>
          <w:sz w:val="22"/>
        </w:rPr>
        <w:t>di</w:t>
      </w:r>
      <w:r>
        <w:rPr>
          <w:spacing w:val="-9"/>
          <w:sz w:val="22"/>
        </w:rPr>
        <w:t> </w:t>
      </w:r>
      <w:r>
        <w:rPr>
          <w:sz w:val="22"/>
        </w:rPr>
        <w:t>assicurare</w:t>
      </w:r>
      <w:r>
        <w:rPr>
          <w:spacing w:val="-10"/>
          <w:sz w:val="22"/>
        </w:rPr>
        <w:t> </w:t>
      </w:r>
      <w:r>
        <w:rPr>
          <w:sz w:val="22"/>
        </w:rPr>
        <w:t>ricadute</w:t>
      </w:r>
      <w:r>
        <w:rPr>
          <w:spacing w:val="-8"/>
          <w:sz w:val="22"/>
        </w:rPr>
        <w:t> </w:t>
      </w:r>
      <w:r>
        <w:rPr>
          <w:sz w:val="22"/>
        </w:rPr>
        <w:t>positive sull’economia locale e nazionale in termini di investimenti e</w:t>
      </w:r>
      <w:r>
        <w:rPr>
          <w:spacing w:val="-23"/>
          <w:sz w:val="22"/>
        </w:rPr>
        <w:t> </w:t>
      </w:r>
      <w:r>
        <w:rPr>
          <w:sz w:val="22"/>
        </w:rPr>
        <w:t>occupazione.</w:t>
      </w:r>
    </w:p>
    <w:p>
      <w:pPr>
        <w:pStyle w:val="BodyText"/>
        <w:spacing w:line="252" w:lineRule="auto" w:before="122"/>
        <w:ind w:left="1128" w:right="1411" w:firstLine="453"/>
        <w:jc w:val="both"/>
      </w:pPr>
      <w:r>
        <w:rPr/>
        <w:t>Il</w:t>
      </w:r>
      <w:r>
        <w:rPr>
          <w:spacing w:val="-13"/>
        </w:rPr>
        <w:t> </w:t>
      </w:r>
      <w:r>
        <w:rPr/>
        <w:t>16</w:t>
      </w:r>
      <w:r>
        <w:rPr>
          <w:spacing w:val="-12"/>
        </w:rPr>
        <w:t> </w:t>
      </w:r>
      <w:r>
        <w:rPr/>
        <w:t>luglio</w:t>
      </w:r>
      <w:r>
        <w:rPr>
          <w:spacing w:val="44"/>
        </w:rPr>
        <w:t> </w:t>
      </w:r>
      <w:r>
        <w:rPr/>
        <w:t>è</w:t>
      </w:r>
      <w:r>
        <w:rPr>
          <w:spacing w:val="-12"/>
        </w:rPr>
        <w:t> </w:t>
      </w:r>
      <w:r>
        <w:rPr/>
        <w:t>stato</w:t>
      </w:r>
      <w:r>
        <w:rPr>
          <w:spacing w:val="-12"/>
        </w:rPr>
        <w:t> </w:t>
      </w:r>
      <w:r>
        <w:rPr/>
        <w:t>pubblicato</w:t>
      </w:r>
      <w:r>
        <w:rPr>
          <w:spacing w:val="-12"/>
        </w:rPr>
        <w:t> </w:t>
      </w:r>
      <w:r>
        <w:rPr/>
        <w:t>in</w:t>
      </w:r>
      <w:r>
        <w:rPr>
          <w:spacing w:val="-12"/>
        </w:rPr>
        <w:t> </w:t>
      </w:r>
      <w:r>
        <w:rPr/>
        <w:t>Gazzetta</w:t>
      </w:r>
      <w:r>
        <w:rPr>
          <w:spacing w:val="-10"/>
        </w:rPr>
        <w:t> </w:t>
      </w:r>
      <w:r>
        <w:rPr/>
        <w:t>Ufficiale</w:t>
      </w:r>
      <w:r>
        <w:rPr>
          <w:spacing w:val="-12"/>
        </w:rPr>
        <w:t> </w:t>
      </w:r>
      <w:r>
        <w:rPr/>
        <w:t>il</w:t>
      </w:r>
      <w:r>
        <w:rPr>
          <w:spacing w:val="-12"/>
        </w:rPr>
        <w:t> </w:t>
      </w:r>
      <w:r>
        <w:rPr/>
        <w:t>decreto</w:t>
      </w:r>
      <w:r>
        <w:rPr>
          <w:spacing w:val="-12"/>
        </w:rPr>
        <w:t> </w:t>
      </w:r>
      <w:r>
        <w:rPr/>
        <w:t>ministeriale</w:t>
      </w:r>
      <w:r>
        <w:rPr>
          <w:vertAlign w:val="superscript"/>
        </w:rPr>
        <w:t>54</w:t>
      </w:r>
      <w:r>
        <w:rPr>
          <w:spacing w:val="-12"/>
          <w:vertAlign w:val="baseline"/>
        </w:rPr>
        <w:t> </w:t>
      </w:r>
      <w:r>
        <w:rPr>
          <w:vertAlign w:val="baseline"/>
        </w:rPr>
        <w:t>che contribuisce a definire il perimetro e le modalità di attuazione del citato Piano straordinario. Gli immobili ricompresi nel Piano di dismissioni, ai quali ne potrebbero essere aggiunti altri nel corso dell’anno, hanno un valore stimato di circa</w:t>
      </w:r>
      <w:r>
        <w:rPr>
          <w:spacing w:val="-13"/>
          <w:vertAlign w:val="baseline"/>
        </w:rPr>
        <w:t> </w:t>
      </w:r>
      <w:r>
        <w:rPr>
          <w:vertAlign w:val="baseline"/>
        </w:rPr>
        <w:t>1,2</w:t>
      </w:r>
      <w:r>
        <w:rPr>
          <w:spacing w:val="-13"/>
          <w:vertAlign w:val="baseline"/>
        </w:rPr>
        <w:t> </w:t>
      </w:r>
      <w:r>
        <w:rPr>
          <w:vertAlign w:val="baseline"/>
        </w:rPr>
        <w:t>miliardi,</w:t>
      </w:r>
      <w:r>
        <w:rPr>
          <w:spacing w:val="-10"/>
          <w:vertAlign w:val="baseline"/>
        </w:rPr>
        <w:t> </w:t>
      </w:r>
      <w:r>
        <w:rPr>
          <w:vertAlign w:val="baseline"/>
        </w:rPr>
        <w:t>nell’obiettivo</w:t>
      </w:r>
      <w:r>
        <w:rPr>
          <w:spacing w:val="-10"/>
          <w:vertAlign w:val="baseline"/>
        </w:rPr>
        <w:t> </w:t>
      </w:r>
      <w:r>
        <w:rPr>
          <w:vertAlign w:val="baseline"/>
        </w:rPr>
        <w:t>di</w:t>
      </w:r>
      <w:r>
        <w:rPr>
          <w:spacing w:val="-11"/>
          <w:vertAlign w:val="baseline"/>
        </w:rPr>
        <w:t> </w:t>
      </w:r>
      <w:r>
        <w:rPr>
          <w:vertAlign w:val="baseline"/>
        </w:rPr>
        <w:t>conseguire</w:t>
      </w:r>
      <w:r>
        <w:rPr>
          <w:spacing w:val="-9"/>
          <w:vertAlign w:val="baseline"/>
        </w:rPr>
        <w:t> </w:t>
      </w:r>
      <w:r>
        <w:rPr>
          <w:vertAlign w:val="baseline"/>
        </w:rPr>
        <w:t>introiti</w:t>
      </w:r>
      <w:r>
        <w:rPr>
          <w:spacing w:val="-10"/>
          <w:vertAlign w:val="baseline"/>
        </w:rPr>
        <w:t> </w:t>
      </w:r>
      <w:r>
        <w:rPr>
          <w:vertAlign w:val="baseline"/>
        </w:rPr>
        <w:t>per</w:t>
      </w:r>
      <w:r>
        <w:rPr>
          <w:spacing w:val="-8"/>
          <w:vertAlign w:val="baseline"/>
        </w:rPr>
        <w:t> </w:t>
      </w:r>
      <w:r>
        <w:rPr>
          <w:vertAlign w:val="baseline"/>
        </w:rPr>
        <w:t>950</w:t>
      </w:r>
      <w:r>
        <w:rPr>
          <w:spacing w:val="-11"/>
          <w:vertAlign w:val="baseline"/>
        </w:rPr>
        <w:t> </w:t>
      </w:r>
      <w:r>
        <w:rPr>
          <w:vertAlign w:val="baseline"/>
        </w:rPr>
        <w:t>milioni</w:t>
      </w:r>
      <w:r>
        <w:rPr>
          <w:spacing w:val="-11"/>
          <w:vertAlign w:val="baseline"/>
        </w:rPr>
        <w:t> </w:t>
      </w:r>
      <w:r>
        <w:rPr>
          <w:vertAlign w:val="baseline"/>
        </w:rPr>
        <w:t>nel</w:t>
      </w:r>
      <w:r>
        <w:rPr>
          <w:spacing w:val="-14"/>
          <w:vertAlign w:val="baseline"/>
        </w:rPr>
        <w:t> </w:t>
      </w:r>
      <w:r>
        <w:rPr>
          <w:vertAlign w:val="baseline"/>
        </w:rPr>
        <w:t>2019</w:t>
      </w:r>
      <w:r>
        <w:rPr>
          <w:spacing w:val="-11"/>
          <w:vertAlign w:val="baseline"/>
        </w:rPr>
        <w:t> </w:t>
      </w:r>
      <w:r>
        <w:rPr>
          <w:vertAlign w:val="baseline"/>
        </w:rPr>
        <w:t>e</w:t>
      </w:r>
      <w:r>
        <w:rPr>
          <w:spacing w:val="-10"/>
          <w:vertAlign w:val="baseline"/>
        </w:rPr>
        <w:t> </w:t>
      </w:r>
      <w:r>
        <w:rPr>
          <w:vertAlign w:val="baseline"/>
        </w:rPr>
        <w:t>per 150 milioni nel 2020 e nel 2021</w:t>
      </w:r>
      <w:r>
        <w:rPr>
          <w:vertAlign w:val="superscript"/>
        </w:rPr>
        <w:t>55</w:t>
      </w:r>
      <w:r>
        <w:rPr>
          <w:vertAlign w:val="baseline"/>
        </w:rPr>
        <w:t>. A tale scopo è prevista l’implementazione di strumenti diversificati di cessione e valorizzazione degli immobili che verranno attuati dai diversi soggetti istituzionali</w:t>
      </w:r>
      <w:r>
        <w:rPr>
          <w:spacing w:val="-5"/>
          <w:vertAlign w:val="baseline"/>
        </w:rPr>
        <w:t> </w:t>
      </w:r>
      <w:r>
        <w:rPr>
          <w:vertAlign w:val="baseline"/>
        </w:rPr>
        <w:t>coinvolti.</w:t>
      </w:r>
    </w:p>
    <w:p>
      <w:pPr>
        <w:pStyle w:val="BodyText"/>
        <w:spacing w:line="252" w:lineRule="auto"/>
        <w:ind w:left="1128" w:right="1415" w:firstLine="453"/>
        <w:jc w:val="both"/>
      </w:pPr>
      <w:r>
        <w:rPr/>
        <w:t>L’Agenzia del Demanio sta procedendo all’alienazione di un portafoglio complessivo</w:t>
      </w:r>
      <w:r>
        <w:rPr>
          <w:spacing w:val="-15"/>
        </w:rPr>
        <w:t> </w:t>
      </w:r>
      <w:r>
        <w:rPr/>
        <w:t>di</w:t>
      </w:r>
      <w:r>
        <w:rPr>
          <w:spacing w:val="-15"/>
        </w:rPr>
        <w:t> </w:t>
      </w:r>
      <w:r>
        <w:rPr/>
        <w:t>circa</w:t>
      </w:r>
      <w:r>
        <w:rPr>
          <w:spacing w:val="-17"/>
        </w:rPr>
        <w:t> </w:t>
      </w:r>
      <w:r>
        <w:rPr/>
        <w:t>1.600</w:t>
      </w:r>
      <w:r>
        <w:rPr>
          <w:spacing w:val="-14"/>
        </w:rPr>
        <w:t> </w:t>
      </w:r>
      <w:r>
        <w:rPr/>
        <w:t>immobili</w:t>
      </w:r>
      <w:r>
        <w:rPr>
          <w:spacing w:val="-14"/>
        </w:rPr>
        <w:t> </w:t>
      </w:r>
      <w:r>
        <w:rPr/>
        <w:t>per</w:t>
      </w:r>
      <w:r>
        <w:rPr>
          <w:spacing w:val="-13"/>
        </w:rPr>
        <w:t> </w:t>
      </w:r>
      <w:r>
        <w:rPr/>
        <w:t>un</w:t>
      </w:r>
      <w:r>
        <w:rPr>
          <w:spacing w:val="-15"/>
        </w:rPr>
        <w:t> </w:t>
      </w:r>
      <w:r>
        <w:rPr/>
        <w:t>valore</w:t>
      </w:r>
      <w:r>
        <w:rPr>
          <w:spacing w:val="-13"/>
        </w:rPr>
        <w:t> </w:t>
      </w:r>
      <w:r>
        <w:rPr/>
        <w:t>di</w:t>
      </w:r>
      <w:r>
        <w:rPr>
          <w:spacing w:val="-15"/>
        </w:rPr>
        <w:t> </w:t>
      </w:r>
      <w:r>
        <w:rPr/>
        <w:t>458</w:t>
      </w:r>
      <w:r>
        <w:rPr>
          <w:spacing w:val="-14"/>
        </w:rPr>
        <w:t> </w:t>
      </w:r>
      <w:r>
        <w:rPr/>
        <w:t>milioni.</w:t>
      </w:r>
      <w:r>
        <w:rPr>
          <w:spacing w:val="-13"/>
        </w:rPr>
        <w:t> </w:t>
      </w:r>
      <w:r>
        <w:rPr/>
        <w:t>In</w:t>
      </w:r>
      <w:r>
        <w:rPr>
          <w:spacing w:val="-14"/>
        </w:rPr>
        <w:t> </w:t>
      </w:r>
      <w:r>
        <w:rPr/>
        <w:t>tal</w:t>
      </w:r>
      <w:r>
        <w:rPr>
          <w:spacing w:val="-14"/>
        </w:rPr>
        <w:t> </w:t>
      </w:r>
      <w:r>
        <w:rPr/>
        <w:t>senso,</w:t>
      </w:r>
      <w:r>
        <w:rPr>
          <w:spacing w:val="-13"/>
        </w:rPr>
        <w:t> </w:t>
      </w:r>
      <w:r>
        <w:rPr/>
        <w:t>è</w:t>
      </w:r>
      <w:r>
        <w:rPr>
          <w:spacing w:val="-14"/>
        </w:rPr>
        <w:t> </w:t>
      </w:r>
      <w:r>
        <w:rPr/>
        <w:t>stato predisposto un elenco di 420 immobili per un controvalore complessivo di circa</w:t>
      </w:r>
      <w:r>
        <w:rPr>
          <w:spacing w:val="-48"/>
        </w:rPr>
        <w:t> </w:t>
      </w:r>
      <w:r>
        <w:rPr/>
        <w:t>420 milioni, proposti al MEF e successivamente allegato al Decreto Ministeriale del 28 giugno 2019, a cui ha fatto seguito il suddetto</w:t>
      </w:r>
      <w:r>
        <w:rPr>
          <w:spacing w:val="-11"/>
        </w:rPr>
        <w:t> </w:t>
      </w:r>
      <w:r>
        <w:rPr/>
        <w:t>DPCM.</w:t>
      </w:r>
    </w:p>
    <w:p>
      <w:pPr>
        <w:pStyle w:val="BodyText"/>
        <w:spacing w:line="252" w:lineRule="auto"/>
        <w:ind w:left="1128" w:right="1413" w:firstLine="453"/>
        <w:jc w:val="both"/>
      </w:pPr>
      <w:r>
        <w:rPr/>
        <w:t>Oltre</w:t>
      </w:r>
      <w:r>
        <w:rPr>
          <w:spacing w:val="-9"/>
        </w:rPr>
        <w:t> </w:t>
      </w:r>
      <w:r>
        <w:rPr/>
        <w:t>ai</w:t>
      </w:r>
      <w:r>
        <w:rPr>
          <w:spacing w:val="-13"/>
        </w:rPr>
        <w:t> </w:t>
      </w:r>
      <w:r>
        <w:rPr/>
        <w:t>citati</w:t>
      </w:r>
      <w:r>
        <w:rPr>
          <w:spacing w:val="-10"/>
        </w:rPr>
        <w:t> </w:t>
      </w:r>
      <w:r>
        <w:rPr/>
        <w:t>420</w:t>
      </w:r>
      <w:r>
        <w:rPr>
          <w:spacing w:val="-11"/>
        </w:rPr>
        <w:t> </w:t>
      </w:r>
      <w:r>
        <w:rPr/>
        <w:t>immobili,</w:t>
      </w:r>
      <w:r>
        <w:rPr>
          <w:spacing w:val="-9"/>
        </w:rPr>
        <w:t> </w:t>
      </w:r>
      <w:r>
        <w:rPr/>
        <w:t>l’Agenzia</w:t>
      </w:r>
      <w:r>
        <w:rPr>
          <w:spacing w:val="-13"/>
        </w:rPr>
        <w:t> </w:t>
      </w:r>
      <w:r>
        <w:rPr/>
        <w:t>ha</w:t>
      </w:r>
      <w:r>
        <w:rPr>
          <w:spacing w:val="-11"/>
        </w:rPr>
        <w:t> </w:t>
      </w:r>
      <w:r>
        <w:rPr/>
        <w:t>individuato</w:t>
      </w:r>
      <w:r>
        <w:rPr>
          <w:spacing w:val="-11"/>
        </w:rPr>
        <w:t> </w:t>
      </w:r>
      <w:r>
        <w:rPr/>
        <w:t>circa</w:t>
      </w:r>
      <w:r>
        <w:rPr>
          <w:spacing w:val="-12"/>
        </w:rPr>
        <w:t> </w:t>
      </w:r>
      <w:r>
        <w:rPr/>
        <w:t>1.200</w:t>
      </w:r>
      <w:r>
        <w:rPr>
          <w:spacing w:val="-13"/>
        </w:rPr>
        <w:t> </w:t>
      </w:r>
      <w:r>
        <w:rPr/>
        <w:t>beni</w:t>
      </w:r>
      <w:r>
        <w:rPr>
          <w:spacing w:val="-13"/>
        </w:rPr>
        <w:t> </w:t>
      </w:r>
      <w:r>
        <w:rPr/>
        <w:t>(di</w:t>
      </w:r>
      <w:r>
        <w:rPr>
          <w:spacing w:val="-9"/>
        </w:rPr>
        <w:t> </w:t>
      </w:r>
      <w:r>
        <w:rPr/>
        <w:t>valore unitario inferiore ai 100.000 euro) per un controvalore complessivo di circa 38 milioni,</w:t>
      </w:r>
      <w:r>
        <w:rPr>
          <w:spacing w:val="26"/>
        </w:rPr>
        <w:t> </w:t>
      </w:r>
      <w:r>
        <w:rPr/>
        <w:t>da</w:t>
      </w:r>
      <w:r>
        <w:rPr>
          <w:spacing w:val="26"/>
        </w:rPr>
        <w:t> </w:t>
      </w:r>
      <w:r>
        <w:rPr/>
        <w:t>immettere</w:t>
      </w:r>
      <w:r>
        <w:rPr>
          <w:spacing w:val="27"/>
        </w:rPr>
        <w:t> </w:t>
      </w:r>
      <w:r>
        <w:rPr/>
        <w:t>sul</w:t>
      </w:r>
      <w:r>
        <w:rPr>
          <w:spacing w:val="26"/>
        </w:rPr>
        <w:t> </w:t>
      </w:r>
      <w:r>
        <w:rPr/>
        <w:t>mercato</w:t>
      </w:r>
      <w:r>
        <w:rPr>
          <w:spacing w:val="26"/>
        </w:rPr>
        <w:t> </w:t>
      </w:r>
      <w:r>
        <w:rPr/>
        <w:t>attraverso</w:t>
      </w:r>
      <w:r>
        <w:rPr>
          <w:spacing w:val="26"/>
        </w:rPr>
        <w:t> </w:t>
      </w:r>
      <w:r>
        <w:rPr/>
        <w:t>avvisi</w:t>
      </w:r>
      <w:r>
        <w:rPr>
          <w:spacing w:val="26"/>
        </w:rPr>
        <w:t> </w:t>
      </w:r>
      <w:r>
        <w:rPr/>
        <w:t>e</w:t>
      </w:r>
      <w:r>
        <w:rPr>
          <w:spacing w:val="26"/>
        </w:rPr>
        <w:t> </w:t>
      </w:r>
      <w:r>
        <w:rPr/>
        <w:t>bandi</w:t>
      </w:r>
      <w:r>
        <w:rPr>
          <w:spacing w:val="26"/>
        </w:rPr>
        <w:t> </w:t>
      </w:r>
      <w:r>
        <w:rPr/>
        <w:t>di</w:t>
      </w:r>
      <w:r>
        <w:rPr>
          <w:spacing w:val="26"/>
        </w:rPr>
        <w:t> </w:t>
      </w:r>
      <w:r>
        <w:rPr/>
        <w:t>gara</w:t>
      </w:r>
      <w:r>
        <w:rPr>
          <w:spacing w:val="26"/>
        </w:rPr>
        <w:t> </w:t>
      </w:r>
      <w:r>
        <w:rPr/>
        <w:t>gestiti</w:t>
      </w:r>
      <w:r>
        <w:rPr>
          <w:spacing w:val="26"/>
        </w:rPr>
        <w:t> </w:t>
      </w:r>
      <w:r>
        <w:rPr/>
        <w:t>dalle</w:t>
      </w:r>
    </w:p>
    <w:p>
      <w:pPr>
        <w:pStyle w:val="BodyText"/>
        <w:rPr>
          <w:sz w:val="20"/>
        </w:rPr>
      </w:pPr>
    </w:p>
    <w:p>
      <w:pPr>
        <w:pStyle w:val="BodyText"/>
        <w:spacing w:before="1"/>
        <w:rPr>
          <w:sz w:val="26"/>
        </w:rPr>
      </w:pPr>
      <w:r>
        <w:rPr/>
        <w:pict>
          <v:group style="position:absolute;margin-left:136.100006pt;margin-top:17.131855pt;width:21.4pt;height:2.15pt;mso-position-horizontal-relative:page;mso-position-vertical-relative:paragraph;z-index:-251461632;mso-wrap-distance-left:0;mso-wrap-distance-right:0" coordorigin="2722,343" coordsize="428,43">
            <v:line style="position:absolute" from="2722,363" to="3149,363" stroked="true" strokeweight="2.050pt" strokecolor="#aaaaaa">
              <v:stroke dashstyle="solid"/>
            </v:line>
            <v:rect style="position:absolute;left:2722;top:344;width:5;height:5" filled="true" fillcolor="#9f9f9f" stroked="false">
              <v:fill type="solid"/>
            </v:rect>
            <v:rect style="position:absolute;left:2722;top:344;width:5;height:5" filled="true" fillcolor="#9f9f9f" stroked="false">
              <v:fill type="solid"/>
            </v:rect>
            <v:line style="position:absolute" from="2727,347" to="3144,347" stroked="true" strokeweight=".23999pt" strokecolor="#9f9f9f">
              <v:stroke dashstyle="solid"/>
            </v:line>
            <v:rect style="position:absolute;left:3144;top:344;width:5;height:5" filled="true" fillcolor="#e2e2e2" stroked="false">
              <v:fill type="solid"/>
            </v:rect>
            <v:rect style="position:absolute;left:3144;top:344;width:5;height:5" filled="true" fillcolor="#9f9f9f" stroked="false">
              <v:fill type="solid"/>
            </v:rect>
            <v:rect style="position:absolute;left:2722;top:349;width:5;height:32" filled="true" fillcolor="#9f9f9f" stroked="false">
              <v:fill type="solid"/>
            </v:rect>
            <v:rect style="position:absolute;left:3144;top:349;width:5;height:32" filled="true" fillcolor="#e2e2e2" stroked="false">
              <v:fill type="solid"/>
            </v:rect>
            <v:rect style="position:absolute;left:2722;top:380;width:5;height:5" filled="true" fillcolor="#9f9f9f" stroked="false">
              <v:fill type="solid"/>
            </v:rect>
            <v:rect style="position:absolute;left:2722;top:380;width:5;height:5" filled="true" fillcolor="#e2e2e2" stroked="false">
              <v:fill type="solid"/>
            </v:rect>
            <v:line style="position:absolute" from="2727,383" to="3144,383" stroked="true" strokeweight=".23999pt" strokecolor="#e2e2e2">
              <v:stroke dashstyle="solid"/>
            </v:line>
            <v:rect style="position:absolute;left:3144;top:380;width:5;height:5" filled="true" fillcolor="#e2e2e2" stroked="false">
              <v:fill type="solid"/>
            </v:rect>
            <v:rect style="position:absolute;left:3144;top:380;width:5;height:5" filled="true" fillcolor="#e2e2e2" stroked="false">
              <v:fill type="solid"/>
            </v:rect>
            <w10:wrap type="topAndBottom"/>
          </v:group>
        </w:pict>
      </w:r>
    </w:p>
    <w:p>
      <w:pPr>
        <w:spacing w:line="188" w:lineRule="exact" w:before="18"/>
        <w:ind w:left="1582" w:right="0" w:firstLine="0"/>
        <w:jc w:val="both"/>
        <w:rPr>
          <w:sz w:val="16"/>
        </w:rPr>
      </w:pPr>
      <w:r>
        <w:rPr>
          <w:position w:val="6"/>
          <w:sz w:val="10"/>
        </w:rPr>
        <w:t>54 </w:t>
      </w:r>
      <w:r>
        <w:rPr>
          <w:sz w:val="16"/>
        </w:rPr>
        <w:t>Decreto del Ministero dell’Economia e delle Finanze, 28 giugno 2019.</w:t>
      </w:r>
    </w:p>
    <w:p>
      <w:pPr>
        <w:spacing w:before="0"/>
        <w:ind w:left="1128" w:right="1413" w:firstLine="453"/>
        <w:jc w:val="both"/>
        <w:rPr>
          <w:sz w:val="16"/>
        </w:rPr>
      </w:pPr>
      <w:r>
        <w:rPr>
          <w:position w:val="6"/>
          <w:sz w:val="10"/>
        </w:rPr>
        <w:t>55</w:t>
      </w:r>
      <w:r>
        <w:rPr>
          <w:spacing w:val="11"/>
          <w:position w:val="6"/>
          <w:sz w:val="10"/>
        </w:rPr>
        <w:t> </w:t>
      </w:r>
      <w:r>
        <w:rPr>
          <w:sz w:val="16"/>
        </w:rPr>
        <w:t>Secondo</w:t>
      </w:r>
      <w:r>
        <w:rPr>
          <w:spacing w:val="-7"/>
          <w:sz w:val="16"/>
        </w:rPr>
        <w:t> </w:t>
      </w:r>
      <w:r>
        <w:rPr>
          <w:sz w:val="16"/>
        </w:rPr>
        <w:t>i</w:t>
      </w:r>
      <w:r>
        <w:rPr>
          <w:spacing w:val="-8"/>
          <w:sz w:val="16"/>
        </w:rPr>
        <w:t> </w:t>
      </w:r>
      <w:r>
        <w:rPr>
          <w:sz w:val="16"/>
        </w:rPr>
        <w:t>dati</w:t>
      </w:r>
      <w:r>
        <w:rPr>
          <w:spacing w:val="-7"/>
          <w:sz w:val="16"/>
        </w:rPr>
        <w:t> </w:t>
      </w:r>
      <w:r>
        <w:rPr>
          <w:sz w:val="16"/>
        </w:rPr>
        <w:t>ISTAT</w:t>
      </w:r>
      <w:r>
        <w:rPr>
          <w:spacing w:val="-7"/>
          <w:sz w:val="16"/>
        </w:rPr>
        <w:t> </w:t>
      </w:r>
      <w:r>
        <w:rPr>
          <w:sz w:val="16"/>
        </w:rPr>
        <w:t>(aggiornamento</w:t>
      </w:r>
      <w:r>
        <w:rPr>
          <w:spacing w:val="-7"/>
          <w:sz w:val="16"/>
        </w:rPr>
        <w:t> </w:t>
      </w:r>
      <w:r>
        <w:rPr>
          <w:sz w:val="16"/>
        </w:rPr>
        <w:t>di</w:t>
      </w:r>
      <w:r>
        <w:rPr>
          <w:spacing w:val="-7"/>
          <w:sz w:val="16"/>
        </w:rPr>
        <w:t> </w:t>
      </w:r>
      <w:r>
        <w:rPr>
          <w:sz w:val="16"/>
        </w:rPr>
        <w:t>aprile</w:t>
      </w:r>
      <w:r>
        <w:rPr>
          <w:spacing w:val="-7"/>
          <w:sz w:val="16"/>
        </w:rPr>
        <w:t> </w:t>
      </w:r>
      <w:r>
        <w:rPr>
          <w:sz w:val="16"/>
        </w:rPr>
        <w:t>2019),</w:t>
      </w:r>
      <w:r>
        <w:rPr>
          <w:spacing w:val="-7"/>
          <w:sz w:val="16"/>
        </w:rPr>
        <w:t> </w:t>
      </w:r>
      <w:r>
        <w:rPr>
          <w:sz w:val="16"/>
        </w:rPr>
        <w:t>i</w:t>
      </w:r>
      <w:r>
        <w:rPr>
          <w:spacing w:val="-8"/>
          <w:sz w:val="16"/>
        </w:rPr>
        <w:t> </w:t>
      </w:r>
      <w:r>
        <w:rPr>
          <w:sz w:val="16"/>
        </w:rPr>
        <w:t>proventi</w:t>
      </w:r>
      <w:r>
        <w:rPr>
          <w:spacing w:val="-7"/>
          <w:sz w:val="16"/>
        </w:rPr>
        <w:t> </w:t>
      </w:r>
      <w:r>
        <w:rPr>
          <w:sz w:val="16"/>
        </w:rPr>
        <w:t>derivanti</w:t>
      </w:r>
      <w:r>
        <w:rPr>
          <w:spacing w:val="-8"/>
          <w:sz w:val="16"/>
        </w:rPr>
        <w:t> </w:t>
      </w:r>
      <w:r>
        <w:rPr>
          <w:sz w:val="16"/>
        </w:rPr>
        <w:t>dalle</w:t>
      </w:r>
      <w:r>
        <w:rPr>
          <w:spacing w:val="-9"/>
          <w:sz w:val="16"/>
        </w:rPr>
        <w:t> </w:t>
      </w:r>
      <w:r>
        <w:rPr>
          <w:sz w:val="16"/>
        </w:rPr>
        <w:t>vendite</w:t>
      </w:r>
      <w:r>
        <w:rPr>
          <w:spacing w:val="-6"/>
          <w:sz w:val="16"/>
        </w:rPr>
        <w:t> </w:t>
      </w:r>
      <w:r>
        <w:rPr>
          <w:sz w:val="16"/>
        </w:rPr>
        <w:t>di</w:t>
      </w:r>
      <w:r>
        <w:rPr>
          <w:spacing w:val="-8"/>
          <w:sz w:val="16"/>
        </w:rPr>
        <w:t> </w:t>
      </w:r>
      <w:r>
        <w:rPr>
          <w:sz w:val="16"/>
        </w:rPr>
        <w:t>immobili</w:t>
      </w:r>
      <w:r>
        <w:rPr>
          <w:spacing w:val="-7"/>
          <w:sz w:val="16"/>
        </w:rPr>
        <w:t> </w:t>
      </w:r>
      <w:r>
        <w:rPr>
          <w:sz w:val="16"/>
        </w:rPr>
        <w:t>pubblici sono stati pari a 825 milioni nel 2018, di cui 30 milioni per le vendite di immobili delle Amministrazioni centrali, 626 milioni per le vendite effettuate dalle Amministrazioni locali e 169 milioni per le vendite degli Enti di previdenza.</w:t>
      </w:r>
    </w:p>
    <w:p>
      <w:pPr>
        <w:spacing w:after="0"/>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before="101"/>
        <w:ind w:left="278"/>
        <w:jc w:val="both"/>
      </w:pPr>
      <w:r>
        <w:rPr/>
        <w:t>strutture territoriali dell’Agenzia, oltre che a trattativa diretta per le fattispecie</w:t>
      </w:r>
    </w:p>
    <w:p>
      <w:pPr>
        <w:pStyle w:val="BodyText"/>
        <w:spacing w:before="14"/>
        <w:ind w:left="278"/>
        <w:jc w:val="both"/>
      </w:pPr>
      <w:r>
        <w:rPr/>
        <w:t>contemplate dalla norma (es. quote indivise di beni).</w:t>
      </w:r>
    </w:p>
    <w:p>
      <w:pPr>
        <w:pStyle w:val="BodyText"/>
        <w:spacing w:line="249" w:lineRule="auto" w:before="13"/>
        <w:ind w:left="278" w:right="2263" w:firstLine="453"/>
        <w:jc w:val="both"/>
      </w:pPr>
      <w:r>
        <w:rPr/>
        <w:t>A</w:t>
      </w:r>
      <w:r>
        <w:rPr>
          <w:spacing w:val="-7"/>
        </w:rPr>
        <w:t> </w:t>
      </w:r>
      <w:r>
        <w:rPr/>
        <w:t>questi</w:t>
      </w:r>
      <w:r>
        <w:rPr>
          <w:spacing w:val="-6"/>
        </w:rPr>
        <w:t> </w:t>
      </w:r>
      <w:r>
        <w:rPr/>
        <w:t>si</w:t>
      </w:r>
      <w:r>
        <w:rPr>
          <w:spacing w:val="-7"/>
        </w:rPr>
        <w:t> </w:t>
      </w:r>
      <w:r>
        <w:rPr/>
        <w:t>aggiungono</w:t>
      </w:r>
      <w:r>
        <w:rPr>
          <w:spacing w:val="-7"/>
        </w:rPr>
        <w:t> </w:t>
      </w:r>
      <w:r>
        <w:rPr/>
        <w:t>circa</w:t>
      </w:r>
      <w:r>
        <w:rPr>
          <w:spacing w:val="-7"/>
        </w:rPr>
        <w:t> </w:t>
      </w:r>
      <w:r>
        <w:rPr/>
        <w:t>40</w:t>
      </w:r>
      <w:r>
        <w:rPr>
          <w:spacing w:val="-6"/>
        </w:rPr>
        <w:t> </w:t>
      </w:r>
      <w:r>
        <w:rPr/>
        <w:t>immobili</w:t>
      </w:r>
      <w:r>
        <w:rPr>
          <w:spacing w:val="-7"/>
        </w:rPr>
        <w:t> </w:t>
      </w:r>
      <w:r>
        <w:rPr/>
        <w:t>in</w:t>
      </w:r>
      <w:r>
        <w:rPr>
          <w:spacing w:val="-6"/>
        </w:rPr>
        <w:t> </w:t>
      </w:r>
      <w:r>
        <w:rPr/>
        <w:t>uso</w:t>
      </w:r>
      <w:r>
        <w:rPr>
          <w:spacing w:val="-7"/>
        </w:rPr>
        <w:t> </w:t>
      </w:r>
      <w:r>
        <w:rPr/>
        <w:t>al</w:t>
      </w:r>
      <w:r>
        <w:rPr>
          <w:spacing w:val="-3"/>
        </w:rPr>
        <w:t> </w:t>
      </w:r>
      <w:r>
        <w:rPr/>
        <w:t>Ministero</w:t>
      </w:r>
      <w:r>
        <w:rPr>
          <w:spacing w:val="-7"/>
        </w:rPr>
        <w:t> </w:t>
      </w:r>
      <w:r>
        <w:rPr/>
        <w:t>della</w:t>
      </w:r>
      <w:r>
        <w:rPr>
          <w:spacing w:val="-6"/>
        </w:rPr>
        <w:t> </w:t>
      </w:r>
      <w:r>
        <w:rPr/>
        <w:t>Difesa,</w:t>
      </w:r>
      <w:r>
        <w:rPr>
          <w:spacing w:val="-6"/>
        </w:rPr>
        <w:t> </w:t>
      </w:r>
      <w:r>
        <w:rPr/>
        <w:t>per</w:t>
      </w:r>
      <w:r>
        <w:rPr>
          <w:spacing w:val="-5"/>
        </w:rPr>
        <w:t> </w:t>
      </w:r>
      <w:r>
        <w:rPr/>
        <w:t>un valore stimato di 160</w:t>
      </w:r>
      <w:r>
        <w:rPr>
          <w:spacing w:val="-3"/>
        </w:rPr>
        <w:t> </w:t>
      </w:r>
      <w:r>
        <w:rPr/>
        <w:t>milioni.</w:t>
      </w:r>
    </w:p>
    <w:p>
      <w:pPr>
        <w:pStyle w:val="BodyText"/>
        <w:spacing w:line="252" w:lineRule="auto" w:before="4"/>
        <w:ind w:left="278" w:right="2260" w:firstLine="360"/>
        <w:jc w:val="both"/>
      </w:pPr>
      <w:r>
        <w:rPr/>
        <w:t>Al fine di contribuire al raggiungimento degli obiettivi della Legge di Bilancio l’Agenzia ha messo in atto diverse attività tra cui: i) la sottoscrizione di una convenzione con il Consiglio Nazionale del Notariato per lo svolgimento delle procedure</w:t>
      </w:r>
      <w:r>
        <w:rPr>
          <w:spacing w:val="-18"/>
        </w:rPr>
        <w:t> </w:t>
      </w:r>
      <w:r>
        <w:rPr/>
        <w:t>di</w:t>
      </w:r>
      <w:r>
        <w:rPr>
          <w:spacing w:val="-16"/>
        </w:rPr>
        <w:t> </w:t>
      </w:r>
      <w:r>
        <w:rPr/>
        <w:t>vendita</w:t>
      </w:r>
      <w:r>
        <w:rPr>
          <w:spacing w:val="-14"/>
        </w:rPr>
        <w:t> </w:t>
      </w:r>
      <w:r>
        <w:rPr/>
        <w:t>degli</w:t>
      </w:r>
      <w:r>
        <w:rPr>
          <w:spacing w:val="-15"/>
        </w:rPr>
        <w:t> </w:t>
      </w:r>
      <w:r>
        <w:rPr/>
        <w:t>immobili</w:t>
      </w:r>
      <w:r>
        <w:rPr>
          <w:spacing w:val="-15"/>
        </w:rPr>
        <w:t> </w:t>
      </w:r>
      <w:r>
        <w:rPr/>
        <w:t>attraverso</w:t>
      </w:r>
      <w:r>
        <w:rPr>
          <w:spacing w:val="-16"/>
        </w:rPr>
        <w:t> </w:t>
      </w:r>
      <w:r>
        <w:rPr/>
        <w:t>la</w:t>
      </w:r>
      <w:r>
        <w:rPr>
          <w:spacing w:val="-17"/>
        </w:rPr>
        <w:t> </w:t>
      </w:r>
      <w:r>
        <w:rPr/>
        <w:t>Rete</w:t>
      </w:r>
      <w:r>
        <w:rPr>
          <w:spacing w:val="-15"/>
        </w:rPr>
        <w:t> </w:t>
      </w:r>
      <w:r>
        <w:rPr/>
        <w:t>Aste</w:t>
      </w:r>
      <w:r>
        <w:rPr>
          <w:spacing w:val="-16"/>
        </w:rPr>
        <w:t> </w:t>
      </w:r>
      <w:r>
        <w:rPr/>
        <w:t>Notarili</w:t>
      </w:r>
      <w:r>
        <w:rPr>
          <w:spacing w:val="-15"/>
        </w:rPr>
        <w:t> </w:t>
      </w:r>
      <w:r>
        <w:rPr/>
        <w:t>(RAN);</w:t>
      </w:r>
      <w:r>
        <w:rPr>
          <w:spacing w:val="-15"/>
        </w:rPr>
        <w:t> </w:t>
      </w:r>
      <w:r>
        <w:rPr/>
        <w:t>ii)</w:t>
      </w:r>
      <w:r>
        <w:rPr>
          <w:spacing w:val="-13"/>
        </w:rPr>
        <w:t> </w:t>
      </w:r>
      <w:r>
        <w:rPr/>
        <w:t>l’avvio delle interlocuzioni con gli Enti territoriali e con le altre Amministrazioni competenti per il rilascio di pareri o nulla osta per discutere delle tematiche attinenti alla conformità catastale, edilizia ed urbanistica degli immobili ovvero affrontare ulteriori criticità di carattere tecnico ed amministrativo. In tema di varianti urbanistiche è stato predisposto un nuovo schema di accordo di valorizzazione da porre in essere con gli Enti territoriali, anche al fine di poter riconoscere loro la premialità di cui all’art. 1, comma 426 della menzionata Legge di</w:t>
      </w:r>
      <w:r>
        <w:rPr>
          <w:spacing w:val="-2"/>
        </w:rPr>
        <w:t> </w:t>
      </w:r>
      <w:r>
        <w:rPr/>
        <w:t>Bilancio.</w:t>
      </w:r>
    </w:p>
    <w:p>
      <w:pPr>
        <w:pStyle w:val="BodyText"/>
        <w:spacing w:line="252" w:lineRule="auto"/>
        <w:ind w:left="278" w:right="2265" w:firstLine="453"/>
        <w:jc w:val="both"/>
      </w:pPr>
      <w:r>
        <w:rPr/>
        <w:t>Rispetto ai sopracitati 1.600 beni, nel corso del 2019 l’Agenzia ha provveduto a pubblicare bandi di gara per poco più di 1.000 lotti con un valore complessivo a base d’asta di circa 192 milioni; nei prossimi mesi si procederà all’immissione sul mercato di ulteriori beni. Per circa 65 immobili (per un valore ad oggi di circa 150 milioni) si sta procedendo alle attività di regolarizzazione e valorizzazione urbanistica;</w:t>
      </w:r>
      <w:r>
        <w:rPr>
          <w:spacing w:val="-14"/>
        </w:rPr>
        <w:t> </w:t>
      </w:r>
      <w:r>
        <w:rPr/>
        <w:t>detti</w:t>
      </w:r>
      <w:r>
        <w:rPr>
          <w:spacing w:val="-14"/>
        </w:rPr>
        <w:t> </w:t>
      </w:r>
      <w:r>
        <w:rPr/>
        <w:t>beni,</w:t>
      </w:r>
      <w:r>
        <w:rPr>
          <w:spacing w:val="-13"/>
        </w:rPr>
        <w:t> </w:t>
      </w:r>
      <w:r>
        <w:rPr/>
        <w:t>pertanto,</w:t>
      </w:r>
      <w:r>
        <w:rPr>
          <w:spacing w:val="-13"/>
        </w:rPr>
        <w:t> </w:t>
      </w:r>
      <w:r>
        <w:rPr/>
        <w:t>potranno</w:t>
      </w:r>
      <w:r>
        <w:rPr>
          <w:spacing w:val="-15"/>
        </w:rPr>
        <w:t> </w:t>
      </w:r>
      <w:r>
        <w:rPr/>
        <w:t>essere</w:t>
      </w:r>
      <w:r>
        <w:rPr>
          <w:spacing w:val="-13"/>
        </w:rPr>
        <w:t> </w:t>
      </w:r>
      <w:r>
        <w:rPr/>
        <w:t>messi</w:t>
      </w:r>
      <w:r>
        <w:rPr>
          <w:spacing w:val="-15"/>
        </w:rPr>
        <w:t> </w:t>
      </w:r>
      <w:r>
        <w:rPr/>
        <w:t>in</w:t>
      </w:r>
      <w:r>
        <w:rPr>
          <w:spacing w:val="-14"/>
        </w:rPr>
        <w:t> </w:t>
      </w:r>
      <w:r>
        <w:rPr/>
        <w:t>vendita</w:t>
      </w:r>
      <w:r>
        <w:rPr>
          <w:spacing w:val="-14"/>
        </w:rPr>
        <w:t> </w:t>
      </w:r>
      <w:r>
        <w:rPr/>
        <w:t>successivamente all’espletamento di tali</w:t>
      </w:r>
      <w:r>
        <w:rPr>
          <w:spacing w:val="-1"/>
        </w:rPr>
        <w:t> </w:t>
      </w:r>
      <w:r>
        <w:rPr/>
        <w:t>attività.</w:t>
      </w:r>
    </w:p>
    <w:p>
      <w:pPr>
        <w:pStyle w:val="BodyText"/>
        <w:spacing w:line="252" w:lineRule="auto" w:before="2"/>
        <w:ind w:left="278" w:right="2260" w:firstLine="453"/>
        <w:jc w:val="both"/>
      </w:pPr>
      <w:r>
        <w:rPr/>
        <w:t>Al</w:t>
      </w:r>
      <w:r>
        <w:rPr>
          <w:spacing w:val="-6"/>
        </w:rPr>
        <w:t> </w:t>
      </w:r>
      <w:r>
        <w:rPr/>
        <w:t>conseguimento</w:t>
      </w:r>
      <w:r>
        <w:rPr>
          <w:spacing w:val="-6"/>
        </w:rPr>
        <w:t> </w:t>
      </w:r>
      <w:r>
        <w:rPr/>
        <w:t>degli</w:t>
      </w:r>
      <w:r>
        <w:rPr>
          <w:spacing w:val="-6"/>
        </w:rPr>
        <w:t> </w:t>
      </w:r>
      <w:r>
        <w:rPr/>
        <w:t>obiettivi</w:t>
      </w:r>
      <w:r>
        <w:rPr>
          <w:spacing w:val="-4"/>
        </w:rPr>
        <w:t> </w:t>
      </w:r>
      <w:r>
        <w:rPr/>
        <w:t>fissati</w:t>
      </w:r>
      <w:r>
        <w:rPr>
          <w:spacing w:val="-6"/>
        </w:rPr>
        <w:t> </w:t>
      </w:r>
      <w:r>
        <w:rPr/>
        <w:t>per</w:t>
      </w:r>
      <w:r>
        <w:rPr>
          <w:spacing w:val="-5"/>
        </w:rPr>
        <w:t> </w:t>
      </w:r>
      <w:r>
        <w:rPr/>
        <w:t>il</w:t>
      </w:r>
      <w:r>
        <w:rPr>
          <w:spacing w:val="-6"/>
        </w:rPr>
        <w:t> </w:t>
      </w:r>
      <w:r>
        <w:rPr/>
        <w:t>2019-2021</w:t>
      </w:r>
      <w:r>
        <w:rPr>
          <w:spacing w:val="-6"/>
        </w:rPr>
        <w:t> </w:t>
      </w:r>
      <w:r>
        <w:rPr/>
        <w:t>contribuiranno</w:t>
      </w:r>
      <w:r>
        <w:rPr>
          <w:spacing w:val="-6"/>
        </w:rPr>
        <w:t> </w:t>
      </w:r>
      <w:r>
        <w:rPr/>
        <w:t>anche</w:t>
      </w:r>
      <w:r>
        <w:rPr>
          <w:spacing w:val="-5"/>
        </w:rPr>
        <w:t> </w:t>
      </w:r>
      <w:r>
        <w:rPr/>
        <w:t>i proventi</w:t>
      </w:r>
      <w:r>
        <w:rPr>
          <w:spacing w:val="-15"/>
        </w:rPr>
        <w:t> </w:t>
      </w:r>
      <w:r>
        <w:rPr/>
        <w:t>derivanti</w:t>
      </w:r>
      <w:r>
        <w:rPr>
          <w:spacing w:val="-14"/>
        </w:rPr>
        <w:t> </w:t>
      </w:r>
      <w:r>
        <w:rPr/>
        <w:t>dalla</w:t>
      </w:r>
      <w:r>
        <w:rPr>
          <w:spacing w:val="-16"/>
        </w:rPr>
        <w:t> </w:t>
      </w:r>
      <w:r>
        <w:rPr/>
        <w:t>dismissione</w:t>
      </w:r>
      <w:r>
        <w:rPr>
          <w:spacing w:val="-14"/>
        </w:rPr>
        <w:t> </w:t>
      </w:r>
      <w:r>
        <w:rPr/>
        <w:t>degli</w:t>
      </w:r>
      <w:r>
        <w:rPr>
          <w:spacing w:val="-14"/>
        </w:rPr>
        <w:t> </w:t>
      </w:r>
      <w:r>
        <w:rPr/>
        <w:t>immobili</w:t>
      </w:r>
      <w:r>
        <w:rPr>
          <w:spacing w:val="-14"/>
        </w:rPr>
        <w:t> </w:t>
      </w:r>
      <w:r>
        <w:rPr/>
        <w:t>di</w:t>
      </w:r>
      <w:r>
        <w:rPr>
          <w:spacing w:val="-14"/>
        </w:rPr>
        <w:t> </w:t>
      </w:r>
      <w:r>
        <w:rPr/>
        <w:t>provenienza</w:t>
      </w:r>
      <w:r>
        <w:rPr>
          <w:spacing w:val="-14"/>
        </w:rPr>
        <w:t> </w:t>
      </w:r>
      <w:r>
        <w:rPr/>
        <w:t>pubblica</w:t>
      </w:r>
      <w:r>
        <w:rPr>
          <w:spacing w:val="-14"/>
        </w:rPr>
        <w:t> </w:t>
      </w:r>
      <w:r>
        <w:rPr/>
        <w:t>conferiti ai</w:t>
      </w:r>
      <w:r>
        <w:rPr>
          <w:spacing w:val="-11"/>
        </w:rPr>
        <w:t> </w:t>
      </w:r>
      <w:r>
        <w:rPr/>
        <w:t>fondi</w:t>
      </w:r>
      <w:r>
        <w:rPr>
          <w:spacing w:val="-10"/>
        </w:rPr>
        <w:t> </w:t>
      </w:r>
      <w:r>
        <w:rPr/>
        <w:t>immobiliari</w:t>
      </w:r>
      <w:r>
        <w:rPr>
          <w:spacing w:val="-10"/>
        </w:rPr>
        <w:t> </w:t>
      </w:r>
      <w:r>
        <w:rPr/>
        <w:t>gestiti</w:t>
      </w:r>
      <w:r>
        <w:rPr>
          <w:spacing w:val="-10"/>
        </w:rPr>
        <w:t> </w:t>
      </w:r>
      <w:r>
        <w:rPr/>
        <w:t>da</w:t>
      </w:r>
      <w:r>
        <w:rPr>
          <w:spacing w:val="-10"/>
        </w:rPr>
        <w:t> </w:t>
      </w:r>
      <w:r>
        <w:rPr/>
        <w:t>Invimit</w:t>
      </w:r>
      <w:r>
        <w:rPr>
          <w:spacing w:val="-11"/>
        </w:rPr>
        <w:t> </w:t>
      </w:r>
      <w:r>
        <w:rPr/>
        <w:t>Sgr,</w:t>
      </w:r>
      <w:r>
        <w:rPr>
          <w:spacing w:val="-10"/>
        </w:rPr>
        <w:t> </w:t>
      </w:r>
      <w:r>
        <w:rPr/>
        <w:t>società</w:t>
      </w:r>
      <w:r>
        <w:rPr>
          <w:spacing w:val="-13"/>
        </w:rPr>
        <w:t> </w:t>
      </w:r>
      <w:r>
        <w:rPr/>
        <w:t>interamente</w:t>
      </w:r>
      <w:r>
        <w:rPr>
          <w:spacing w:val="-10"/>
        </w:rPr>
        <w:t> </w:t>
      </w:r>
      <w:r>
        <w:rPr/>
        <w:t>partecipata</w:t>
      </w:r>
      <w:r>
        <w:rPr>
          <w:spacing w:val="-8"/>
        </w:rPr>
        <w:t> </w:t>
      </w:r>
      <w:r>
        <w:rPr/>
        <w:t>dal</w:t>
      </w:r>
      <w:r>
        <w:rPr>
          <w:spacing w:val="-10"/>
        </w:rPr>
        <w:t> </w:t>
      </w:r>
      <w:r>
        <w:rPr/>
        <w:t>MEF, per un importo stimato complessivamente in 610 milioni, di cui 500 milioni attraverso la cessione, entro l’anno, di quote dei fondi e 110 milioni attraverso la vendita</w:t>
      </w:r>
      <w:r>
        <w:rPr>
          <w:spacing w:val="-9"/>
        </w:rPr>
        <w:t> </w:t>
      </w:r>
      <w:r>
        <w:rPr/>
        <w:t>diretta</w:t>
      </w:r>
      <w:r>
        <w:rPr>
          <w:spacing w:val="-9"/>
        </w:rPr>
        <w:t> </w:t>
      </w:r>
      <w:r>
        <w:rPr/>
        <w:t>di</w:t>
      </w:r>
      <w:r>
        <w:rPr>
          <w:spacing w:val="-9"/>
        </w:rPr>
        <w:t> </w:t>
      </w:r>
      <w:r>
        <w:rPr/>
        <w:t>immobili</w:t>
      </w:r>
      <w:r>
        <w:rPr>
          <w:spacing w:val="-8"/>
        </w:rPr>
        <w:t> </w:t>
      </w:r>
      <w:r>
        <w:rPr/>
        <w:t>con</w:t>
      </w:r>
      <w:r>
        <w:rPr>
          <w:spacing w:val="-9"/>
        </w:rPr>
        <w:t> </w:t>
      </w:r>
      <w:r>
        <w:rPr/>
        <w:t>un’innovativa</w:t>
      </w:r>
      <w:r>
        <w:rPr>
          <w:spacing w:val="-9"/>
        </w:rPr>
        <w:t> </w:t>
      </w:r>
      <w:r>
        <w:rPr/>
        <w:t>procedura</w:t>
      </w:r>
      <w:r>
        <w:rPr>
          <w:spacing w:val="-9"/>
        </w:rPr>
        <w:t> </w:t>
      </w:r>
      <w:r>
        <w:rPr/>
        <w:t>di</w:t>
      </w:r>
      <w:r>
        <w:rPr>
          <w:spacing w:val="-11"/>
        </w:rPr>
        <w:t> </w:t>
      </w:r>
      <w:r>
        <w:rPr/>
        <w:t>asta.</w:t>
      </w:r>
      <w:r>
        <w:rPr>
          <w:spacing w:val="-10"/>
        </w:rPr>
        <w:t> </w:t>
      </w:r>
      <w:r>
        <w:rPr/>
        <w:t>Relativamente</w:t>
      </w:r>
      <w:r>
        <w:rPr>
          <w:spacing w:val="-9"/>
        </w:rPr>
        <w:t> </w:t>
      </w:r>
      <w:r>
        <w:rPr/>
        <w:t>alla cessione</w:t>
      </w:r>
      <w:r>
        <w:rPr>
          <w:spacing w:val="-15"/>
        </w:rPr>
        <w:t> </w:t>
      </w:r>
      <w:r>
        <w:rPr/>
        <w:t>delle</w:t>
      </w:r>
      <w:r>
        <w:rPr>
          <w:spacing w:val="-14"/>
        </w:rPr>
        <w:t> </w:t>
      </w:r>
      <w:r>
        <w:rPr/>
        <w:t>quote,</w:t>
      </w:r>
      <w:r>
        <w:rPr>
          <w:spacing w:val="-16"/>
        </w:rPr>
        <w:t> </w:t>
      </w:r>
      <w:r>
        <w:rPr/>
        <w:t>con</w:t>
      </w:r>
      <w:r>
        <w:rPr>
          <w:spacing w:val="-14"/>
        </w:rPr>
        <w:t> </w:t>
      </w:r>
      <w:r>
        <w:rPr/>
        <w:t>decreto</w:t>
      </w:r>
      <w:r>
        <w:rPr>
          <w:spacing w:val="-14"/>
        </w:rPr>
        <w:t> </w:t>
      </w:r>
      <w:r>
        <w:rPr/>
        <w:t>MEF</w:t>
      </w:r>
      <w:r>
        <w:rPr>
          <w:spacing w:val="-17"/>
        </w:rPr>
        <w:t> </w:t>
      </w:r>
      <w:r>
        <w:rPr/>
        <w:t>del</w:t>
      </w:r>
      <w:r>
        <w:rPr>
          <w:spacing w:val="-14"/>
        </w:rPr>
        <w:t> </w:t>
      </w:r>
      <w:r>
        <w:rPr/>
        <w:t>20</w:t>
      </w:r>
      <w:r>
        <w:rPr>
          <w:spacing w:val="-15"/>
        </w:rPr>
        <w:t> </w:t>
      </w:r>
      <w:r>
        <w:rPr/>
        <w:t>agosto</w:t>
      </w:r>
      <w:r>
        <w:rPr>
          <w:spacing w:val="-14"/>
        </w:rPr>
        <w:t> </w:t>
      </w:r>
      <w:r>
        <w:rPr/>
        <w:t>2019</w:t>
      </w:r>
      <w:r>
        <w:rPr>
          <w:spacing w:val="-15"/>
        </w:rPr>
        <w:t> </w:t>
      </w:r>
      <w:r>
        <w:rPr/>
        <w:t>è</w:t>
      </w:r>
      <w:r>
        <w:rPr>
          <w:spacing w:val="-14"/>
        </w:rPr>
        <w:t> </w:t>
      </w:r>
      <w:r>
        <w:rPr/>
        <w:t>stato</w:t>
      </w:r>
      <w:r>
        <w:rPr>
          <w:spacing w:val="-14"/>
        </w:rPr>
        <w:t> </w:t>
      </w:r>
      <w:r>
        <w:rPr/>
        <w:t>costituito</w:t>
      </w:r>
      <w:r>
        <w:rPr>
          <w:spacing w:val="-14"/>
        </w:rPr>
        <w:t> </w:t>
      </w:r>
      <w:r>
        <w:rPr/>
        <w:t>un</w:t>
      </w:r>
      <w:r>
        <w:rPr>
          <w:spacing w:val="-15"/>
        </w:rPr>
        <w:t> </w:t>
      </w:r>
      <w:r>
        <w:rPr/>
        <w:t>fondo riservato multi comparto di tipo chiuso (fondo ‘Dante’), a cui verranno apportati immobili pubblici per un valore di circa 500 milioni. Si tratta, in particolare, di immobili di pregio localizzati prevalentemente nelle zone centrali delle principali città italiane, in grado di assicurare un rendimento adeguato rispetto alle richieste degli investitori, soprattutto quelli istituzionali. I proventi generati dalla vendita delle quote dei fondi INVIMIT potranno essere contabilizzati a riduzione dell’indebitamento</w:t>
      </w:r>
      <w:r>
        <w:rPr>
          <w:spacing w:val="-2"/>
        </w:rPr>
        <w:t> </w:t>
      </w:r>
      <w:r>
        <w:rPr/>
        <w:t>netto.</w:t>
      </w:r>
    </w:p>
    <w:p>
      <w:pPr>
        <w:pStyle w:val="BodyText"/>
        <w:spacing w:line="252" w:lineRule="auto"/>
        <w:ind w:left="278" w:right="2262" w:firstLine="453"/>
        <w:jc w:val="both"/>
        <w:rPr>
          <w:i/>
        </w:rPr>
      </w:pPr>
      <w:r>
        <w:rPr/>
        <w:t>I</w:t>
      </w:r>
      <w:r>
        <w:rPr>
          <w:spacing w:val="-18"/>
        </w:rPr>
        <w:t> </w:t>
      </w:r>
      <w:r>
        <w:rPr/>
        <w:t>portafogli</w:t>
      </w:r>
      <w:r>
        <w:rPr>
          <w:spacing w:val="-19"/>
        </w:rPr>
        <w:t> </w:t>
      </w:r>
      <w:r>
        <w:rPr/>
        <w:t>immobiliari</w:t>
      </w:r>
      <w:r>
        <w:rPr>
          <w:spacing w:val="-18"/>
        </w:rPr>
        <w:t> </w:t>
      </w:r>
      <w:r>
        <w:rPr/>
        <w:t>pubblici</w:t>
      </w:r>
      <w:r>
        <w:rPr>
          <w:spacing w:val="-18"/>
        </w:rPr>
        <w:t> </w:t>
      </w:r>
      <w:r>
        <w:rPr/>
        <w:t>conferiti</w:t>
      </w:r>
      <w:r>
        <w:rPr>
          <w:spacing w:val="-19"/>
        </w:rPr>
        <w:t> </w:t>
      </w:r>
      <w:r>
        <w:rPr/>
        <w:t>nei</w:t>
      </w:r>
      <w:r>
        <w:rPr>
          <w:spacing w:val="-19"/>
        </w:rPr>
        <w:t> </w:t>
      </w:r>
      <w:r>
        <w:rPr/>
        <w:t>fondi</w:t>
      </w:r>
      <w:r>
        <w:rPr>
          <w:spacing w:val="-19"/>
        </w:rPr>
        <w:t> </w:t>
      </w:r>
      <w:r>
        <w:rPr/>
        <w:t>immobiliari</w:t>
      </w:r>
      <w:r>
        <w:rPr>
          <w:spacing w:val="-18"/>
        </w:rPr>
        <w:t> </w:t>
      </w:r>
      <w:r>
        <w:rPr/>
        <w:t>gestiti</w:t>
      </w:r>
      <w:r>
        <w:rPr>
          <w:spacing w:val="-19"/>
        </w:rPr>
        <w:t> </w:t>
      </w:r>
      <w:r>
        <w:rPr/>
        <w:t>da</w:t>
      </w:r>
      <w:r>
        <w:rPr>
          <w:spacing w:val="-19"/>
        </w:rPr>
        <w:t> </w:t>
      </w:r>
      <w:r>
        <w:rPr/>
        <w:t>Invimit già operativi hanno un valore, al 30 giugno 2019, pari a circa 1.485 milioni</w:t>
      </w:r>
      <w:r>
        <w:rPr>
          <w:vertAlign w:val="superscript"/>
        </w:rPr>
        <w:t>56</w:t>
      </w:r>
      <w:r>
        <w:rPr>
          <w:vertAlign w:val="baseline"/>
        </w:rPr>
        <w:t> (in crescita rispetto ai 1.086 milioni al 30 giugno 2018) così ripartiti: 102,744 milioni per il fondo i3-INAIL, 231,583 milioni per il fondo i3-Regione Lazio, 73,49 milioni per il fondo i3- Università, 81,84 milioni per il Comparto 8-</w:t>
      </w:r>
      <w:r>
        <w:rPr>
          <w:i/>
          <w:vertAlign w:val="baseline"/>
        </w:rPr>
        <w:t>quater </w:t>
      </w:r>
      <w:r>
        <w:rPr>
          <w:vertAlign w:val="baseline"/>
        </w:rPr>
        <w:t>e 65,64 milioni per il Comparto </w:t>
      </w:r>
      <w:r>
        <w:rPr>
          <w:i/>
          <w:vertAlign w:val="baseline"/>
        </w:rPr>
        <w:t>8-ter </w:t>
      </w:r>
      <w:r>
        <w:rPr>
          <w:vertAlign w:val="baseline"/>
        </w:rPr>
        <w:t>del fondo i3-Sviluppo Italia, 440,022 milioni per il fondo i3- Inps, 489,98 milioni per il fondo i3-Patrimonio</w:t>
      </w:r>
      <w:r>
        <w:rPr>
          <w:spacing w:val="-9"/>
          <w:vertAlign w:val="baseline"/>
        </w:rPr>
        <w:t> </w:t>
      </w:r>
      <w:r>
        <w:rPr>
          <w:vertAlign w:val="baseline"/>
        </w:rPr>
        <w:t>Italia</w:t>
      </w:r>
      <w:r>
        <w:rPr>
          <w:i/>
          <w:vertAlign w:val="baseline"/>
        </w:rPr>
        <w:t>.</w:t>
      </w:r>
    </w:p>
    <w:p>
      <w:pPr>
        <w:pStyle w:val="BodyText"/>
        <w:rPr>
          <w:i/>
          <w:sz w:val="20"/>
        </w:rPr>
      </w:pPr>
    </w:p>
    <w:p>
      <w:pPr>
        <w:pStyle w:val="BodyText"/>
        <w:rPr>
          <w:i/>
          <w:sz w:val="20"/>
        </w:rPr>
      </w:pPr>
    </w:p>
    <w:p>
      <w:pPr>
        <w:pStyle w:val="BodyText"/>
        <w:spacing w:before="1"/>
        <w:rPr>
          <w:i/>
          <w:sz w:val="29"/>
        </w:rPr>
      </w:pPr>
      <w:r>
        <w:rPr/>
        <w:pict>
          <v:group style="position:absolute;margin-left:93.599998pt;margin-top:18.885527pt;width:21.4pt;height:2.15pt;mso-position-horizontal-relative:page;mso-position-vertical-relative:paragraph;z-index:-251460608;mso-wrap-distance-left:0;mso-wrap-distance-right:0" coordorigin="1872,378" coordsize="428,43">
            <v:line style="position:absolute" from="1872,398" to="2299,398" stroked="true" strokeweight="2.050pt" strokecolor="#aaaaaa">
              <v:stroke dashstyle="solid"/>
            </v:line>
            <v:rect style="position:absolute;left:1872;top:379;width:5;height:5" filled="true" fillcolor="#9f9f9f" stroked="false">
              <v:fill type="solid"/>
            </v:rect>
            <v:rect style="position:absolute;left:1872;top:379;width:5;height:5" filled="true" fillcolor="#9f9f9f" stroked="false">
              <v:fill type="solid"/>
            </v:rect>
            <v:line style="position:absolute" from="1877,382" to="2295,382" stroked="true" strokeweight=".23999pt" strokecolor="#9f9f9f">
              <v:stroke dashstyle="solid"/>
            </v:line>
            <v:rect style="position:absolute;left:2294;top:379;width:5;height:5" filled="true" fillcolor="#e2e2e2" stroked="false">
              <v:fill type="solid"/>
            </v:rect>
            <v:rect style="position:absolute;left:2294;top:379;width:5;height:5" filled="true" fillcolor="#9f9f9f" stroked="false">
              <v:fill type="solid"/>
            </v:rect>
            <v:rect style="position:absolute;left:1872;top:384;width:5;height:32" filled="true" fillcolor="#9f9f9f" stroked="false">
              <v:fill type="solid"/>
            </v:rect>
            <v:rect style="position:absolute;left:2294;top:384;width:5;height:32" filled="true" fillcolor="#e2e2e2" stroked="false">
              <v:fill type="solid"/>
            </v:rect>
            <v:rect style="position:absolute;left:1872;top:415;width:5;height:5" filled="true" fillcolor="#9f9f9f" stroked="false">
              <v:fill type="solid"/>
            </v:rect>
            <v:rect style="position:absolute;left:1872;top:415;width:5;height:5" filled="true" fillcolor="#e2e2e2" stroked="false">
              <v:fill type="solid"/>
            </v:rect>
            <v:line style="position:absolute" from="1877,418" to="2295,418" stroked="true" strokeweight=".23999pt" strokecolor="#e2e2e2">
              <v:stroke dashstyle="solid"/>
            </v:line>
            <v:rect style="position:absolute;left:2294;top:415;width:5;height:5" filled="true" fillcolor="#e2e2e2" stroked="false">
              <v:fill type="solid"/>
            </v:rect>
            <v:rect style="position:absolute;left:2294;top:415;width:5;height:5" filled="true" fillcolor="#e2e2e2" stroked="false">
              <v:fill type="solid"/>
            </v:rect>
            <w10:wrap type="topAndBottom"/>
          </v:group>
        </w:pict>
      </w:r>
    </w:p>
    <w:p>
      <w:pPr>
        <w:spacing w:before="20"/>
        <w:ind w:left="732" w:right="0" w:firstLine="0"/>
        <w:jc w:val="left"/>
        <w:rPr>
          <w:sz w:val="16"/>
        </w:rPr>
      </w:pPr>
      <w:r>
        <w:rPr>
          <w:position w:val="6"/>
          <w:sz w:val="10"/>
        </w:rPr>
        <w:t>56 </w:t>
      </w:r>
      <w:r>
        <w:rPr>
          <w:sz w:val="16"/>
        </w:rPr>
        <w:t>Relazioni semestrali dei fondi gestiti da Invimit Sgr al 30 giugno 2019.</w:t>
      </w:r>
    </w:p>
    <w:p>
      <w:pPr>
        <w:spacing w:after="0"/>
        <w:jc w:val="left"/>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4"/>
        <w:rPr>
          <w:sz w:val="24"/>
        </w:rPr>
      </w:pPr>
    </w:p>
    <w:p>
      <w:pPr>
        <w:pStyle w:val="Heading3"/>
        <w:spacing w:before="99"/>
        <w:ind w:left="1128"/>
      </w:pPr>
      <w:r>
        <w:rPr>
          <w:color w:val="585858"/>
        </w:rPr>
        <w:t>Privatizzazioni</w:t>
      </w:r>
    </w:p>
    <w:p>
      <w:pPr>
        <w:pStyle w:val="BodyText"/>
        <w:spacing w:line="252" w:lineRule="auto" w:before="153"/>
        <w:ind w:left="1128" w:right="1413" w:firstLine="453"/>
        <w:jc w:val="both"/>
      </w:pPr>
      <w:r>
        <w:rPr/>
        <w:t>In fase di aggiornamento del piano di dismissioni enunciato nell’ultimo Documento di Economia e Finanza, con riferimento alle società direttamente o indirettamente controllate dallo Stato, il Ministero dell’Economia e delle Finanze rivede</w:t>
      </w:r>
      <w:r>
        <w:rPr>
          <w:spacing w:val="-4"/>
        </w:rPr>
        <w:t> </w:t>
      </w:r>
      <w:r>
        <w:rPr/>
        <w:t>a</w:t>
      </w:r>
      <w:r>
        <w:rPr>
          <w:spacing w:val="-5"/>
        </w:rPr>
        <w:t> </w:t>
      </w:r>
      <w:r>
        <w:rPr/>
        <w:t>0,0</w:t>
      </w:r>
      <w:r>
        <w:rPr>
          <w:spacing w:val="-5"/>
        </w:rPr>
        <w:t> </w:t>
      </w:r>
      <w:r>
        <w:rPr/>
        <w:t>punti</w:t>
      </w:r>
      <w:r>
        <w:rPr>
          <w:spacing w:val="-4"/>
        </w:rPr>
        <w:t> </w:t>
      </w:r>
      <w:r>
        <w:rPr/>
        <w:t>percentuali</w:t>
      </w:r>
      <w:r>
        <w:rPr>
          <w:spacing w:val="-5"/>
        </w:rPr>
        <w:t> </w:t>
      </w:r>
      <w:r>
        <w:rPr/>
        <w:t>di</w:t>
      </w:r>
      <w:r>
        <w:rPr>
          <w:spacing w:val="-5"/>
        </w:rPr>
        <w:t> </w:t>
      </w:r>
      <w:r>
        <w:rPr/>
        <w:t>PIL</w:t>
      </w:r>
      <w:r>
        <w:rPr>
          <w:spacing w:val="-2"/>
        </w:rPr>
        <w:t> </w:t>
      </w:r>
      <w:r>
        <w:rPr/>
        <w:t>l’obiettivo</w:t>
      </w:r>
      <w:r>
        <w:rPr>
          <w:spacing w:val="-3"/>
        </w:rPr>
        <w:t> </w:t>
      </w:r>
      <w:r>
        <w:rPr/>
        <w:t>di</w:t>
      </w:r>
      <w:r>
        <w:rPr>
          <w:spacing w:val="-5"/>
        </w:rPr>
        <w:t> </w:t>
      </w:r>
      <w:r>
        <w:rPr/>
        <w:t>proventi</w:t>
      </w:r>
      <w:r>
        <w:rPr>
          <w:spacing w:val="-5"/>
        </w:rPr>
        <w:t> </w:t>
      </w:r>
      <w:r>
        <w:rPr/>
        <w:t>per</w:t>
      </w:r>
      <w:r>
        <w:rPr>
          <w:spacing w:val="-2"/>
        </w:rPr>
        <w:t> </w:t>
      </w:r>
      <w:r>
        <w:rPr/>
        <w:t>il</w:t>
      </w:r>
      <w:r>
        <w:rPr>
          <w:spacing w:val="-5"/>
        </w:rPr>
        <w:t> </w:t>
      </w:r>
      <w:r>
        <w:rPr/>
        <w:t>2019</w:t>
      </w:r>
      <w:r>
        <w:rPr>
          <w:spacing w:val="-5"/>
        </w:rPr>
        <w:t> </w:t>
      </w:r>
      <w:r>
        <w:rPr/>
        <w:t>e</w:t>
      </w:r>
      <w:r>
        <w:rPr>
          <w:spacing w:val="-2"/>
        </w:rPr>
        <w:t> </w:t>
      </w:r>
      <w:r>
        <w:rPr/>
        <w:t>a</w:t>
      </w:r>
      <w:r>
        <w:rPr>
          <w:spacing w:val="-4"/>
        </w:rPr>
        <w:t> </w:t>
      </w:r>
      <w:r>
        <w:rPr/>
        <w:t>0,2</w:t>
      </w:r>
      <w:r>
        <w:rPr>
          <w:spacing w:val="-4"/>
        </w:rPr>
        <w:t> </w:t>
      </w:r>
      <w:r>
        <w:rPr/>
        <w:t>punti percentuali l’obiettivo per il 2020. Si introduce, inoltre, un obiettivo di introiti di 0,2 per cento del PIL all’anno per il biennio 2021-2022. Tali obiettivi comprendono dividendi</w:t>
      </w:r>
      <w:r>
        <w:rPr>
          <w:spacing w:val="-16"/>
        </w:rPr>
        <w:t> </w:t>
      </w:r>
      <w:r>
        <w:rPr/>
        <w:t>straordinari</w:t>
      </w:r>
      <w:r>
        <w:rPr>
          <w:spacing w:val="-15"/>
        </w:rPr>
        <w:t> </w:t>
      </w:r>
      <w:r>
        <w:rPr/>
        <w:t>e</w:t>
      </w:r>
      <w:r>
        <w:rPr>
          <w:spacing w:val="-16"/>
        </w:rPr>
        <w:t> </w:t>
      </w:r>
      <w:r>
        <w:rPr/>
        <w:t>altri</w:t>
      </w:r>
      <w:r>
        <w:rPr>
          <w:spacing w:val="-15"/>
        </w:rPr>
        <w:t> </w:t>
      </w:r>
      <w:r>
        <w:rPr/>
        <w:t>proventi</w:t>
      </w:r>
      <w:r>
        <w:rPr>
          <w:spacing w:val="-16"/>
        </w:rPr>
        <w:t> </w:t>
      </w:r>
      <w:r>
        <w:rPr/>
        <w:t>finanziari</w:t>
      </w:r>
      <w:r>
        <w:rPr>
          <w:spacing w:val="-18"/>
        </w:rPr>
        <w:t> </w:t>
      </w:r>
      <w:r>
        <w:rPr/>
        <w:t>destinati</w:t>
      </w:r>
      <w:r>
        <w:rPr>
          <w:spacing w:val="-16"/>
        </w:rPr>
        <w:t> </w:t>
      </w:r>
      <w:r>
        <w:rPr/>
        <w:t>al</w:t>
      </w:r>
      <w:r>
        <w:rPr>
          <w:spacing w:val="-16"/>
        </w:rPr>
        <w:t> </w:t>
      </w:r>
      <w:r>
        <w:rPr/>
        <w:t>Fondo</w:t>
      </w:r>
      <w:r>
        <w:rPr>
          <w:spacing w:val="-16"/>
        </w:rPr>
        <w:t> </w:t>
      </w:r>
      <w:r>
        <w:rPr/>
        <w:t>di</w:t>
      </w:r>
      <w:r>
        <w:rPr>
          <w:spacing w:val="-17"/>
        </w:rPr>
        <w:t> </w:t>
      </w:r>
      <w:r>
        <w:rPr/>
        <w:t>ammortamento del debito</w:t>
      </w:r>
      <w:r>
        <w:rPr>
          <w:spacing w:val="-2"/>
        </w:rPr>
        <w:t> </w:t>
      </w:r>
      <w:r>
        <w:rPr/>
        <w:t>pubblico.</w:t>
      </w:r>
    </w:p>
    <w:p>
      <w:pPr>
        <w:spacing w:after="0" w:line="252" w:lineRule="auto"/>
        <w:jc w:val="both"/>
        <w:sectPr>
          <w:pgSz w:w="11910" w:h="16840"/>
          <w:pgMar w:header="838" w:footer="866" w:top="1100" w:bottom="1060" w:left="1140" w:right="0"/>
        </w:sectPr>
      </w:pPr>
    </w:p>
    <w:p>
      <w:pPr>
        <w:pStyle w:val="BodyText"/>
        <w:spacing w:line="20" w:lineRule="exact"/>
        <w:ind w:left="245"/>
        <w:rPr>
          <w:sz w:val="2"/>
        </w:rPr>
      </w:pPr>
      <w:r>
        <w:rPr>
          <w:sz w:val="2"/>
        </w:rPr>
        <w:pict>
          <v:group style="width:413.95pt;height:.5pt;mso-position-horizontal-relative:char;mso-position-vertical-relative:line" coordorigin="0,0" coordsize="8279,10">
            <v:line style="position:absolute" from="0,5" to="8279,5" stroked="true" strokeweight=".48pt" strokecolor="#000000">
              <v:stroke dashstyle="solid"/>
            </v:line>
          </v:group>
        </w:pict>
      </w:r>
      <w:r>
        <w:rPr>
          <w:sz w:val="2"/>
        </w:rPr>
      </w:r>
    </w:p>
    <w:p>
      <w:pPr>
        <w:pStyle w:val="BodyText"/>
        <w:rPr>
          <w:sz w:val="20"/>
        </w:rPr>
      </w:pPr>
    </w:p>
    <w:p>
      <w:pPr>
        <w:pStyle w:val="BodyText"/>
        <w:rPr>
          <w:sz w:val="20"/>
        </w:rPr>
      </w:pPr>
    </w:p>
    <w:p>
      <w:pPr>
        <w:pStyle w:val="BodyText"/>
        <w:spacing w:before="9"/>
        <w:rPr>
          <w:sz w:val="21"/>
        </w:rPr>
      </w:pPr>
    </w:p>
    <w:p>
      <w:pPr>
        <w:pStyle w:val="Heading1"/>
        <w:numPr>
          <w:ilvl w:val="0"/>
          <w:numId w:val="2"/>
        </w:numPr>
        <w:tabs>
          <w:tab w:pos="755" w:val="left" w:leader="none"/>
        </w:tabs>
        <w:spacing w:line="240" w:lineRule="auto" w:before="100" w:after="0"/>
        <w:ind w:left="790" w:right="3739" w:hanging="512"/>
        <w:jc w:val="left"/>
      </w:pPr>
      <w:bookmarkStart w:name="CAPITOLO IV" w:id="11"/>
      <w:bookmarkEnd w:id="11"/>
      <w:r>
        <w:rPr>
          <w:b w:val="0"/>
        </w:rPr>
      </w:r>
      <w:bookmarkStart w:name="CAPITOLO IV" w:id="12"/>
      <w:bookmarkEnd w:id="12"/>
      <w:r>
        <w:rPr>
          <w:color w:val="086D44"/>
        </w:rPr>
        <w:t>LE</w:t>
      </w:r>
      <w:r>
        <w:rPr>
          <w:color w:val="086D44"/>
        </w:rPr>
        <w:t> RIFORME E LE RACCOMANDAZIONI</w:t>
      </w:r>
      <w:r>
        <w:rPr>
          <w:color w:val="086D44"/>
          <w:spacing w:val="-20"/>
        </w:rPr>
        <w:t> </w:t>
      </w:r>
      <w:r>
        <w:rPr>
          <w:color w:val="086D44"/>
        </w:rPr>
        <w:t>DEL CONSIGLIO DELL’UNIONE</w:t>
      </w:r>
      <w:r>
        <w:rPr>
          <w:color w:val="086D44"/>
          <w:spacing w:val="-4"/>
        </w:rPr>
        <w:t> </w:t>
      </w:r>
      <w:r>
        <w:rPr>
          <w:color w:val="086D44"/>
        </w:rPr>
        <w:t>EUROPEA</w:t>
      </w:r>
    </w:p>
    <w:p>
      <w:pPr>
        <w:pStyle w:val="BodyText"/>
        <w:rPr>
          <w:rFonts w:ascii="Franklin Gothic Heavy"/>
          <w:b/>
          <w:sz w:val="36"/>
        </w:rPr>
      </w:pPr>
    </w:p>
    <w:p>
      <w:pPr>
        <w:pStyle w:val="BodyText"/>
        <w:rPr>
          <w:rFonts w:ascii="Franklin Gothic Heavy"/>
          <w:b/>
          <w:sz w:val="36"/>
        </w:rPr>
      </w:pPr>
    </w:p>
    <w:p>
      <w:pPr>
        <w:pStyle w:val="BodyText"/>
        <w:spacing w:before="11"/>
        <w:rPr>
          <w:rFonts w:ascii="Franklin Gothic Heavy"/>
          <w:b/>
          <w:sz w:val="44"/>
        </w:rPr>
      </w:pPr>
    </w:p>
    <w:p>
      <w:pPr>
        <w:pStyle w:val="Heading3"/>
      </w:pPr>
      <w:r>
        <w:rPr>
          <w:color w:val="585858"/>
        </w:rPr>
        <w:t>Premessa</w:t>
      </w:r>
    </w:p>
    <w:p>
      <w:pPr>
        <w:pStyle w:val="BodyText"/>
        <w:spacing w:line="247" w:lineRule="auto" w:before="154"/>
        <w:ind w:left="278" w:right="2264" w:firstLine="453"/>
        <w:jc w:val="both"/>
      </w:pPr>
      <w:r>
        <w:rPr/>
        <w:t>Il presente capitolo aggiorna lo stato di attuazione delle riforme illustrate nel Programma Nazionale di Riforma dello scorso aprile e illustra gli obiettivi programmatici del nuovo Governo. In coerenza con le prescrizioni della legge di contabilità e finanza pubblica, il capitolo contiene, inoltre, le osservazioni e le eventuali modifiche e integrazioni della sezione terza del DEF in relazione alle raccomandazioni del Consiglio dell'Unione europea formulate nell’ambito del Semestre europeo. La strategia qui delineata sarà attuata a partire dalla prossima Legge di bilancio, che avrà il compito di indirizzare il Paese verso una solida prospettiva di sviluppo sostenibile.</w:t>
      </w:r>
    </w:p>
    <w:p>
      <w:pPr>
        <w:pStyle w:val="BodyText"/>
        <w:spacing w:line="247" w:lineRule="auto"/>
        <w:ind w:left="278" w:right="2262" w:firstLine="453"/>
        <w:jc w:val="both"/>
      </w:pPr>
      <w:r>
        <w:rPr/>
        <w:t>Il Governo ha recentemente presentato alle Camere le linee di azione che intende perseguire nel corso del suo mandato. In coerenza con tale dichiarazione programmatica, il presente capitolo illustra la strategia di riforma e le priorità di politica</w:t>
      </w:r>
      <w:r>
        <w:rPr>
          <w:spacing w:val="-12"/>
        </w:rPr>
        <w:t> </w:t>
      </w:r>
      <w:r>
        <w:rPr/>
        <w:t>economica</w:t>
      </w:r>
      <w:r>
        <w:rPr>
          <w:spacing w:val="-12"/>
        </w:rPr>
        <w:t> </w:t>
      </w:r>
      <w:r>
        <w:rPr/>
        <w:t>del</w:t>
      </w:r>
      <w:r>
        <w:rPr>
          <w:spacing w:val="-13"/>
        </w:rPr>
        <w:t> </w:t>
      </w:r>
      <w:r>
        <w:rPr/>
        <w:t>Governo,</w:t>
      </w:r>
      <w:r>
        <w:rPr>
          <w:spacing w:val="-12"/>
        </w:rPr>
        <w:t> </w:t>
      </w:r>
      <w:r>
        <w:rPr/>
        <w:t>che</w:t>
      </w:r>
      <w:r>
        <w:rPr>
          <w:spacing w:val="-13"/>
        </w:rPr>
        <w:t> </w:t>
      </w:r>
      <w:r>
        <w:rPr/>
        <w:t>saranno</w:t>
      </w:r>
      <w:r>
        <w:rPr>
          <w:spacing w:val="-13"/>
        </w:rPr>
        <w:t> </w:t>
      </w:r>
      <w:r>
        <w:rPr/>
        <w:t>orientate</w:t>
      </w:r>
      <w:r>
        <w:rPr>
          <w:spacing w:val="-13"/>
        </w:rPr>
        <w:t> </w:t>
      </w:r>
      <w:r>
        <w:rPr/>
        <w:t>alla</w:t>
      </w:r>
      <w:r>
        <w:rPr>
          <w:spacing w:val="-13"/>
        </w:rPr>
        <w:t> </w:t>
      </w:r>
      <w:r>
        <w:rPr/>
        <w:t>crescita,</w:t>
      </w:r>
      <w:r>
        <w:rPr>
          <w:spacing w:val="-12"/>
        </w:rPr>
        <w:t> </w:t>
      </w:r>
      <w:r>
        <w:rPr/>
        <w:t>all’equità,</w:t>
      </w:r>
      <w:r>
        <w:rPr>
          <w:spacing w:val="-12"/>
        </w:rPr>
        <w:t> </w:t>
      </w:r>
      <w:r>
        <w:rPr/>
        <w:t>alla tutela ambientale, al sostegno del mercato del lavoro, alla coesione sociale e territoriale. Tali linee programmatiche saranno ulteriormente sviluppate, anche a seguito del dibattito parlamentare sul disegno di legge di bilancio per il triennio 2020-2022, nell’ambito del Programma Nazionale di Riforma che verrà presentato con il DEF del prossimo</w:t>
      </w:r>
      <w:r>
        <w:rPr>
          <w:spacing w:val="-4"/>
        </w:rPr>
        <w:t> </w:t>
      </w:r>
      <w:r>
        <w:rPr/>
        <w:t>aprile.</w:t>
      </w:r>
    </w:p>
    <w:p>
      <w:pPr>
        <w:pStyle w:val="BodyText"/>
        <w:spacing w:line="247" w:lineRule="auto"/>
        <w:ind w:left="278" w:right="2261" w:firstLine="453"/>
        <w:jc w:val="both"/>
      </w:pPr>
      <w:r>
        <w:rPr/>
        <w:t>Una delle priorità del Governo è la realizzazione di un </w:t>
      </w:r>
      <w:r>
        <w:rPr>
          <w:i/>
        </w:rPr>
        <w:t>Green New Deal</w:t>
      </w:r>
      <w:r>
        <w:rPr/>
        <w:t>, che preveda</w:t>
      </w:r>
      <w:r>
        <w:rPr>
          <w:spacing w:val="-13"/>
        </w:rPr>
        <w:t> </w:t>
      </w:r>
      <w:r>
        <w:rPr/>
        <w:t>in</w:t>
      </w:r>
      <w:r>
        <w:rPr>
          <w:spacing w:val="-13"/>
        </w:rPr>
        <w:t> </w:t>
      </w:r>
      <w:r>
        <w:rPr/>
        <w:t>primo</w:t>
      </w:r>
      <w:r>
        <w:rPr>
          <w:spacing w:val="-13"/>
        </w:rPr>
        <w:t> </w:t>
      </w:r>
      <w:r>
        <w:rPr/>
        <w:t>luogo</w:t>
      </w:r>
      <w:r>
        <w:rPr>
          <w:spacing w:val="-12"/>
        </w:rPr>
        <w:t> </w:t>
      </w:r>
      <w:r>
        <w:rPr/>
        <w:t>la</w:t>
      </w:r>
      <w:r>
        <w:rPr>
          <w:spacing w:val="-13"/>
        </w:rPr>
        <w:t> </w:t>
      </w:r>
      <w:r>
        <w:rPr/>
        <w:t>realizzazione</w:t>
      </w:r>
      <w:r>
        <w:rPr>
          <w:spacing w:val="-13"/>
        </w:rPr>
        <w:t> </w:t>
      </w:r>
      <w:r>
        <w:rPr/>
        <w:t>di</w:t>
      </w:r>
      <w:r>
        <w:rPr>
          <w:spacing w:val="-12"/>
        </w:rPr>
        <w:t> </w:t>
      </w:r>
      <w:r>
        <w:rPr/>
        <w:t>un</w:t>
      </w:r>
      <w:r>
        <w:rPr>
          <w:spacing w:val="-13"/>
        </w:rPr>
        <w:t> </w:t>
      </w:r>
      <w:r>
        <w:rPr/>
        <w:t>piano</w:t>
      </w:r>
      <w:r>
        <w:rPr>
          <w:spacing w:val="-14"/>
        </w:rPr>
        <w:t> </w:t>
      </w:r>
      <w:r>
        <w:rPr/>
        <w:t>di</w:t>
      </w:r>
      <w:r>
        <w:rPr>
          <w:spacing w:val="-12"/>
        </w:rPr>
        <w:t> </w:t>
      </w:r>
      <w:r>
        <w:rPr/>
        <w:t>investimenti</w:t>
      </w:r>
      <w:r>
        <w:rPr>
          <w:spacing w:val="-12"/>
        </w:rPr>
        <w:t> </w:t>
      </w:r>
      <w:r>
        <w:rPr/>
        <w:t>pubblici</w:t>
      </w:r>
      <w:r>
        <w:rPr>
          <w:spacing w:val="-13"/>
        </w:rPr>
        <w:t> </w:t>
      </w:r>
      <w:r>
        <w:rPr/>
        <w:t>sinergici a quelli privati, che si intende stimolare e orientare. La sfida ambientale non può essere vinta opponendo la protezione dell’ecosistema alla crescita o affrontata in chiave di contrasto con il mondo produttivo e degli investimenti privati. Il binomio sostenibilità–investimenti deve essere rafforzato nel suo complesso. Lo sviluppo economico,</w:t>
      </w:r>
      <w:r>
        <w:rPr>
          <w:spacing w:val="-19"/>
        </w:rPr>
        <w:t> </w:t>
      </w:r>
      <w:r>
        <w:rPr/>
        <w:t>infatti,</w:t>
      </w:r>
      <w:r>
        <w:rPr>
          <w:spacing w:val="-18"/>
        </w:rPr>
        <w:t> </w:t>
      </w:r>
      <w:r>
        <w:rPr/>
        <w:t>deve</w:t>
      </w:r>
      <w:r>
        <w:rPr>
          <w:spacing w:val="-19"/>
        </w:rPr>
        <w:t> </w:t>
      </w:r>
      <w:r>
        <w:rPr/>
        <w:t>essere</w:t>
      </w:r>
      <w:r>
        <w:rPr>
          <w:spacing w:val="-19"/>
        </w:rPr>
        <w:t> </w:t>
      </w:r>
      <w:r>
        <w:rPr/>
        <w:t>al</w:t>
      </w:r>
      <w:r>
        <w:rPr>
          <w:spacing w:val="-19"/>
        </w:rPr>
        <w:t> </w:t>
      </w:r>
      <w:r>
        <w:rPr/>
        <w:t>contempo</w:t>
      </w:r>
      <w:r>
        <w:rPr>
          <w:spacing w:val="-21"/>
        </w:rPr>
        <w:t> </w:t>
      </w:r>
      <w:r>
        <w:rPr/>
        <w:t>causa</w:t>
      </w:r>
      <w:r>
        <w:rPr>
          <w:spacing w:val="-19"/>
        </w:rPr>
        <w:t> </w:t>
      </w:r>
      <w:r>
        <w:rPr/>
        <w:t>ed</w:t>
      </w:r>
      <w:r>
        <w:rPr>
          <w:spacing w:val="-19"/>
        </w:rPr>
        <w:t> </w:t>
      </w:r>
      <w:r>
        <w:rPr/>
        <w:t>effetto</w:t>
      </w:r>
      <w:r>
        <w:rPr>
          <w:spacing w:val="-19"/>
        </w:rPr>
        <w:t> </w:t>
      </w:r>
      <w:r>
        <w:rPr/>
        <w:t>di</w:t>
      </w:r>
      <w:r>
        <w:rPr>
          <w:spacing w:val="-20"/>
        </w:rPr>
        <w:t> </w:t>
      </w:r>
      <w:r>
        <w:rPr/>
        <w:t>una</w:t>
      </w:r>
      <w:r>
        <w:rPr>
          <w:spacing w:val="-19"/>
        </w:rPr>
        <w:t> </w:t>
      </w:r>
      <w:r>
        <w:rPr/>
        <w:t>maggiore</w:t>
      </w:r>
      <w:r>
        <w:rPr>
          <w:spacing w:val="-19"/>
        </w:rPr>
        <w:t> </w:t>
      </w:r>
      <w:r>
        <w:rPr/>
        <w:t>tutela ambientale,</w:t>
      </w:r>
      <w:r>
        <w:rPr>
          <w:spacing w:val="-8"/>
        </w:rPr>
        <w:t> </w:t>
      </w:r>
      <w:r>
        <w:rPr/>
        <w:t>creando</w:t>
      </w:r>
      <w:r>
        <w:rPr>
          <w:spacing w:val="-10"/>
        </w:rPr>
        <w:t> </w:t>
      </w:r>
      <w:r>
        <w:rPr/>
        <w:t>un</w:t>
      </w:r>
      <w:r>
        <w:rPr>
          <w:spacing w:val="-10"/>
        </w:rPr>
        <w:t> </w:t>
      </w:r>
      <w:r>
        <w:rPr/>
        <w:t>circolo</w:t>
      </w:r>
      <w:r>
        <w:rPr>
          <w:spacing w:val="-10"/>
        </w:rPr>
        <w:t> </w:t>
      </w:r>
      <w:r>
        <w:rPr/>
        <w:t>virtuoso.</w:t>
      </w:r>
      <w:r>
        <w:rPr>
          <w:spacing w:val="-8"/>
        </w:rPr>
        <w:t> </w:t>
      </w:r>
      <w:r>
        <w:rPr/>
        <w:t>A</w:t>
      </w:r>
      <w:r>
        <w:rPr>
          <w:spacing w:val="-9"/>
        </w:rPr>
        <w:t> </w:t>
      </w:r>
      <w:r>
        <w:rPr/>
        <w:t>tale</w:t>
      </w:r>
      <w:r>
        <w:rPr>
          <w:spacing w:val="-8"/>
        </w:rPr>
        <w:t> </w:t>
      </w:r>
      <w:r>
        <w:rPr/>
        <w:t>scopo</w:t>
      </w:r>
      <w:r>
        <w:rPr>
          <w:spacing w:val="-10"/>
        </w:rPr>
        <w:t> </w:t>
      </w:r>
      <w:r>
        <w:rPr/>
        <w:t>è</w:t>
      </w:r>
      <w:r>
        <w:rPr>
          <w:spacing w:val="-9"/>
        </w:rPr>
        <w:t> </w:t>
      </w:r>
      <w:r>
        <w:rPr/>
        <w:t>necessario</w:t>
      </w:r>
      <w:r>
        <w:rPr>
          <w:spacing w:val="-10"/>
        </w:rPr>
        <w:t> </w:t>
      </w:r>
      <w:r>
        <w:rPr/>
        <w:t>un</w:t>
      </w:r>
      <w:r>
        <w:rPr>
          <w:spacing w:val="-12"/>
        </w:rPr>
        <w:t> </w:t>
      </w:r>
      <w:r>
        <w:rPr/>
        <w:t>ripensamento dei modelli produttivi, al fine d’incrementare l’uso di tecnologie a basso impatto ambientale che consentano il contenimento delle emissioni nocive, coinvolgano un impiego crescente di risorse rinnovabili, sostituiscano progressivamente le fonti fossili e contestualmente assicurino una più elevata crescita della produttività del sistema</w:t>
      </w:r>
      <w:r>
        <w:rPr>
          <w:spacing w:val="-2"/>
        </w:rPr>
        <w:t> </w:t>
      </w:r>
      <w:r>
        <w:rPr/>
        <w:t>economico.</w:t>
      </w:r>
    </w:p>
    <w:p>
      <w:pPr>
        <w:pStyle w:val="BodyText"/>
        <w:spacing w:line="247" w:lineRule="auto"/>
        <w:ind w:left="278" w:right="2262" w:firstLine="453"/>
        <w:jc w:val="both"/>
      </w:pPr>
      <w:r>
        <w:rPr/>
        <w:t>Il Governo è impegnato quindi a definire una strategia capace di rilanciare la crescita potenziale attraverso un recupero di produttività e competitività. Produttività che deve essere intesa in senso ampio, dalle infrastrutture materiali a quelle immateriali, dall’educazione allo sviluppo delle competenze innovative, dall’intera catena del valore al rilancio della crescita del Sud.</w:t>
      </w:r>
    </w:p>
    <w:p>
      <w:pPr>
        <w:pStyle w:val="BodyText"/>
        <w:spacing w:line="247" w:lineRule="auto"/>
        <w:ind w:left="278" w:right="2263" w:firstLine="453"/>
        <w:jc w:val="both"/>
      </w:pPr>
      <w:r>
        <w:rPr/>
        <w:t>Sul</w:t>
      </w:r>
      <w:r>
        <w:rPr>
          <w:spacing w:val="-6"/>
        </w:rPr>
        <w:t> </w:t>
      </w:r>
      <w:r>
        <w:rPr/>
        <w:t>fronte</w:t>
      </w:r>
      <w:r>
        <w:rPr>
          <w:spacing w:val="-6"/>
        </w:rPr>
        <w:t> </w:t>
      </w:r>
      <w:r>
        <w:rPr/>
        <w:t>degli</w:t>
      </w:r>
      <w:r>
        <w:rPr>
          <w:spacing w:val="-7"/>
        </w:rPr>
        <w:t> </w:t>
      </w:r>
      <w:r>
        <w:rPr/>
        <w:t>investimenti</w:t>
      </w:r>
      <w:r>
        <w:rPr>
          <w:spacing w:val="-6"/>
        </w:rPr>
        <w:t> </w:t>
      </w:r>
      <w:r>
        <w:rPr/>
        <w:t>privati,</w:t>
      </w:r>
      <w:r>
        <w:rPr>
          <w:spacing w:val="-6"/>
        </w:rPr>
        <w:t> </w:t>
      </w:r>
      <w:r>
        <w:rPr/>
        <w:t>gli</w:t>
      </w:r>
      <w:r>
        <w:rPr>
          <w:spacing w:val="-7"/>
        </w:rPr>
        <w:t> </w:t>
      </w:r>
      <w:r>
        <w:rPr/>
        <w:t>interventi</w:t>
      </w:r>
      <w:r>
        <w:rPr>
          <w:spacing w:val="-7"/>
        </w:rPr>
        <w:t> </w:t>
      </w:r>
      <w:r>
        <w:rPr/>
        <w:t>saranno</w:t>
      </w:r>
      <w:r>
        <w:rPr>
          <w:spacing w:val="-7"/>
        </w:rPr>
        <w:t> </w:t>
      </w:r>
      <w:r>
        <w:rPr/>
        <w:t>mirati</w:t>
      </w:r>
      <w:r>
        <w:rPr>
          <w:spacing w:val="-7"/>
        </w:rPr>
        <w:t> </w:t>
      </w:r>
      <w:r>
        <w:rPr/>
        <w:t>a</w:t>
      </w:r>
      <w:r>
        <w:rPr>
          <w:spacing w:val="-7"/>
        </w:rPr>
        <w:t> </w:t>
      </w:r>
      <w:r>
        <w:rPr/>
        <w:t>incentivare il rinnovo delle produzioni e degli impianti in uso, l’efficientamento e la riconversione</w:t>
      </w:r>
      <w:r>
        <w:rPr>
          <w:spacing w:val="28"/>
        </w:rPr>
        <w:t> </w:t>
      </w:r>
      <w:r>
        <w:rPr/>
        <w:t>dei</w:t>
      </w:r>
      <w:r>
        <w:rPr>
          <w:spacing w:val="28"/>
        </w:rPr>
        <w:t> </w:t>
      </w:r>
      <w:r>
        <w:rPr/>
        <w:t>processi</w:t>
      </w:r>
      <w:r>
        <w:rPr>
          <w:spacing w:val="28"/>
        </w:rPr>
        <w:t> </w:t>
      </w:r>
      <w:r>
        <w:rPr/>
        <w:t>produttivi</w:t>
      </w:r>
      <w:r>
        <w:rPr>
          <w:spacing w:val="29"/>
        </w:rPr>
        <w:t> </w:t>
      </w:r>
      <w:r>
        <w:rPr/>
        <w:t>e</w:t>
      </w:r>
      <w:r>
        <w:rPr>
          <w:spacing w:val="28"/>
        </w:rPr>
        <w:t> </w:t>
      </w:r>
      <w:r>
        <w:rPr/>
        <w:t>la</w:t>
      </w:r>
      <w:r>
        <w:rPr>
          <w:spacing w:val="27"/>
        </w:rPr>
        <w:t> </w:t>
      </w:r>
      <w:r>
        <w:rPr/>
        <w:t>transizione</w:t>
      </w:r>
      <w:r>
        <w:rPr>
          <w:spacing w:val="28"/>
        </w:rPr>
        <w:t> </w:t>
      </w:r>
      <w:r>
        <w:rPr/>
        <w:t>verso</w:t>
      </w:r>
      <w:r>
        <w:rPr>
          <w:spacing w:val="28"/>
        </w:rPr>
        <w:t> </w:t>
      </w:r>
      <w:r>
        <w:rPr/>
        <w:t>la</w:t>
      </w:r>
      <w:r>
        <w:rPr>
          <w:spacing w:val="27"/>
        </w:rPr>
        <w:t> </w:t>
      </w:r>
      <w:r>
        <w:rPr/>
        <w:t>Quarta</w:t>
      </w:r>
      <w:r>
        <w:rPr>
          <w:spacing w:val="27"/>
        </w:rPr>
        <w:t> </w:t>
      </w:r>
      <w:r>
        <w:rPr/>
        <w:t>rivoluzione</w:t>
      </w:r>
    </w:p>
    <w:p>
      <w:pPr>
        <w:spacing w:after="0" w:line="247" w:lineRule="auto"/>
        <w:jc w:val="both"/>
        <w:sectPr>
          <w:headerReference w:type="default" r:id="rId76"/>
          <w:footerReference w:type="default" r:id="rId77"/>
          <w:footerReference w:type="even" r:id="rId78"/>
          <w:pgSz w:w="11910" w:h="16840"/>
          <w:pgMar w:header="0" w:footer="866" w:top="1100" w:bottom="1060" w:left="1140" w:right="0"/>
          <w:pgNumType w:start="79"/>
        </w:sectPr>
      </w:pPr>
    </w:p>
    <w:p>
      <w:pPr>
        <w:pStyle w:val="BodyText"/>
        <w:rPr>
          <w:sz w:val="20"/>
        </w:rPr>
      </w:pPr>
    </w:p>
    <w:p>
      <w:pPr>
        <w:pStyle w:val="BodyText"/>
        <w:rPr>
          <w:sz w:val="20"/>
        </w:rPr>
      </w:pPr>
    </w:p>
    <w:p>
      <w:pPr>
        <w:pStyle w:val="BodyText"/>
        <w:spacing w:before="3"/>
        <w:rPr>
          <w:sz w:val="25"/>
        </w:rPr>
      </w:pPr>
    </w:p>
    <w:p>
      <w:pPr>
        <w:pStyle w:val="BodyText"/>
        <w:spacing w:line="247" w:lineRule="auto" w:before="101"/>
        <w:ind w:left="1128" w:right="1412"/>
        <w:jc w:val="both"/>
      </w:pPr>
      <w:r>
        <w:rPr/>
        <w:t>industriale (digitalizzazione e intelligenza artificiale). Gli incentivi all’innovazione saranno ridefiniti in modo da renderli coerenti con tali finalità. In questo contesto avranno inoltre un ruolo centrale le politiche di valorizzazione del capitale umano (formazione, ricerca e sviluppo, rientro dei cervelli ad alta specializzazione).</w:t>
      </w:r>
    </w:p>
    <w:p>
      <w:pPr>
        <w:pStyle w:val="BodyText"/>
        <w:spacing w:line="247" w:lineRule="auto"/>
        <w:ind w:left="1128" w:right="1411" w:firstLine="453"/>
        <w:jc w:val="both"/>
      </w:pPr>
      <w:r>
        <w:rPr/>
        <w:t>Oltre</w:t>
      </w:r>
      <w:r>
        <w:rPr>
          <w:spacing w:val="-9"/>
        </w:rPr>
        <w:t> </w:t>
      </w:r>
      <w:r>
        <w:rPr/>
        <w:t>agli</w:t>
      </w:r>
      <w:r>
        <w:rPr>
          <w:spacing w:val="-9"/>
        </w:rPr>
        <w:t> </w:t>
      </w:r>
      <w:r>
        <w:rPr/>
        <w:t>investimenti,</w:t>
      </w:r>
      <w:r>
        <w:rPr>
          <w:spacing w:val="-6"/>
        </w:rPr>
        <w:t> </w:t>
      </w:r>
      <w:r>
        <w:rPr/>
        <w:t>verranno</w:t>
      </w:r>
      <w:r>
        <w:rPr>
          <w:spacing w:val="-10"/>
        </w:rPr>
        <w:t> </w:t>
      </w:r>
      <w:r>
        <w:rPr/>
        <w:t>implementate</w:t>
      </w:r>
      <w:r>
        <w:rPr>
          <w:spacing w:val="-6"/>
        </w:rPr>
        <w:t> </w:t>
      </w:r>
      <w:r>
        <w:rPr/>
        <w:t>politiche</w:t>
      </w:r>
      <w:r>
        <w:rPr>
          <w:spacing w:val="-9"/>
        </w:rPr>
        <w:t> </w:t>
      </w:r>
      <w:r>
        <w:rPr/>
        <w:t>di</w:t>
      </w:r>
      <w:r>
        <w:rPr>
          <w:spacing w:val="-9"/>
        </w:rPr>
        <w:t> </w:t>
      </w:r>
      <w:r>
        <w:rPr/>
        <w:t>supporto,</w:t>
      </w:r>
      <w:r>
        <w:rPr>
          <w:spacing w:val="-8"/>
        </w:rPr>
        <w:t> </w:t>
      </w:r>
      <w:r>
        <w:rPr/>
        <w:t>adattate alle esigenze territoriali del Paese. Il </w:t>
      </w:r>
      <w:r>
        <w:rPr>
          <w:i/>
        </w:rPr>
        <w:t>Green New Deal </w:t>
      </w:r>
      <w:r>
        <w:rPr/>
        <w:t>è orientato al contrasto ai cambiamenti</w:t>
      </w:r>
      <w:r>
        <w:rPr>
          <w:spacing w:val="-7"/>
        </w:rPr>
        <w:t> </w:t>
      </w:r>
      <w:r>
        <w:rPr/>
        <w:t>climatici,</w:t>
      </w:r>
      <w:r>
        <w:rPr>
          <w:spacing w:val="-8"/>
        </w:rPr>
        <w:t> </w:t>
      </w:r>
      <w:r>
        <w:rPr/>
        <w:t>alla</w:t>
      </w:r>
      <w:r>
        <w:rPr>
          <w:spacing w:val="-7"/>
        </w:rPr>
        <w:t> </w:t>
      </w:r>
      <w:r>
        <w:rPr/>
        <w:t>tutela</w:t>
      </w:r>
      <w:r>
        <w:rPr>
          <w:spacing w:val="-7"/>
        </w:rPr>
        <w:t> </w:t>
      </w:r>
      <w:r>
        <w:rPr/>
        <w:t>della</w:t>
      </w:r>
      <w:r>
        <w:rPr>
          <w:spacing w:val="-7"/>
        </w:rPr>
        <w:t> </w:t>
      </w:r>
      <w:r>
        <w:rPr/>
        <w:t>biodiversità,</w:t>
      </w:r>
      <w:r>
        <w:rPr>
          <w:spacing w:val="-5"/>
        </w:rPr>
        <w:t> </w:t>
      </w:r>
      <w:r>
        <w:rPr/>
        <w:t>alla</w:t>
      </w:r>
      <w:r>
        <w:rPr>
          <w:spacing w:val="-7"/>
        </w:rPr>
        <w:t> </w:t>
      </w:r>
      <w:r>
        <w:rPr/>
        <w:t>riconversione</w:t>
      </w:r>
      <w:r>
        <w:rPr>
          <w:spacing w:val="-7"/>
        </w:rPr>
        <w:t> </w:t>
      </w:r>
      <w:r>
        <w:rPr/>
        <w:t>energetica, alla promozione della rigenerazione urbana e delle cosiddette </w:t>
      </w:r>
      <w:r>
        <w:rPr>
          <w:i/>
        </w:rPr>
        <w:t>smart city</w:t>
      </w:r>
      <w:r>
        <w:rPr/>
        <w:t>. Queste azioni saranno concretizzate su diversi livelli, dalla regolazione e protezione dei diritti dei cittadini all’introduzione di incentivi efficienti. Fondamentali saranno anche</w:t>
      </w:r>
      <w:r>
        <w:rPr>
          <w:spacing w:val="-16"/>
        </w:rPr>
        <w:t> </w:t>
      </w:r>
      <w:r>
        <w:rPr/>
        <w:t>le</w:t>
      </w:r>
      <w:r>
        <w:rPr>
          <w:spacing w:val="-17"/>
        </w:rPr>
        <w:t> </w:t>
      </w:r>
      <w:r>
        <w:rPr/>
        <w:t>politiche</w:t>
      </w:r>
      <w:r>
        <w:rPr>
          <w:spacing w:val="-16"/>
        </w:rPr>
        <w:t> </w:t>
      </w:r>
      <w:r>
        <w:rPr/>
        <w:t>per</w:t>
      </w:r>
      <w:r>
        <w:rPr>
          <w:spacing w:val="-15"/>
        </w:rPr>
        <w:t> </w:t>
      </w:r>
      <w:r>
        <w:rPr/>
        <w:t>la</w:t>
      </w:r>
      <w:r>
        <w:rPr>
          <w:spacing w:val="-17"/>
        </w:rPr>
        <w:t> </w:t>
      </w:r>
      <w:r>
        <w:rPr/>
        <w:t>messa</w:t>
      </w:r>
      <w:r>
        <w:rPr>
          <w:spacing w:val="-17"/>
        </w:rPr>
        <w:t> </w:t>
      </w:r>
      <w:r>
        <w:rPr/>
        <w:t>in</w:t>
      </w:r>
      <w:r>
        <w:rPr>
          <w:spacing w:val="-17"/>
        </w:rPr>
        <w:t> </w:t>
      </w:r>
      <w:r>
        <w:rPr/>
        <w:t>sicurezza</w:t>
      </w:r>
      <w:r>
        <w:rPr>
          <w:spacing w:val="-17"/>
        </w:rPr>
        <w:t> </w:t>
      </w:r>
      <w:r>
        <w:rPr/>
        <w:t>del</w:t>
      </w:r>
      <w:r>
        <w:rPr>
          <w:spacing w:val="-16"/>
        </w:rPr>
        <w:t> </w:t>
      </w:r>
      <w:r>
        <w:rPr/>
        <w:t>territorio,</w:t>
      </w:r>
      <w:r>
        <w:rPr>
          <w:spacing w:val="-15"/>
        </w:rPr>
        <w:t> </w:t>
      </w:r>
      <w:r>
        <w:rPr/>
        <w:t>per</w:t>
      </w:r>
      <w:r>
        <w:rPr>
          <w:spacing w:val="-15"/>
        </w:rPr>
        <w:t> </w:t>
      </w:r>
      <w:r>
        <w:rPr/>
        <w:t>il</w:t>
      </w:r>
      <w:r>
        <w:rPr>
          <w:spacing w:val="-17"/>
        </w:rPr>
        <w:t> </w:t>
      </w:r>
      <w:r>
        <w:rPr/>
        <w:t>contrasto</w:t>
      </w:r>
      <w:r>
        <w:rPr>
          <w:spacing w:val="-16"/>
        </w:rPr>
        <w:t> </w:t>
      </w:r>
      <w:r>
        <w:rPr/>
        <w:t>al</w:t>
      </w:r>
      <w:r>
        <w:rPr>
          <w:spacing w:val="-16"/>
        </w:rPr>
        <w:t> </w:t>
      </w:r>
      <w:r>
        <w:rPr/>
        <w:t>dissesto idrogeologico e per l’accelerazione della ricostruzione delle aree terremotate. Nell’ottica</w:t>
      </w:r>
      <w:r>
        <w:rPr>
          <w:spacing w:val="-19"/>
        </w:rPr>
        <w:t> </w:t>
      </w:r>
      <w:r>
        <w:rPr/>
        <w:t>della</w:t>
      </w:r>
      <w:r>
        <w:rPr>
          <w:spacing w:val="-20"/>
        </w:rPr>
        <w:t> </w:t>
      </w:r>
      <w:r>
        <w:rPr/>
        <w:t>sostenibilità,</w:t>
      </w:r>
      <w:r>
        <w:rPr>
          <w:spacing w:val="-19"/>
        </w:rPr>
        <w:t> </w:t>
      </w:r>
      <w:r>
        <w:rPr/>
        <w:t>è</w:t>
      </w:r>
      <w:r>
        <w:rPr>
          <w:spacing w:val="-20"/>
        </w:rPr>
        <w:t> </w:t>
      </w:r>
      <w:r>
        <w:rPr/>
        <w:t>inoltre</w:t>
      </w:r>
      <w:r>
        <w:rPr>
          <w:spacing w:val="-19"/>
        </w:rPr>
        <w:t> </w:t>
      </w:r>
      <w:r>
        <w:rPr/>
        <w:t>essenziale</w:t>
      </w:r>
      <w:r>
        <w:rPr>
          <w:spacing w:val="-18"/>
        </w:rPr>
        <w:t> </w:t>
      </w:r>
      <w:r>
        <w:rPr/>
        <w:t>che</w:t>
      </w:r>
      <w:r>
        <w:rPr>
          <w:spacing w:val="-20"/>
        </w:rPr>
        <w:t> </w:t>
      </w:r>
      <w:r>
        <w:rPr/>
        <w:t>il</w:t>
      </w:r>
      <w:r>
        <w:rPr>
          <w:spacing w:val="-19"/>
        </w:rPr>
        <w:t> </w:t>
      </w:r>
      <w:r>
        <w:rPr/>
        <w:t>sistema</w:t>
      </w:r>
      <w:r>
        <w:rPr>
          <w:spacing w:val="-20"/>
        </w:rPr>
        <w:t> </w:t>
      </w:r>
      <w:r>
        <w:rPr/>
        <w:t>produttivo</w:t>
      </w:r>
      <w:r>
        <w:rPr>
          <w:spacing w:val="-18"/>
        </w:rPr>
        <w:t> </w:t>
      </w:r>
      <w:r>
        <w:rPr/>
        <w:t>si</w:t>
      </w:r>
      <w:r>
        <w:rPr>
          <w:spacing w:val="-20"/>
        </w:rPr>
        <w:t> </w:t>
      </w:r>
      <w:r>
        <w:rPr/>
        <w:t>orienti verso un’economia circolare e che diffonda nel Paese la cultura del</w:t>
      </w:r>
      <w:r>
        <w:rPr>
          <w:spacing w:val="-18"/>
        </w:rPr>
        <w:t> </w:t>
      </w:r>
      <w:r>
        <w:rPr/>
        <w:t>riciclo.</w:t>
      </w:r>
    </w:p>
    <w:p>
      <w:pPr>
        <w:pStyle w:val="BodyText"/>
        <w:spacing w:line="247" w:lineRule="auto"/>
        <w:ind w:left="1128" w:right="1412" w:firstLine="453"/>
        <w:jc w:val="both"/>
      </w:pPr>
      <w:r>
        <w:rPr/>
        <w:t>Non esiste crescita del Paese senza un Sud che cresca. Per superare il divario economico e sociale esistente tra Nord e Sud, occorre prevedere un piano straordinario di investimenti per il Mezzogiorno, unitamente alla promozione del coordinamento di tutti gli strumenti normativi esistenti. Lo sviluppo del Sud e la coesione</w:t>
      </w:r>
      <w:r>
        <w:rPr>
          <w:spacing w:val="-21"/>
        </w:rPr>
        <w:t> </w:t>
      </w:r>
      <w:r>
        <w:rPr/>
        <w:t>territoriale</w:t>
      </w:r>
      <w:r>
        <w:rPr>
          <w:spacing w:val="-21"/>
        </w:rPr>
        <w:t> </w:t>
      </w:r>
      <w:r>
        <w:rPr/>
        <w:t>rappresentano,</w:t>
      </w:r>
      <w:r>
        <w:rPr>
          <w:spacing w:val="-20"/>
        </w:rPr>
        <w:t> </w:t>
      </w:r>
      <w:r>
        <w:rPr/>
        <w:t>infatti,</w:t>
      </w:r>
      <w:r>
        <w:rPr>
          <w:spacing w:val="-19"/>
        </w:rPr>
        <w:t> </w:t>
      </w:r>
      <w:r>
        <w:rPr/>
        <w:t>priorità</w:t>
      </w:r>
      <w:r>
        <w:rPr>
          <w:spacing w:val="-21"/>
        </w:rPr>
        <w:t> </w:t>
      </w:r>
      <w:r>
        <w:rPr/>
        <w:t>strategiche</w:t>
      </w:r>
      <w:r>
        <w:rPr>
          <w:spacing w:val="-21"/>
        </w:rPr>
        <w:t> </w:t>
      </w:r>
      <w:r>
        <w:rPr/>
        <w:t>del</w:t>
      </w:r>
      <w:r>
        <w:rPr>
          <w:spacing w:val="-20"/>
        </w:rPr>
        <w:t> </w:t>
      </w:r>
      <w:r>
        <w:rPr/>
        <w:t>Governo,</w:t>
      </w:r>
      <w:r>
        <w:rPr>
          <w:spacing w:val="-20"/>
        </w:rPr>
        <w:t> </w:t>
      </w:r>
      <w:r>
        <w:rPr/>
        <w:t>al</w:t>
      </w:r>
      <w:r>
        <w:rPr>
          <w:spacing w:val="-21"/>
        </w:rPr>
        <w:t> </w:t>
      </w:r>
      <w:r>
        <w:rPr/>
        <w:t>fine di</w:t>
      </w:r>
      <w:r>
        <w:rPr>
          <w:spacing w:val="-14"/>
        </w:rPr>
        <w:t> </w:t>
      </w:r>
      <w:r>
        <w:rPr/>
        <w:t>attivare</w:t>
      </w:r>
      <w:r>
        <w:rPr>
          <w:spacing w:val="-12"/>
        </w:rPr>
        <w:t> </w:t>
      </w:r>
      <w:r>
        <w:rPr/>
        <w:t>il</w:t>
      </w:r>
      <w:r>
        <w:rPr>
          <w:spacing w:val="-14"/>
        </w:rPr>
        <w:t> </w:t>
      </w:r>
      <w:r>
        <w:rPr/>
        <w:t>potenziale</w:t>
      </w:r>
      <w:r>
        <w:rPr>
          <w:spacing w:val="-15"/>
        </w:rPr>
        <w:t> </w:t>
      </w:r>
      <w:r>
        <w:rPr/>
        <w:t>di</w:t>
      </w:r>
      <w:r>
        <w:rPr>
          <w:spacing w:val="-13"/>
        </w:rPr>
        <w:t> </w:t>
      </w:r>
      <w:r>
        <w:rPr/>
        <w:t>crescita</w:t>
      </w:r>
      <w:r>
        <w:rPr>
          <w:spacing w:val="-14"/>
        </w:rPr>
        <w:t> </w:t>
      </w:r>
      <w:r>
        <w:rPr/>
        <w:t>inespresso,</w:t>
      </w:r>
      <w:r>
        <w:rPr>
          <w:spacing w:val="-14"/>
        </w:rPr>
        <w:t> </w:t>
      </w:r>
      <w:r>
        <w:rPr/>
        <w:t>rafforzando</w:t>
      </w:r>
      <w:r>
        <w:rPr>
          <w:spacing w:val="-14"/>
        </w:rPr>
        <w:t> </w:t>
      </w:r>
      <w:r>
        <w:rPr/>
        <w:t>il</w:t>
      </w:r>
      <w:r>
        <w:rPr>
          <w:spacing w:val="-15"/>
        </w:rPr>
        <w:t> </w:t>
      </w:r>
      <w:r>
        <w:rPr/>
        <w:t>capitale</w:t>
      </w:r>
      <w:r>
        <w:rPr>
          <w:spacing w:val="-13"/>
        </w:rPr>
        <w:t> </w:t>
      </w:r>
      <w:r>
        <w:rPr/>
        <w:t>fisico,</w:t>
      </w:r>
      <w:r>
        <w:rPr>
          <w:spacing w:val="-13"/>
        </w:rPr>
        <w:t> </w:t>
      </w:r>
      <w:r>
        <w:rPr/>
        <w:t>umano, sociale e naturale. L’obiettivo è rendere più attrattivi il Sud e le aree interne, offrendo nuove opportunità occupazionali in particolare a giovani e</w:t>
      </w:r>
      <w:r>
        <w:rPr>
          <w:spacing w:val="-19"/>
        </w:rPr>
        <w:t> </w:t>
      </w:r>
      <w:r>
        <w:rPr/>
        <w:t>donne.</w:t>
      </w:r>
    </w:p>
    <w:p>
      <w:pPr>
        <w:pStyle w:val="BodyText"/>
        <w:spacing w:line="247" w:lineRule="auto"/>
        <w:ind w:left="1128" w:right="1414" w:firstLine="453"/>
        <w:jc w:val="both"/>
      </w:pPr>
      <w:r>
        <w:rPr/>
        <w:t>Altro tema centrale riguarda il rafforzamento delle misure a favore delle famiglie,</w:t>
      </w:r>
      <w:r>
        <w:rPr>
          <w:spacing w:val="-12"/>
        </w:rPr>
        <w:t> </w:t>
      </w:r>
      <w:r>
        <w:rPr/>
        <w:t>come</w:t>
      </w:r>
      <w:r>
        <w:rPr>
          <w:spacing w:val="-12"/>
        </w:rPr>
        <w:t> </w:t>
      </w:r>
      <w:r>
        <w:rPr/>
        <w:t>sostegno</w:t>
      </w:r>
      <w:r>
        <w:rPr>
          <w:spacing w:val="-10"/>
        </w:rPr>
        <w:t> </w:t>
      </w:r>
      <w:r>
        <w:rPr/>
        <w:t>alla</w:t>
      </w:r>
      <w:r>
        <w:rPr>
          <w:spacing w:val="-12"/>
        </w:rPr>
        <w:t> </w:t>
      </w:r>
      <w:r>
        <w:rPr/>
        <w:t>genitorialità</w:t>
      </w:r>
      <w:r>
        <w:rPr>
          <w:spacing w:val="-12"/>
        </w:rPr>
        <w:t> </w:t>
      </w:r>
      <w:r>
        <w:rPr/>
        <w:t>e</w:t>
      </w:r>
      <w:r>
        <w:rPr>
          <w:spacing w:val="-12"/>
        </w:rPr>
        <w:t> </w:t>
      </w:r>
      <w:r>
        <w:rPr/>
        <w:t>alla</w:t>
      </w:r>
      <w:r>
        <w:rPr>
          <w:spacing w:val="-12"/>
        </w:rPr>
        <w:t> </w:t>
      </w:r>
      <w:r>
        <w:rPr/>
        <w:t>natalità,</w:t>
      </w:r>
      <w:r>
        <w:rPr>
          <w:spacing w:val="-11"/>
        </w:rPr>
        <w:t> </w:t>
      </w:r>
      <w:r>
        <w:rPr/>
        <w:t>nonché</w:t>
      </w:r>
      <w:r>
        <w:rPr>
          <w:spacing w:val="-12"/>
        </w:rPr>
        <w:t> </w:t>
      </w:r>
      <w:r>
        <w:rPr/>
        <w:t>le</w:t>
      </w:r>
      <w:r>
        <w:rPr>
          <w:spacing w:val="-12"/>
        </w:rPr>
        <w:t> </w:t>
      </w:r>
      <w:r>
        <w:rPr/>
        <w:t>tutele</w:t>
      </w:r>
      <w:r>
        <w:rPr>
          <w:spacing w:val="-12"/>
        </w:rPr>
        <w:t> </w:t>
      </w:r>
      <w:r>
        <w:rPr/>
        <w:t>in</w:t>
      </w:r>
      <w:r>
        <w:rPr>
          <w:spacing w:val="-12"/>
        </w:rPr>
        <w:t> </w:t>
      </w:r>
      <w:r>
        <w:rPr/>
        <w:t>ambito lavorativo. Saranno previste misure per incentivare la partecipazione femminile al mercato del lavoro, ponendo in essere parallelamente azioni di contrasto alle diseguaglianze di genere in tutti i settori produttivi</w:t>
      </w:r>
      <w:r>
        <w:rPr>
          <w:spacing w:val="-8"/>
        </w:rPr>
        <w:t> </w:t>
      </w:r>
      <w:r>
        <w:rPr/>
        <w:t>dell’economia.</w:t>
      </w:r>
    </w:p>
    <w:p>
      <w:pPr>
        <w:pStyle w:val="BodyText"/>
        <w:spacing w:line="247" w:lineRule="auto"/>
        <w:ind w:left="1128" w:right="1413" w:firstLine="453"/>
        <w:jc w:val="both"/>
      </w:pPr>
      <w:r>
        <w:rPr/>
        <w:t>Vale la pena ricordare come l’inclusione degli indicatori di Benessere Equo e Sostenibile nel ciclo di programmazione economico-finanziaria, avviata nel 2017, abbia aperto la strada a una visione più ampia e articolata del rapporto tra le politiche pubbliche e la qualità della vita dei cittadini: le misure economiche devono, infatti, essere valutate in termini degli effetti previsti in relazione al benessere delle persone, alla sua distribuzione e al suo grado di sostenibilità nel tempo.</w:t>
      </w:r>
    </w:p>
    <w:p>
      <w:pPr>
        <w:pStyle w:val="BodyText"/>
        <w:spacing w:line="247" w:lineRule="auto"/>
        <w:ind w:left="1128" w:right="1411" w:firstLine="453"/>
        <w:jc w:val="both"/>
      </w:pPr>
      <w:r>
        <w:rPr/>
        <w:t>L’arrivo del nuovo Governo coincide con quello della nuova Commissione Europea. L’Italia intende assumere un ruolo da protagonista di una fase di rilancio e rinnovamento dell’Unione per renderla più inclusiva e più solida, ma soprattutto più attenta alla sostenibilità ambientale, alla coesione sociale e territoriale e al modello di </w:t>
      </w:r>
      <w:r>
        <w:rPr>
          <w:i/>
        </w:rPr>
        <w:t>welfare </w:t>
      </w:r>
      <w:r>
        <w:rPr/>
        <w:t>europeo, obiettivi fondanti delle istituzioni europee.</w:t>
      </w:r>
    </w:p>
    <w:p>
      <w:pPr>
        <w:pStyle w:val="BodyText"/>
        <w:spacing w:line="247" w:lineRule="auto"/>
        <w:ind w:left="1128" w:right="1414" w:firstLine="453"/>
        <w:jc w:val="both"/>
      </w:pPr>
      <w:r>
        <w:rPr/>
        <w:t>Questo capitolo offre quindi anche l’occasione per annunciare gli impegni del Governo in sede europea. L’obiettivo dell’esecutivo è rafforzare la </w:t>
      </w:r>
      <w:r>
        <w:rPr>
          <w:i/>
        </w:rPr>
        <w:t>governance </w:t>
      </w:r>
      <w:r>
        <w:rPr/>
        <w:t>economica per favorire le priorità sopra enunciate, nonché per realizzare un piano di</w:t>
      </w:r>
      <w:r>
        <w:rPr>
          <w:spacing w:val="-11"/>
        </w:rPr>
        <w:t> </w:t>
      </w:r>
      <w:r>
        <w:rPr/>
        <w:t>investimenti</w:t>
      </w:r>
      <w:r>
        <w:rPr>
          <w:spacing w:val="-9"/>
        </w:rPr>
        <w:t> </w:t>
      </w:r>
      <w:r>
        <w:rPr/>
        <w:t>sostenibili</w:t>
      </w:r>
      <w:r>
        <w:rPr>
          <w:spacing w:val="-10"/>
        </w:rPr>
        <w:t> </w:t>
      </w:r>
      <w:r>
        <w:rPr/>
        <w:t>e</w:t>
      </w:r>
      <w:r>
        <w:rPr>
          <w:spacing w:val="-10"/>
        </w:rPr>
        <w:t> </w:t>
      </w:r>
      <w:r>
        <w:rPr/>
        <w:t>per</w:t>
      </w:r>
      <w:r>
        <w:rPr>
          <w:spacing w:val="-8"/>
        </w:rPr>
        <w:t> </w:t>
      </w:r>
      <w:r>
        <w:rPr/>
        <w:t>completare</w:t>
      </w:r>
      <w:r>
        <w:rPr>
          <w:spacing w:val="-9"/>
        </w:rPr>
        <w:t> </w:t>
      </w:r>
      <w:r>
        <w:rPr/>
        <w:t>l'unione</w:t>
      </w:r>
      <w:r>
        <w:rPr>
          <w:spacing w:val="-10"/>
        </w:rPr>
        <w:t> </w:t>
      </w:r>
      <w:r>
        <w:rPr/>
        <w:t>economica</w:t>
      </w:r>
      <w:r>
        <w:rPr>
          <w:spacing w:val="-9"/>
        </w:rPr>
        <w:t> </w:t>
      </w:r>
      <w:r>
        <w:rPr/>
        <w:t>e</w:t>
      </w:r>
      <w:r>
        <w:rPr>
          <w:spacing w:val="-9"/>
        </w:rPr>
        <w:t> </w:t>
      </w:r>
      <w:r>
        <w:rPr/>
        <w:t>bancaria</w:t>
      </w:r>
      <w:r>
        <w:rPr>
          <w:spacing w:val="-11"/>
        </w:rPr>
        <w:t> </w:t>
      </w:r>
      <w:r>
        <w:rPr/>
        <w:t>a</w:t>
      </w:r>
      <w:r>
        <w:rPr>
          <w:spacing w:val="-9"/>
        </w:rPr>
        <w:t> </w:t>
      </w:r>
      <w:r>
        <w:rPr/>
        <w:t>partire dall'istituzione</w:t>
      </w:r>
      <w:r>
        <w:rPr>
          <w:spacing w:val="-6"/>
        </w:rPr>
        <w:t> </w:t>
      </w:r>
      <w:r>
        <w:rPr/>
        <w:t>di</w:t>
      </w:r>
      <w:r>
        <w:rPr>
          <w:spacing w:val="-5"/>
        </w:rPr>
        <w:t> </w:t>
      </w:r>
      <w:r>
        <w:rPr/>
        <w:t>un</w:t>
      </w:r>
      <w:r>
        <w:rPr>
          <w:spacing w:val="-6"/>
        </w:rPr>
        <w:t> </w:t>
      </w:r>
      <w:r>
        <w:rPr/>
        <w:t>bilancio</w:t>
      </w:r>
      <w:r>
        <w:rPr>
          <w:spacing w:val="-4"/>
        </w:rPr>
        <w:t> </w:t>
      </w:r>
      <w:r>
        <w:rPr/>
        <w:t>dell’Area</w:t>
      </w:r>
      <w:r>
        <w:rPr>
          <w:spacing w:val="-5"/>
        </w:rPr>
        <w:t> </w:t>
      </w:r>
      <w:r>
        <w:rPr/>
        <w:t>euro</w:t>
      </w:r>
      <w:r>
        <w:rPr>
          <w:spacing w:val="-5"/>
        </w:rPr>
        <w:t> </w:t>
      </w:r>
      <w:r>
        <w:rPr/>
        <w:t>e</w:t>
      </w:r>
      <w:r>
        <w:rPr>
          <w:spacing w:val="-7"/>
        </w:rPr>
        <w:t> </w:t>
      </w:r>
      <w:r>
        <w:rPr/>
        <w:t>di</w:t>
      </w:r>
      <w:r>
        <w:rPr>
          <w:spacing w:val="-7"/>
        </w:rPr>
        <w:t> </w:t>
      </w:r>
      <w:r>
        <w:rPr/>
        <w:t>una</w:t>
      </w:r>
      <w:r>
        <w:rPr>
          <w:spacing w:val="-6"/>
        </w:rPr>
        <w:t> </w:t>
      </w:r>
      <w:r>
        <w:rPr/>
        <w:t>garanzia</w:t>
      </w:r>
      <w:r>
        <w:rPr>
          <w:spacing w:val="-5"/>
        </w:rPr>
        <w:t> </w:t>
      </w:r>
      <w:r>
        <w:rPr/>
        <w:t>europea</w:t>
      </w:r>
      <w:r>
        <w:rPr>
          <w:spacing w:val="-6"/>
        </w:rPr>
        <w:t> </w:t>
      </w:r>
      <w:r>
        <w:rPr/>
        <w:t>dei</w:t>
      </w:r>
      <w:r>
        <w:rPr>
          <w:spacing w:val="-5"/>
        </w:rPr>
        <w:t> </w:t>
      </w:r>
      <w:r>
        <w:rPr/>
        <w:t>depositi, uno strumento di stabilizzazione del mercato del lavoro quale un indennizzo occupazionale europeo e, da ultimo, rendere l’Unione un’area maggiormente competitiva e</w:t>
      </w:r>
      <w:r>
        <w:rPr>
          <w:spacing w:val="-2"/>
        </w:rPr>
        <w:t> </w:t>
      </w:r>
      <w:r>
        <w:rPr/>
        <w:t>innovativa.</w:t>
      </w:r>
    </w:p>
    <w:p>
      <w:pPr>
        <w:pStyle w:val="BodyText"/>
        <w:spacing w:line="244" w:lineRule="auto"/>
        <w:ind w:left="1128" w:right="1416" w:firstLine="453"/>
        <w:jc w:val="both"/>
      </w:pPr>
      <w:r>
        <w:rPr/>
        <w:t>In questo quadro, occorre inoltre migliorare il Patto di stabilità e crescita e la sua applicazione, evitando effetti pro-ciclici e sostenendo gli investimenti, e</w:t>
      </w:r>
    </w:p>
    <w:p>
      <w:pPr>
        <w:spacing w:after="0" w:line="244" w:lineRule="auto"/>
        <w:jc w:val="both"/>
        <w:sectPr>
          <w:headerReference w:type="even" r:id="rId79"/>
          <w:headerReference w:type="default" r:id="rId80"/>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47" w:lineRule="auto" w:before="101"/>
        <w:ind w:left="278" w:right="2263"/>
        <w:jc w:val="both"/>
      </w:pPr>
      <w:r>
        <w:rPr/>
        <w:t>attuare il pilastro europeo dei diritti sociali e rafforzare le politiche di contrasto all'evasione fiscale, tassando i profitti dove effettivamente sono realizzati. È necessario infatti contrastare le pratiche di concorrenza sleale tanto in ambito commerciale</w:t>
      </w:r>
      <w:r>
        <w:rPr>
          <w:spacing w:val="-12"/>
        </w:rPr>
        <w:t> </w:t>
      </w:r>
      <w:r>
        <w:rPr/>
        <w:t>quanto</w:t>
      </w:r>
      <w:r>
        <w:rPr>
          <w:spacing w:val="-11"/>
        </w:rPr>
        <w:t> </w:t>
      </w:r>
      <w:r>
        <w:rPr/>
        <w:t>in</w:t>
      </w:r>
      <w:r>
        <w:rPr>
          <w:spacing w:val="-11"/>
        </w:rPr>
        <w:t> </w:t>
      </w:r>
      <w:r>
        <w:rPr/>
        <w:t>quello</w:t>
      </w:r>
      <w:r>
        <w:rPr>
          <w:spacing w:val="-10"/>
        </w:rPr>
        <w:t> </w:t>
      </w:r>
      <w:r>
        <w:rPr/>
        <w:t>fiscale.</w:t>
      </w:r>
      <w:r>
        <w:rPr>
          <w:spacing w:val="-12"/>
        </w:rPr>
        <w:t> </w:t>
      </w:r>
      <w:r>
        <w:rPr/>
        <w:t>Si</w:t>
      </w:r>
      <w:r>
        <w:rPr>
          <w:spacing w:val="-11"/>
        </w:rPr>
        <w:t> </w:t>
      </w:r>
      <w:r>
        <w:rPr/>
        <w:t>tratta</w:t>
      </w:r>
      <w:r>
        <w:rPr>
          <w:spacing w:val="-10"/>
        </w:rPr>
        <w:t> </w:t>
      </w:r>
      <w:r>
        <w:rPr/>
        <w:t>di</w:t>
      </w:r>
      <w:r>
        <w:rPr>
          <w:spacing w:val="-16"/>
        </w:rPr>
        <w:t> </w:t>
      </w:r>
      <w:r>
        <w:rPr/>
        <w:t>obiettivi</w:t>
      </w:r>
      <w:r>
        <w:rPr>
          <w:spacing w:val="-10"/>
        </w:rPr>
        <w:t> </w:t>
      </w:r>
      <w:r>
        <w:rPr/>
        <w:t>che</w:t>
      </w:r>
      <w:r>
        <w:rPr>
          <w:spacing w:val="-11"/>
        </w:rPr>
        <w:t> </w:t>
      </w:r>
      <w:r>
        <w:rPr/>
        <w:t>presentano</w:t>
      </w:r>
      <w:r>
        <w:rPr>
          <w:spacing w:val="-13"/>
        </w:rPr>
        <w:t> </w:t>
      </w:r>
      <w:r>
        <w:rPr/>
        <w:t>numerosi punti</w:t>
      </w:r>
      <w:r>
        <w:rPr>
          <w:spacing w:val="-6"/>
        </w:rPr>
        <w:t> </w:t>
      </w:r>
      <w:r>
        <w:rPr/>
        <w:t>di</w:t>
      </w:r>
      <w:r>
        <w:rPr>
          <w:spacing w:val="-6"/>
        </w:rPr>
        <w:t> </w:t>
      </w:r>
      <w:r>
        <w:rPr/>
        <w:t>contatto</w:t>
      </w:r>
      <w:r>
        <w:rPr>
          <w:spacing w:val="-5"/>
        </w:rPr>
        <w:t> </w:t>
      </w:r>
      <w:r>
        <w:rPr/>
        <w:t>con</w:t>
      </w:r>
      <w:r>
        <w:rPr>
          <w:spacing w:val="-6"/>
        </w:rPr>
        <w:t> </w:t>
      </w:r>
      <w:r>
        <w:rPr/>
        <w:t>le</w:t>
      </w:r>
      <w:r>
        <w:rPr>
          <w:spacing w:val="-3"/>
        </w:rPr>
        <w:t> </w:t>
      </w:r>
      <w:r>
        <w:rPr/>
        <w:t>raccomandazioni</w:t>
      </w:r>
      <w:r>
        <w:rPr>
          <w:spacing w:val="-6"/>
        </w:rPr>
        <w:t> </w:t>
      </w:r>
      <w:r>
        <w:rPr/>
        <w:t>specifiche</w:t>
      </w:r>
      <w:r>
        <w:rPr>
          <w:spacing w:val="-6"/>
        </w:rPr>
        <w:t> </w:t>
      </w:r>
      <w:r>
        <w:rPr/>
        <w:t>rivolte</w:t>
      </w:r>
      <w:r>
        <w:rPr>
          <w:spacing w:val="-4"/>
        </w:rPr>
        <w:t> </w:t>
      </w:r>
      <w:r>
        <w:rPr/>
        <w:t>all’Italia</w:t>
      </w:r>
      <w:r>
        <w:rPr>
          <w:spacing w:val="-6"/>
        </w:rPr>
        <w:t> </w:t>
      </w:r>
      <w:r>
        <w:rPr/>
        <w:t>dal</w:t>
      </w:r>
      <w:r>
        <w:rPr>
          <w:spacing w:val="-4"/>
        </w:rPr>
        <w:t> </w:t>
      </w:r>
      <w:r>
        <w:rPr/>
        <w:t>Consiglio</w:t>
      </w:r>
      <w:r>
        <w:rPr>
          <w:spacing w:val="-6"/>
        </w:rPr>
        <w:t> </w:t>
      </w:r>
      <w:r>
        <w:rPr/>
        <w:t>a luglio</w:t>
      </w:r>
      <w:r>
        <w:rPr>
          <w:spacing w:val="-1"/>
        </w:rPr>
        <w:t> </w:t>
      </w:r>
      <w:r>
        <w:rPr/>
        <w:t>scorso.</w:t>
      </w:r>
    </w:p>
    <w:p>
      <w:pPr>
        <w:pStyle w:val="BodyText"/>
        <w:rPr>
          <w:sz w:val="26"/>
        </w:rPr>
      </w:pPr>
    </w:p>
    <w:p>
      <w:pPr>
        <w:pStyle w:val="ListParagraph"/>
        <w:numPr>
          <w:ilvl w:val="1"/>
          <w:numId w:val="2"/>
        </w:numPr>
        <w:tabs>
          <w:tab w:pos="817" w:val="left" w:leader="none"/>
        </w:tabs>
        <w:spacing w:line="240" w:lineRule="auto" w:before="224" w:after="0"/>
        <w:ind w:left="816" w:right="0" w:hanging="539"/>
        <w:jc w:val="left"/>
        <w:rPr>
          <w:rFonts w:ascii="Franklin Gothic Heavy" w:hAnsi="Franklin Gothic Heavy"/>
          <w:b/>
          <w:sz w:val="26"/>
        </w:rPr>
      </w:pPr>
      <w:r>
        <w:rPr>
          <w:rFonts w:ascii="Franklin Gothic Heavy" w:hAnsi="Franklin Gothic Heavy"/>
          <w:b/>
          <w:color w:val="086D44"/>
          <w:sz w:val="26"/>
        </w:rPr>
        <w:t>LE RACCOMANDAZIONI DELL’UNIONE</w:t>
      </w:r>
      <w:r>
        <w:rPr>
          <w:rFonts w:ascii="Franklin Gothic Heavy" w:hAnsi="Franklin Gothic Heavy"/>
          <w:b/>
          <w:color w:val="086D44"/>
          <w:spacing w:val="1"/>
          <w:sz w:val="26"/>
        </w:rPr>
        <w:t> </w:t>
      </w:r>
      <w:r>
        <w:rPr>
          <w:rFonts w:ascii="Franklin Gothic Heavy" w:hAnsi="Franklin Gothic Heavy"/>
          <w:b/>
          <w:color w:val="086D44"/>
          <w:sz w:val="26"/>
        </w:rPr>
        <w:t>EUROPEA</w:t>
      </w:r>
    </w:p>
    <w:p>
      <w:pPr>
        <w:pStyle w:val="BodyText"/>
        <w:spacing w:before="8"/>
        <w:rPr>
          <w:rFonts w:ascii="Franklin Gothic Heavy"/>
          <w:b/>
        </w:rPr>
      </w:pPr>
    </w:p>
    <w:p>
      <w:pPr>
        <w:pStyle w:val="BodyText"/>
        <w:spacing w:line="252" w:lineRule="auto"/>
        <w:ind w:left="278" w:right="2267" w:firstLine="453"/>
        <w:jc w:val="both"/>
      </w:pPr>
      <w:r>
        <w:rPr/>
        <w:t>Il Consiglio Ecofin del 9 luglio 2019</w:t>
      </w:r>
      <w:r>
        <w:rPr>
          <w:vertAlign w:val="superscript"/>
        </w:rPr>
        <w:t>1</w:t>
      </w:r>
      <w:r>
        <w:rPr>
          <w:vertAlign w:val="baseline"/>
        </w:rPr>
        <w:t> ha approvato le Raccomandazioni specifiche rivolte all’Italia, nelle quali si chiede di adottare provvedimenti volti a:</w:t>
      </w:r>
    </w:p>
    <w:p>
      <w:pPr>
        <w:pStyle w:val="ListParagraph"/>
        <w:numPr>
          <w:ilvl w:val="0"/>
          <w:numId w:val="13"/>
        </w:numPr>
        <w:tabs>
          <w:tab w:pos="733" w:val="left" w:leader="none"/>
        </w:tabs>
        <w:spacing w:line="252" w:lineRule="auto" w:before="62" w:after="0"/>
        <w:ind w:left="732" w:right="2260" w:hanging="454"/>
        <w:jc w:val="both"/>
        <w:rPr>
          <w:sz w:val="22"/>
        </w:rPr>
      </w:pPr>
      <w:r>
        <w:rPr>
          <w:sz w:val="22"/>
        </w:rPr>
        <w:t>Ridurre il rapporto debito/PIL, spostare la pressione fiscale dal lavoro, riducendo al contempo le agevolazioni fiscali, aggiornando i valori catastali e contrastando l’evasione fiscale; attuare pienamente le passate riforme pensionistiche al fine di ridurre il peso delle pensioni sulla spesa pubblica e creare margini per altre tipologie di spesa sociale e politiche di sostegno alla crescita</w:t>
      </w:r>
      <w:r>
        <w:rPr>
          <w:spacing w:val="-2"/>
          <w:sz w:val="22"/>
        </w:rPr>
        <w:t> </w:t>
      </w:r>
      <w:r>
        <w:rPr>
          <w:sz w:val="22"/>
        </w:rPr>
        <w:t>economica.</w:t>
      </w:r>
    </w:p>
    <w:p>
      <w:pPr>
        <w:pStyle w:val="ListParagraph"/>
        <w:numPr>
          <w:ilvl w:val="0"/>
          <w:numId w:val="13"/>
        </w:numPr>
        <w:tabs>
          <w:tab w:pos="733" w:val="left" w:leader="none"/>
        </w:tabs>
        <w:spacing w:line="252" w:lineRule="auto" w:before="59" w:after="0"/>
        <w:ind w:left="732" w:right="2263" w:hanging="454"/>
        <w:jc w:val="both"/>
        <w:rPr>
          <w:sz w:val="22"/>
        </w:rPr>
      </w:pPr>
      <w:r>
        <w:rPr>
          <w:sz w:val="22"/>
        </w:rPr>
        <w:t>Contrastare il lavoro sommerso; garantire l’efficace integrazione tra politiche attive</w:t>
      </w:r>
      <w:r>
        <w:rPr>
          <w:spacing w:val="-9"/>
          <w:sz w:val="22"/>
        </w:rPr>
        <w:t> </w:t>
      </w:r>
      <w:r>
        <w:rPr>
          <w:sz w:val="22"/>
        </w:rPr>
        <w:t>del</w:t>
      </w:r>
      <w:r>
        <w:rPr>
          <w:spacing w:val="-9"/>
          <w:sz w:val="22"/>
        </w:rPr>
        <w:t> </w:t>
      </w:r>
      <w:r>
        <w:rPr>
          <w:sz w:val="22"/>
        </w:rPr>
        <w:t>lavoro</w:t>
      </w:r>
      <w:r>
        <w:rPr>
          <w:spacing w:val="-11"/>
          <w:sz w:val="22"/>
        </w:rPr>
        <w:t> </w:t>
      </w:r>
      <w:r>
        <w:rPr>
          <w:sz w:val="22"/>
        </w:rPr>
        <w:t>e</w:t>
      </w:r>
      <w:r>
        <w:rPr>
          <w:spacing w:val="-9"/>
          <w:sz w:val="22"/>
        </w:rPr>
        <w:t> </w:t>
      </w:r>
      <w:r>
        <w:rPr>
          <w:sz w:val="22"/>
        </w:rPr>
        <w:t>politiche</w:t>
      </w:r>
      <w:r>
        <w:rPr>
          <w:spacing w:val="-9"/>
          <w:sz w:val="22"/>
        </w:rPr>
        <w:t> </w:t>
      </w:r>
      <w:r>
        <w:rPr>
          <w:sz w:val="22"/>
        </w:rPr>
        <w:t>sociali,</w:t>
      </w:r>
      <w:r>
        <w:rPr>
          <w:spacing w:val="-11"/>
          <w:sz w:val="22"/>
        </w:rPr>
        <w:t> </w:t>
      </w:r>
      <w:r>
        <w:rPr>
          <w:sz w:val="22"/>
        </w:rPr>
        <w:t>favorendo</w:t>
      </w:r>
      <w:r>
        <w:rPr>
          <w:spacing w:val="-10"/>
          <w:sz w:val="22"/>
        </w:rPr>
        <w:t> </w:t>
      </w:r>
      <w:r>
        <w:rPr>
          <w:sz w:val="22"/>
        </w:rPr>
        <w:t>in</w:t>
      </w:r>
      <w:r>
        <w:rPr>
          <w:spacing w:val="-14"/>
          <w:sz w:val="22"/>
        </w:rPr>
        <w:t> </w:t>
      </w:r>
      <w:r>
        <w:rPr>
          <w:sz w:val="22"/>
        </w:rPr>
        <w:t>particolare</w:t>
      </w:r>
      <w:r>
        <w:rPr>
          <w:spacing w:val="-9"/>
          <w:sz w:val="22"/>
        </w:rPr>
        <w:t> </w:t>
      </w:r>
      <w:r>
        <w:rPr>
          <w:sz w:val="22"/>
        </w:rPr>
        <w:t>i</w:t>
      </w:r>
      <w:r>
        <w:rPr>
          <w:spacing w:val="-12"/>
          <w:sz w:val="22"/>
        </w:rPr>
        <w:t> </w:t>
      </w:r>
      <w:r>
        <w:rPr>
          <w:sz w:val="22"/>
        </w:rPr>
        <w:t>giovani</w:t>
      </w:r>
      <w:r>
        <w:rPr>
          <w:spacing w:val="-10"/>
          <w:sz w:val="22"/>
        </w:rPr>
        <w:t> </w:t>
      </w:r>
      <w:r>
        <w:rPr>
          <w:sz w:val="22"/>
        </w:rPr>
        <w:t>e</w:t>
      </w:r>
      <w:r>
        <w:rPr>
          <w:spacing w:val="-11"/>
          <w:sz w:val="22"/>
        </w:rPr>
        <w:t> </w:t>
      </w:r>
      <w:r>
        <w:rPr>
          <w:sz w:val="22"/>
        </w:rPr>
        <w:t>i</w:t>
      </w:r>
      <w:r>
        <w:rPr>
          <w:spacing w:val="-12"/>
          <w:sz w:val="22"/>
        </w:rPr>
        <w:t> </w:t>
      </w:r>
      <w:r>
        <w:rPr>
          <w:sz w:val="22"/>
        </w:rPr>
        <w:t>gruppi vulnerabili; sostenere la partecipazione delle donne al mercato del lavoro garantendo l’accesso a servizi di assistenza all’infanzia; migliorare i risultati scolastici,</w:t>
      </w:r>
      <w:r>
        <w:rPr>
          <w:spacing w:val="-6"/>
          <w:sz w:val="22"/>
        </w:rPr>
        <w:t> </w:t>
      </w:r>
      <w:r>
        <w:rPr>
          <w:sz w:val="22"/>
        </w:rPr>
        <w:t>anche</w:t>
      </w:r>
      <w:r>
        <w:rPr>
          <w:spacing w:val="-9"/>
          <w:sz w:val="22"/>
        </w:rPr>
        <w:t> </w:t>
      </w:r>
      <w:r>
        <w:rPr>
          <w:sz w:val="22"/>
        </w:rPr>
        <w:t>mediante</w:t>
      </w:r>
      <w:r>
        <w:rPr>
          <w:spacing w:val="-7"/>
          <w:sz w:val="22"/>
        </w:rPr>
        <w:t> </w:t>
      </w:r>
      <w:r>
        <w:rPr>
          <w:sz w:val="22"/>
        </w:rPr>
        <w:t>investimenti</w:t>
      </w:r>
      <w:r>
        <w:rPr>
          <w:spacing w:val="-7"/>
          <w:sz w:val="22"/>
        </w:rPr>
        <w:t> </w:t>
      </w:r>
      <w:r>
        <w:rPr>
          <w:sz w:val="22"/>
        </w:rPr>
        <w:t>mirati,</w:t>
      </w:r>
      <w:r>
        <w:rPr>
          <w:spacing w:val="-7"/>
          <w:sz w:val="22"/>
        </w:rPr>
        <w:t> </w:t>
      </w:r>
      <w:r>
        <w:rPr>
          <w:sz w:val="22"/>
        </w:rPr>
        <w:t>e</w:t>
      </w:r>
      <w:r>
        <w:rPr>
          <w:spacing w:val="-6"/>
          <w:sz w:val="22"/>
        </w:rPr>
        <w:t> </w:t>
      </w:r>
      <w:r>
        <w:rPr>
          <w:sz w:val="22"/>
        </w:rPr>
        <w:t>promuovere</w:t>
      </w:r>
      <w:r>
        <w:rPr>
          <w:spacing w:val="-10"/>
          <w:sz w:val="22"/>
        </w:rPr>
        <w:t> </w:t>
      </w:r>
      <w:r>
        <w:rPr>
          <w:sz w:val="22"/>
        </w:rPr>
        <w:t>il</w:t>
      </w:r>
      <w:r>
        <w:rPr>
          <w:spacing w:val="-5"/>
          <w:sz w:val="22"/>
        </w:rPr>
        <w:t> </w:t>
      </w:r>
      <w:r>
        <w:rPr>
          <w:sz w:val="22"/>
        </w:rPr>
        <w:t>miglioramento delle competenze, in particolare rafforzando le competenze</w:t>
      </w:r>
      <w:r>
        <w:rPr>
          <w:spacing w:val="-12"/>
          <w:sz w:val="22"/>
        </w:rPr>
        <w:t> </w:t>
      </w:r>
      <w:r>
        <w:rPr>
          <w:sz w:val="22"/>
        </w:rPr>
        <w:t>digitali.</w:t>
      </w:r>
    </w:p>
    <w:p>
      <w:pPr>
        <w:pStyle w:val="ListParagraph"/>
        <w:numPr>
          <w:ilvl w:val="0"/>
          <w:numId w:val="13"/>
        </w:numPr>
        <w:tabs>
          <w:tab w:pos="733" w:val="left" w:leader="none"/>
        </w:tabs>
        <w:spacing w:line="252" w:lineRule="auto" w:before="61" w:after="0"/>
        <w:ind w:left="732" w:right="2261" w:hanging="454"/>
        <w:jc w:val="both"/>
        <w:rPr>
          <w:sz w:val="22"/>
        </w:rPr>
      </w:pPr>
      <w:r>
        <w:rPr>
          <w:sz w:val="22"/>
        </w:rPr>
        <w:t>Accrescere gli investimenti materiali e immateriali (ricerca, innovazione e qualità</w:t>
      </w:r>
      <w:r>
        <w:rPr>
          <w:spacing w:val="-18"/>
          <w:sz w:val="22"/>
        </w:rPr>
        <w:t> </w:t>
      </w:r>
      <w:r>
        <w:rPr>
          <w:sz w:val="22"/>
        </w:rPr>
        <w:t>delle</w:t>
      </w:r>
      <w:r>
        <w:rPr>
          <w:spacing w:val="-17"/>
          <w:sz w:val="22"/>
        </w:rPr>
        <w:t> </w:t>
      </w:r>
      <w:r>
        <w:rPr>
          <w:sz w:val="22"/>
        </w:rPr>
        <w:t>infrastrutture),</w:t>
      </w:r>
      <w:r>
        <w:rPr>
          <w:spacing w:val="-19"/>
          <w:sz w:val="22"/>
        </w:rPr>
        <w:t> </w:t>
      </w:r>
      <w:r>
        <w:rPr>
          <w:sz w:val="22"/>
        </w:rPr>
        <w:t>tenendo</w:t>
      </w:r>
      <w:r>
        <w:rPr>
          <w:spacing w:val="-19"/>
          <w:sz w:val="22"/>
        </w:rPr>
        <w:t> </w:t>
      </w:r>
      <w:r>
        <w:rPr>
          <w:sz w:val="22"/>
        </w:rPr>
        <w:t>conto</w:t>
      </w:r>
      <w:r>
        <w:rPr>
          <w:spacing w:val="-18"/>
          <w:sz w:val="22"/>
        </w:rPr>
        <w:t> </w:t>
      </w:r>
      <w:r>
        <w:rPr>
          <w:sz w:val="22"/>
        </w:rPr>
        <w:t>delle</w:t>
      </w:r>
      <w:r>
        <w:rPr>
          <w:spacing w:val="-20"/>
          <w:sz w:val="22"/>
        </w:rPr>
        <w:t> </w:t>
      </w:r>
      <w:r>
        <w:rPr>
          <w:sz w:val="22"/>
        </w:rPr>
        <w:t>disparità</w:t>
      </w:r>
      <w:r>
        <w:rPr>
          <w:spacing w:val="-18"/>
          <w:sz w:val="22"/>
        </w:rPr>
        <w:t> </w:t>
      </w:r>
      <w:r>
        <w:rPr>
          <w:sz w:val="22"/>
        </w:rPr>
        <w:t>regionali;</w:t>
      </w:r>
      <w:r>
        <w:rPr>
          <w:spacing w:val="-17"/>
          <w:sz w:val="22"/>
        </w:rPr>
        <w:t> </w:t>
      </w:r>
      <w:r>
        <w:rPr>
          <w:sz w:val="22"/>
        </w:rPr>
        <w:t>migliorare l’efficienza della pubblica amministrazione, in particolare investendo nelle competenze dei dipendenti pubblici, accelerando la digitalizzazione e aumentando l’efficienza e la qualità dei servizi pubblici locali; rimuovere gli ostacoli alla concorrenza, con particolare riguardo ai settori del commercio al dettaglio e dei servizi alle imprese, anche mediante una nuova legge annuale sulla</w:t>
      </w:r>
      <w:r>
        <w:rPr>
          <w:spacing w:val="-2"/>
          <w:sz w:val="22"/>
        </w:rPr>
        <w:t> </w:t>
      </w:r>
      <w:r>
        <w:rPr>
          <w:sz w:val="22"/>
        </w:rPr>
        <w:t>concorrenza.</w:t>
      </w:r>
    </w:p>
    <w:p>
      <w:pPr>
        <w:pStyle w:val="ListParagraph"/>
        <w:numPr>
          <w:ilvl w:val="0"/>
          <w:numId w:val="13"/>
        </w:numPr>
        <w:tabs>
          <w:tab w:pos="733" w:val="left" w:leader="none"/>
        </w:tabs>
        <w:spacing w:line="252" w:lineRule="auto" w:before="60" w:after="0"/>
        <w:ind w:left="732" w:right="2261" w:hanging="454"/>
        <w:jc w:val="both"/>
        <w:rPr>
          <w:sz w:val="22"/>
        </w:rPr>
      </w:pPr>
      <w:r>
        <w:rPr>
          <w:sz w:val="22"/>
        </w:rPr>
        <w:t>Ridurre la durata dei processi civili in tutti i gradi di giudizio, razionalizzando e facendo rispettare le norme di disciplina procedurale, incluse quelle già all’esame del legislatore, ponendo in particolare l’accento sui regimi di insolvenza; migliorare le politiche anticorruzione riformando le norme procedurali al fine di ridurre la durata dei processi</w:t>
      </w:r>
      <w:r>
        <w:rPr>
          <w:spacing w:val="-10"/>
          <w:sz w:val="22"/>
        </w:rPr>
        <w:t> </w:t>
      </w:r>
      <w:r>
        <w:rPr>
          <w:sz w:val="22"/>
        </w:rPr>
        <w:t>penali.</w:t>
      </w:r>
    </w:p>
    <w:p>
      <w:pPr>
        <w:pStyle w:val="ListParagraph"/>
        <w:numPr>
          <w:ilvl w:val="0"/>
          <w:numId w:val="13"/>
        </w:numPr>
        <w:tabs>
          <w:tab w:pos="733" w:val="left" w:leader="none"/>
        </w:tabs>
        <w:spacing w:line="252" w:lineRule="auto" w:before="61" w:after="0"/>
        <w:ind w:left="732" w:right="2260" w:hanging="454"/>
        <w:jc w:val="both"/>
        <w:rPr>
          <w:sz w:val="22"/>
        </w:rPr>
      </w:pPr>
      <w:r>
        <w:rPr>
          <w:sz w:val="22"/>
        </w:rPr>
        <w:t>Favorire il risanamento del sistema bancario, e in particolare delle banche di piccole e medie dimensioni, tramite una maggiore efficienza operativa, il miglioramento della qualità degli attivi, lo smaltimento dei crediti deteriorati e la diversificazione della provvista; migliorare l’accesso al credito non bancario per le piccole imprese</w:t>
      </w:r>
      <w:r>
        <w:rPr>
          <w:spacing w:val="-5"/>
          <w:sz w:val="22"/>
        </w:rPr>
        <w:t> </w:t>
      </w:r>
      <w:r>
        <w:rPr>
          <w:sz w:val="22"/>
        </w:rPr>
        <w:t>innovative.</w:t>
      </w:r>
    </w:p>
    <w:p>
      <w:pPr>
        <w:pStyle w:val="BodyText"/>
        <w:rPr>
          <w:sz w:val="20"/>
        </w:rPr>
      </w:pPr>
    </w:p>
    <w:p>
      <w:pPr>
        <w:pStyle w:val="BodyText"/>
        <w:rPr>
          <w:sz w:val="20"/>
        </w:rPr>
      </w:pPr>
    </w:p>
    <w:p>
      <w:pPr>
        <w:pStyle w:val="BodyText"/>
        <w:rPr>
          <w:sz w:val="20"/>
        </w:rPr>
      </w:pPr>
    </w:p>
    <w:p>
      <w:pPr>
        <w:pStyle w:val="BodyText"/>
        <w:spacing w:before="8"/>
        <w:rPr>
          <w:sz w:val="15"/>
        </w:rPr>
      </w:pPr>
      <w:r>
        <w:rPr/>
        <w:pict>
          <v:group style="position:absolute;margin-left:93.599998pt;margin-top:11.085039pt;width:21.4pt;height:2.15pt;mso-position-horizontal-relative:page;mso-position-vertical-relative:paragraph;z-index:-251458560;mso-wrap-distance-left:0;mso-wrap-distance-right:0" coordorigin="1872,222" coordsize="428,43">
            <v:line style="position:absolute" from="1872,242" to="2299,242" stroked="true" strokeweight="2.050pt" strokecolor="#aaaaaa">
              <v:stroke dashstyle="solid"/>
            </v:line>
            <v:rect style="position:absolute;left:1872;top:223;width:5;height:5" filled="true" fillcolor="#9f9f9f" stroked="false">
              <v:fill type="solid"/>
            </v:rect>
            <v:rect style="position:absolute;left:1872;top:223;width:5;height:5" filled="true" fillcolor="#9f9f9f" stroked="false">
              <v:fill type="solid"/>
            </v:rect>
            <v:line style="position:absolute" from="1877,226" to="2295,226" stroked="true" strokeweight=".23999pt" strokecolor="#9f9f9f">
              <v:stroke dashstyle="solid"/>
            </v:line>
            <v:rect style="position:absolute;left:2294;top:223;width:5;height:5" filled="true" fillcolor="#e2e2e2" stroked="false">
              <v:fill type="solid"/>
            </v:rect>
            <v:rect style="position:absolute;left:2294;top:223;width:5;height:5" filled="true" fillcolor="#9f9f9f" stroked="false">
              <v:fill type="solid"/>
            </v:rect>
            <v:rect style="position:absolute;left:1872;top:228;width:5;height:32" filled="true" fillcolor="#9f9f9f" stroked="false">
              <v:fill type="solid"/>
            </v:rect>
            <v:rect style="position:absolute;left:2294;top:228;width:5;height:32" filled="true" fillcolor="#e2e2e2" stroked="false">
              <v:fill type="solid"/>
            </v:rect>
            <v:rect style="position:absolute;left:1872;top:259;width:5;height:5" filled="true" fillcolor="#9f9f9f" stroked="false">
              <v:fill type="solid"/>
            </v:rect>
            <v:rect style="position:absolute;left:1872;top:259;width:5;height:5" filled="true" fillcolor="#e2e2e2" stroked="false">
              <v:fill type="solid"/>
            </v:rect>
            <v:line style="position:absolute" from="1877,262" to="2295,262" stroked="true" strokeweight=".24005pt" strokecolor="#e2e2e2">
              <v:stroke dashstyle="solid"/>
            </v:line>
            <v:rect style="position:absolute;left:2294;top:259;width:5;height:5" filled="true" fillcolor="#e2e2e2" stroked="false">
              <v:fill type="solid"/>
            </v:rect>
            <v:rect style="position:absolute;left:2294;top:259;width:5;height:5" filled="true" fillcolor="#e2e2e2" stroked="false">
              <v:fill type="solid"/>
            </v:rect>
            <w10:wrap type="topAndBottom"/>
          </v:group>
        </w:pict>
      </w:r>
    </w:p>
    <w:p>
      <w:pPr>
        <w:spacing w:before="20"/>
        <w:ind w:left="278" w:right="2514" w:firstLine="566"/>
        <w:jc w:val="left"/>
        <w:rPr>
          <w:sz w:val="16"/>
        </w:rPr>
      </w:pPr>
      <w:r>
        <w:rPr>
          <w:position w:val="6"/>
          <w:sz w:val="10"/>
        </w:rPr>
        <w:t>1 </w:t>
      </w:r>
      <w:hyperlink r:id="rId81">
        <w:r>
          <w:rPr>
            <w:color w:val="006247"/>
            <w:sz w:val="16"/>
            <w:u w:val="single" w:color="006247"/>
          </w:rPr>
          <w:t>https://www.consilium.europa.eu/en/press/press-releases/2019/07/09/economic-employment-and-</w:t>
        </w:r>
      </w:hyperlink>
      <w:r>
        <w:rPr>
          <w:color w:val="006247"/>
          <w:sz w:val="16"/>
        </w:rPr>
        <w:t> </w:t>
      </w:r>
      <w:hyperlink r:id="rId81">
        <w:r>
          <w:rPr>
            <w:color w:val="006247"/>
            <w:sz w:val="16"/>
            <w:u w:val="single" w:color="006247"/>
          </w:rPr>
          <w:t>fiscal-policies-2019-country-specific-recommendations/</w:t>
        </w:r>
      </w:hyperlink>
    </w:p>
    <w:p>
      <w:pPr>
        <w:spacing w:after="0"/>
        <w:jc w:val="left"/>
        <w:rPr>
          <w:sz w:val="16"/>
        </w:rPr>
        <w:sectPr>
          <w:pgSz w:w="11910" w:h="16840"/>
          <w:pgMar w:header="838" w:footer="866" w:top="1100" w:bottom="1060" w:left="114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517"/>
        <w:gridCol w:w="3855"/>
        <w:gridCol w:w="3855"/>
      </w:tblGrid>
      <w:tr>
        <w:trPr>
          <w:trHeight w:val="295" w:hRule="atLeast"/>
        </w:trPr>
        <w:tc>
          <w:tcPr>
            <w:tcW w:w="9227" w:type="dxa"/>
            <w:gridSpan w:val="3"/>
            <w:shd w:val="clear" w:color="auto" w:fill="086D44"/>
          </w:tcPr>
          <w:p>
            <w:pPr>
              <w:pStyle w:val="TableParagraph"/>
              <w:spacing w:before="45"/>
              <w:ind w:left="89"/>
              <w:jc w:val="left"/>
              <w:rPr>
                <w:rFonts w:ascii="Franklin Gothic Heavy"/>
                <w:b/>
                <w:sz w:val="17"/>
              </w:rPr>
            </w:pPr>
            <w:r>
              <w:rPr>
                <w:rFonts w:ascii="Franklin Gothic Heavy"/>
                <w:b/>
                <w:color w:val="EFEFEF"/>
                <w:sz w:val="17"/>
              </w:rPr>
              <w:t>TAVOLA IV.1 - RACCOMANDAZIONI PER IL 2018 E PER IL 2019</w:t>
            </w:r>
          </w:p>
        </w:tc>
      </w:tr>
      <w:tr>
        <w:trPr>
          <w:trHeight w:val="292" w:hRule="atLeast"/>
        </w:trPr>
        <w:tc>
          <w:tcPr>
            <w:tcW w:w="1517" w:type="dxa"/>
            <w:tcBorders>
              <w:bottom w:val="single" w:sz="4" w:space="0" w:color="000000"/>
            </w:tcBorders>
            <w:shd w:val="clear" w:color="auto" w:fill="EFEFEF"/>
          </w:tcPr>
          <w:p>
            <w:pPr>
              <w:pStyle w:val="TableParagraph"/>
              <w:spacing w:before="45"/>
              <w:ind w:left="283"/>
              <w:jc w:val="left"/>
              <w:rPr>
                <w:i/>
                <w:sz w:val="17"/>
              </w:rPr>
            </w:pPr>
            <w:r>
              <w:rPr>
                <w:sz w:val="17"/>
              </w:rPr>
              <w:t>Area di </w:t>
            </w:r>
            <w:r>
              <w:rPr>
                <w:i/>
                <w:sz w:val="17"/>
              </w:rPr>
              <w:t>policy</w:t>
            </w:r>
          </w:p>
        </w:tc>
        <w:tc>
          <w:tcPr>
            <w:tcW w:w="3855" w:type="dxa"/>
            <w:tcBorders>
              <w:bottom w:val="single" w:sz="4" w:space="0" w:color="000000"/>
            </w:tcBorders>
            <w:shd w:val="clear" w:color="auto" w:fill="EFEFEF"/>
          </w:tcPr>
          <w:p>
            <w:pPr>
              <w:pStyle w:val="TableParagraph"/>
              <w:spacing w:before="45"/>
              <w:ind w:left="1071"/>
              <w:jc w:val="left"/>
              <w:rPr>
                <w:sz w:val="17"/>
              </w:rPr>
            </w:pPr>
            <w:r>
              <w:rPr>
                <w:sz w:val="17"/>
              </w:rPr>
              <w:t>Raccomandazioni 2019</w:t>
            </w:r>
          </w:p>
        </w:tc>
        <w:tc>
          <w:tcPr>
            <w:tcW w:w="3855" w:type="dxa"/>
            <w:tcBorders>
              <w:bottom w:val="single" w:sz="4" w:space="0" w:color="000000"/>
            </w:tcBorders>
            <w:shd w:val="clear" w:color="auto" w:fill="EFEFEF"/>
          </w:tcPr>
          <w:p>
            <w:pPr>
              <w:pStyle w:val="TableParagraph"/>
              <w:spacing w:before="45"/>
              <w:ind w:left="1070"/>
              <w:jc w:val="left"/>
              <w:rPr>
                <w:sz w:val="17"/>
              </w:rPr>
            </w:pPr>
            <w:r>
              <w:rPr>
                <w:sz w:val="17"/>
              </w:rPr>
              <w:t>Raccomandazioni 2018</w:t>
            </w:r>
          </w:p>
        </w:tc>
      </w:tr>
      <w:tr>
        <w:trPr>
          <w:trHeight w:val="834" w:hRule="atLeast"/>
        </w:trPr>
        <w:tc>
          <w:tcPr>
            <w:tcW w:w="1517" w:type="dxa"/>
            <w:tcBorders>
              <w:top w:val="single" w:sz="4" w:space="0" w:color="000000"/>
              <w:left w:val="single" w:sz="4" w:space="0" w:color="000000"/>
              <w:bottom w:val="single" w:sz="4" w:space="0" w:color="000000"/>
            </w:tcBorders>
          </w:tcPr>
          <w:p>
            <w:pPr>
              <w:pStyle w:val="TableParagraph"/>
              <w:spacing w:before="4"/>
              <w:jc w:val="left"/>
              <w:rPr>
                <w:rFonts w:ascii="Times New Roman"/>
                <w:sz w:val="20"/>
              </w:rPr>
            </w:pPr>
          </w:p>
          <w:p>
            <w:pPr>
              <w:pStyle w:val="TableParagraph"/>
              <w:spacing w:line="181" w:lineRule="exact"/>
              <w:ind w:left="57"/>
              <w:jc w:val="left"/>
              <w:rPr>
                <w:sz w:val="16"/>
              </w:rPr>
            </w:pPr>
            <w:r>
              <w:rPr>
                <w:sz w:val="16"/>
              </w:rPr>
              <w:t>Finanza pubblica e</w:t>
            </w:r>
          </w:p>
          <w:p>
            <w:pPr>
              <w:pStyle w:val="TableParagraph"/>
              <w:spacing w:line="181" w:lineRule="exact"/>
              <w:ind w:left="57"/>
              <w:jc w:val="left"/>
              <w:rPr>
                <w:i/>
                <w:sz w:val="16"/>
              </w:rPr>
            </w:pPr>
            <w:r>
              <w:rPr>
                <w:i/>
                <w:sz w:val="16"/>
              </w:rPr>
              <w:t>Spending Review</w:t>
            </w:r>
          </w:p>
        </w:tc>
        <w:tc>
          <w:tcPr>
            <w:tcW w:w="3855" w:type="dxa"/>
            <w:tcBorders>
              <w:top w:val="single" w:sz="4" w:space="0" w:color="000000"/>
              <w:bottom w:val="single" w:sz="4" w:space="0" w:color="000000"/>
            </w:tcBorders>
          </w:tcPr>
          <w:p>
            <w:pPr>
              <w:pStyle w:val="TableParagraph"/>
              <w:spacing w:before="54"/>
              <w:ind w:left="57" w:right="170"/>
              <w:jc w:val="left"/>
              <w:rPr>
                <w:sz w:val="16"/>
              </w:rPr>
            </w:pPr>
            <w:r>
              <w:rPr>
                <w:sz w:val="16"/>
              </w:rPr>
              <w:t>Racc. 1-Assicurare una riduzione in termini nominali della spesa pubblica primaria netta dello 0,1% nel 2020, corrispondente a un aggiustamento strutturale annuo dello 0,6% del PIL. […]</w:t>
            </w:r>
          </w:p>
        </w:tc>
        <w:tc>
          <w:tcPr>
            <w:tcW w:w="3855" w:type="dxa"/>
            <w:tcBorders>
              <w:top w:val="single" w:sz="4" w:space="0" w:color="000000"/>
              <w:bottom w:val="single" w:sz="4" w:space="0" w:color="000000"/>
            </w:tcBorders>
          </w:tcPr>
          <w:p>
            <w:pPr>
              <w:pStyle w:val="TableParagraph"/>
              <w:spacing w:before="54"/>
              <w:ind w:left="60" w:right="203"/>
              <w:jc w:val="left"/>
              <w:rPr>
                <w:sz w:val="16"/>
              </w:rPr>
            </w:pPr>
            <w:r>
              <w:rPr>
                <w:sz w:val="16"/>
              </w:rPr>
              <w:t>Racc. 1- Assicurare che il tasso di crescita nominale della spesa pubblica primaria netta non superi lo 0,1 nel 2019, corrispondente a un aggiustamento strutturale annuo dello 0,6% del PIL. […]</w:t>
            </w:r>
          </w:p>
        </w:tc>
      </w:tr>
      <w:tr>
        <w:trPr>
          <w:trHeight w:val="654" w:hRule="atLeast"/>
        </w:trPr>
        <w:tc>
          <w:tcPr>
            <w:tcW w:w="1517" w:type="dxa"/>
            <w:tcBorders>
              <w:top w:val="single" w:sz="4" w:space="0" w:color="000000"/>
              <w:left w:val="single" w:sz="4" w:space="0" w:color="000000"/>
              <w:bottom w:val="single" w:sz="4" w:space="0" w:color="000000"/>
            </w:tcBorders>
          </w:tcPr>
          <w:p>
            <w:pPr>
              <w:pStyle w:val="TableParagraph"/>
              <w:spacing w:before="143"/>
              <w:ind w:left="57" w:right="356"/>
              <w:jc w:val="left"/>
              <w:rPr>
                <w:sz w:val="16"/>
              </w:rPr>
            </w:pPr>
            <w:r>
              <w:rPr>
                <w:sz w:val="16"/>
              </w:rPr>
              <w:t>Privatizzazioni e debito pubblico</w:t>
            </w:r>
          </w:p>
        </w:tc>
        <w:tc>
          <w:tcPr>
            <w:tcW w:w="3855" w:type="dxa"/>
            <w:tcBorders>
              <w:top w:val="single" w:sz="4" w:space="0" w:color="000000"/>
              <w:bottom w:val="single" w:sz="4" w:space="0" w:color="000000"/>
            </w:tcBorders>
          </w:tcPr>
          <w:p>
            <w:pPr>
              <w:pStyle w:val="TableParagraph"/>
              <w:spacing w:before="54"/>
              <w:ind w:left="57" w:right="627"/>
              <w:jc w:val="left"/>
              <w:rPr>
                <w:sz w:val="16"/>
              </w:rPr>
            </w:pPr>
            <w:r>
              <w:rPr>
                <w:sz w:val="16"/>
              </w:rPr>
              <w:t>Racc. 1- […] Utilizzare entrate straordinarie per accelerare la riduzione del rapporto debito pubblico/PIL. […]</w:t>
            </w:r>
          </w:p>
        </w:tc>
        <w:tc>
          <w:tcPr>
            <w:tcW w:w="3855" w:type="dxa"/>
            <w:tcBorders>
              <w:top w:val="single" w:sz="4" w:space="0" w:color="000000"/>
              <w:bottom w:val="single" w:sz="4" w:space="0" w:color="000000"/>
            </w:tcBorders>
          </w:tcPr>
          <w:p>
            <w:pPr>
              <w:pStyle w:val="TableParagraph"/>
              <w:spacing w:before="54"/>
              <w:ind w:left="60" w:right="624"/>
              <w:jc w:val="left"/>
              <w:rPr>
                <w:sz w:val="16"/>
              </w:rPr>
            </w:pPr>
            <w:r>
              <w:rPr>
                <w:sz w:val="16"/>
              </w:rPr>
              <w:t>Racc. 1- […] Utilizzare entrate straordinarie per accelerare la riduzione del rapporto debito pubblico/PIL. […]</w:t>
            </w:r>
          </w:p>
        </w:tc>
      </w:tr>
      <w:tr>
        <w:trPr>
          <w:trHeight w:val="1550" w:hRule="atLeast"/>
        </w:trPr>
        <w:tc>
          <w:tcPr>
            <w:tcW w:w="1517" w:type="dxa"/>
            <w:tcBorders>
              <w:top w:val="single" w:sz="4" w:space="0" w:color="000000"/>
              <w:left w:val="single" w:sz="4" w:space="0" w:color="000000"/>
              <w:bottom w:val="single" w:sz="6" w:space="0" w:color="000000"/>
            </w:tcBorders>
          </w:tcPr>
          <w:p>
            <w:pPr>
              <w:pStyle w:val="TableParagraph"/>
              <w:jc w:val="left"/>
              <w:rPr>
                <w:rFonts w:ascii="Times New Roman"/>
                <w:sz w:val="18"/>
              </w:rPr>
            </w:pPr>
          </w:p>
          <w:p>
            <w:pPr>
              <w:pStyle w:val="TableParagraph"/>
              <w:jc w:val="left"/>
              <w:rPr>
                <w:rFonts w:ascii="Times New Roman"/>
                <w:sz w:val="18"/>
              </w:rPr>
            </w:pPr>
          </w:p>
          <w:p>
            <w:pPr>
              <w:pStyle w:val="TableParagraph"/>
              <w:spacing w:before="5"/>
              <w:jc w:val="left"/>
              <w:rPr>
                <w:rFonts w:ascii="Times New Roman"/>
                <w:sz w:val="23"/>
              </w:rPr>
            </w:pPr>
          </w:p>
          <w:p>
            <w:pPr>
              <w:pStyle w:val="TableParagraph"/>
              <w:ind w:left="57"/>
              <w:jc w:val="left"/>
              <w:rPr>
                <w:sz w:val="16"/>
              </w:rPr>
            </w:pPr>
            <w:r>
              <w:rPr>
                <w:sz w:val="16"/>
              </w:rPr>
              <w:t>Politica fiscale</w:t>
            </w:r>
          </w:p>
        </w:tc>
        <w:tc>
          <w:tcPr>
            <w:tcW w:w="3855" w:type="dxa"/>
            <w:tcBorders>
              <w:top w:val="single" w:sz="4" w:space="0" w:color="000000"/>
              <w:bottom w:val="single" w:sz="6" w:space="0" w:color="000000"/>
            </w:tcBorders>
          </w:tcPr>
          <w:p>
            <w:pPr>
              <w:pStyle w:val="TableParagraph"/>
              <w:spacing w:before="54"/>
              <w:ind w:left="57" w:right="47"/>
              <w:jc w:val="left"/>
              <w:rPr>
                <w:sz w:val="16"/>
              </w:rPr>
            </w:pPr>
            <w:r>
              <w:rPr>
                <w:sz w:val="16"/>
              </w:rPr>
              <w:t>Racc. 1 - […] Spostare la pressione fiscale dal lavoro, in particolare riducendo le agevolazioni fiscali e riformando i valori catastali non aggiornati. Contrastare l’evasione fiscale, in particolare nella forma dell’omessa fatturazione, potenziando i pagamenti elettronici obbligatori anche mediante un abbassamento dei limiti legali per i pagamenti in contanti.. […]</w:t>
            </w:r>
          </w:p>
        </w:tc>
        <w:tc>
          <w:tcPr>
            <w:tcW w:w="3855" w:type="dxa"/>
            <w:tcBorders>
              <w:top w:val="single" w:sz="4" w:space="0" w:color="000000"/>
              <w:bottom w:val="single" w:sz="6" w:space="0" w:color="000000"/>
            </w:tcBorders>
          </w:tcPr>
          <w:p>
            <w:pPr>
              <w:pStyle w:val="TableParagraph"/>
              <w:spacing w:before="54"/>
              <w:ind w:left="60" w:right="47"/>
              <w:jc w:val="left"/>
              <w:rPr>
                <w:sz w:val="16"/>
              </w:rPr>
            </w:pPr>
            <w:r>
              <w:rPr>
                <w:sz w:val="16"/>
              </w:rPr>
              <w:t>Racc. 1 - […] Spostare la pressione fiscale dal lavoro,</w:t>
            </w:r>
            <w:r>
              <w:rPr>
                <w:spacing w:val="-19"/>
                <w:sz w:val="16"/>
              </w:rPr>
              <w:t> </w:t>
            </w:r>
            <w:r>
              <w:rPr>
                <w:sz w:val="16"/>
              </w:rPr>
              <w:t>in particolare riducendo le agevolazioni fiscali e riformando i valori catastali non</w:t>
            </w:r>
            <w:r>
              <w:rPr>
                <w:spacing w:val="-6"/>
                <w:sz w:val="16"/>
              </w:rPr>
              <w:t> </w:t>
            </w:r>
            <w:r>
              <w:rPr>
                <w:sz w:val="16"/>
              </w:rPr>
              <w:t>aggiornati.</w:t>
            </w:r>
          </w:p>
          <w:p>
            <w:pPr>
              <w:pStyle w:val="TableParagraph"/>
              <w:spacing w:line="237" w:lineRule="auto"/>
              <w:ind w:left="60" w:right="157"/>
              <w:jc w:val="left"/>
              <w:rPr>
                <w:sz w:val="16"/>
              </w:rPr>
            </w:pPr>
            <w:r>
              <w:rPr>
                <w:sz w:val="16"/>
              </w:rPr>
              <w:t>Intensificare gli sforzi per ridurre l’economia sommersa, in particolare potenziando i pagamenti elettronici obbligatori mediante un abbassamento dei limiti legali per i pagamenti in contanti.</w:t>
            </w:r>
            <w:r>
              <w:rPr>
                <w:spacing w:val="-8"/>
                <w:sz w:val="16"/>
              </w:rPr>
              <w:t> </w:t>
            </w:r>
            <w:r>
              <w:rPr>
                <w:sz w:val="16"/>
              </w:rPr>
              <w:t>[…]</w:t>
            </w:r>
          </w:p>
        </w:tc>
      </w:tr>
      <w:tr>
        <w:trPr>
          <w:trHeight w:val="832" w:hRule="atLeast"/>
        </w:trPr>
        <w:tc>
          <w:tcPr>
            <w:tcW w:w="1517" w:type="dxa"/>
            <w:tcBorders>
              <w:top w:val="single" w:sz="6" w:space="0" w:color="000000"/>
              <w:left w:val="single" w:sz="4" w:space="0" w:color="000000"/>
              <w:bottom w:val="single" w:sz="4" w:space="0" w:color="000000"/>
            </w:tcBorders>
          </w:tcPr>
          <w:p>
            <w:pPr>
              <w:pStyle w:val="TableParagraph"/>
              <w:jc w:val="left"/>
              <w:rPr>
                <w:rFonts w:ascii="Times New Roman"/>
                <w:sz w:val="18"/>
              </w:rPr>
            </w:pPr>
          </w:p>
          <w:p>
            <w:pPr>
              <w:pStyle w:val="TableParagraph"/>
              <w:spacing w:before="116"/>
              <w:ind w:left="57"/>
              <w:jc w:val="left"/>
              <w:rPr>
                <w:sz w:val="16"/>
              </w:rPr>
            </w:pPr>
            <w:r>
              <w:rPr>
                <w:sz w:val="16"/>
              </w:rPr>
              <w:t>Povertà</w:t>
            </w:r>
          </w:p>
        </w:tc>
        <w:tc>
          <w:tcPr>
            <w:tcW w:w="3855" w:type="dxa"/>
            <w:tcBorders>
              <w:top w:val="single" w:sz="6" w:space="0" w:color="000000"/>
              <w:bottom w:val="single" w:sz="4" w:space="0" w:color="000000"/>
            </w:tcBorders>
          </w:tcPr>
          <w:p>
            <w:pPr>
              <w:pStyle w:val="TableParagraph"/>
              <w:spacing w:before="52"/>
              <w:ind w:left="57" w:right="63"/>
              <w:jc w:val="left"/>
              <w:rPr>
                <w:sz w:val="16"/>
              </w:rPr>
            </w:pPr>
            <w:r>
              <w:rPr>
                <w:sz w:val="16"/>
              </w:rPr>
              <w:t>Racc. 1 - […] Attuare pienamente le passate riforme pensionistiche al fine di ridurre il peso delle pensioni di vecchiaia nella spesa pubblica e creare margini per altra spesa sociale e spesa pubblica.</w:t>
            </w:r>
          </w:p>
        </w:tc>
        <w:tc>
          <w:tcPr>
            <w:tcW w:w="3855" w:type="dxa"/>
            <w:tcBorders>
              <w:top w:val="single" w:sz="6" w:space="0" w:color="000000"/>
              <w:bottom w:val="single" w:sz="4" w:space="0" w:color="000000"/>
            </w:tcBorders>
          </w:tcPr>
          <w:p>
            <w:pPr>
              <w:pStyle w:val="TableParagraph"/>
              <w:spacing w:before="52"/>
              <w:ind w:left="60" w:right="118"/>
              <w:jc w:val="both"/>
              <w:rPr>
                <w:sz w:val="16"/>
              </w:rPr>
            </w:pPr>
            <w:r>
              <w:rPr>
                <w:sz w:val="16"/>
              </w:rPr>
              <w:t>Racc. 1 - […] Ridurre il peso delle pensioni di vecchiaia nella spesa pubblica al fine di creare margini per altra spesa sociale.</w:t>
            </w:r>
          </w:p>
        </w:tc>
      </w:tr>
      <w:tr>
        <w:trPr>
          <w:trHeight w:val="1554" w:hRule="atLeast"/>
        </w:trPr>
        <w:tc>
          <w:tcPr>
            <w:tcW w:w="1517" w:type="dxa"/>
            <w:tcBorders>
              <w:top w:val="single" w:sz="4" w:space="0" w:color="000000"/>
              <w:left w:val="single" w:sz="4" w:space="0" w:color="000000"/>
              <w:bottom w:val="single" w:sz="4" w:space="0" w:color="000000"/>
            </w:tcBorders>
          </w:tcPr>
          <w:p>
            <w:pPr>
              <w:pStyle w:val="TableParagraph"/>
              <w:jc w:val="left"/>
              <w:rPr>
                <w:rFonts w:ascii="Times New Roman"/>
                <w:sz w:val="18"/>
              </w:rPr>
            </w:pPr>
          </w:p>
          <w:p>
            <w:pPr>
              <w:pStyle w:val="TableParagraph"/>
              <w:jc w:val="left"/>
              <w:rPr>
                <w:rFonts w:ascii="Times New Roman"/>
                <w:sz w:val="18"/>
              </w:rPr>
            </w:pPr>
          </w:p>
          <w:p>
            <w:pPr>
              <w:pStyle w:val="TableParagraph"/>
              <w:spacing w:before="8"/>
              <w:jc w:val="left"/>
              <w:rPr>
                <w:rFonts w:ascii="Times New Roman"/>
                <w:sz w:val="15"/>
              </w:rPr>
            </w:pPr>
          </w:p>
          <w:p>
            <w:pPr>
              <w:pStyle w:val="TableParagraph"/>
              <w:ind w:left="57" w:right="306"/>
              <w:jc w:val="left"/>
              <w:rPr>
                <w:sz w:val="16"/>
              </w:rPr>
            </w:pPr>
            <w:r>
              <w:rPr>
                <w:sz w:val="16"/>
              </w:rPr>
              <w:t>Lavoro, politiche sociali e famiglia</w:t>
            </w:r>
          </w:p>
        </w:tc>
        <w:tc>
          <w:tcPr>
            <w:tcW w:w="3855" w:type="dxa"/>
            <w:tcBorders>
              <w:top w:val="single" w:sz="4" w:space="0" w:color="000000"/>
              <w:bottom w:val="single" w:sz="4" w:space="0" w:color="000000"/>
            </w:tcBorders>
          </w:tcPr>
          <w:p>
            <w:pPr>
              <w:pStyle w:val="TableParagraph"/>
              <w:spacing w:before="54"/>
              <w:ind w:left="57" w:right="47"/>
              <w:jc w:val="left"/>
              <w:rPr>
                <w:sz w:val="16"/>
              </w:rPr>
            </w:pPr>
            <w:r>
              <w:rPr>
                <w:spacing w:val="-3"/>
                <w:sz w:val="16"/>
              </w:rPr>
              <w:t>Racc. </w:t>
            </w:r>
            <w:r>
              <w:rPr>
                <w:sz w:val="16"/>
              </w:rPr>
              <w:t>2 - </w:t>
            </w:r>
            <w:r>
              <w:rPr>
                <w:spacing w:val="-3"/>
                <w:sz w:val="16"/>
              </w:rPr>
              <w:t>Intensificare </w:t>
            </w:r>
            <w:r>
              <w:rPr>
                <w:sz w:val="16"/>
              </w:rPr>
              <w:t>gli </w:t>
            </w:r>
            <w:r>
              <w:rPr>
                <w:spacing w:val="-3"/>
                <w:sz w:val="16"/>
              </w:rPr>
              <w:t>sforzi </w:t>
            </w:r>
            <w:r>
              <w:rPr>
                <w:sz w:val="16"/>
              </w:rPr>
              <w:t>per </w:t>
            </w:r>
            <w:r>
              <w:rPr>
                <w:spacing w:val="-3"/>
                <w:sz w:val="16"/>
              </w:rPr>
              <w:t>contrastare </w:t>
            </w:r>
            <w:r>
              <w:rPr>
                <w:sz w:val="16"/>
              </w:rPr>
              <w:t>il </w:t>
            </w:r>
            <w:r>
              <w:rPr>
                <w:spacing w:val="-3"/>
                <w:sz w:val="16"/>
              </w:rPr>
              <w:t>lavoro sommerso. </w:t>
            </w:r>
            <w:r>
              <w:rPr>
                <w:spacing w:val="-4"/>
                <w:sz w:val="16"/>
              </w:rPr>
              <w:t>Garantire </w:t>
            </w:r>
            <w:r>
              <w:rPr>
                <w:sz w:val="16"/>
              </w:rPr>
              <w:t>che le </w:t>
            </w:r>
            <w:r>
              <w:rPr>
                <w:spacing w:val="-3"/>
                <w:sz w:val="16"/>
              </w:rPr>
              <w:t>politiche attive </w:t>
            </w:r>
            <w:r>
              <w:rPr>
                <w:sz w:val="16"/>
              </w:rPr>
              <w:t>del </w:t>
            </w:r>
            <w:r>
              <w:rPr>
                <w:spacing w:val="-3"/>
                <w:sz w:val="16"/>
              </w:rPr>
              <w:t>mercato </w:t>
            </w:r>
            <w:r>
              <w:rPr>
                <w:sz w:val="16"/>
              </w:rPr>
              <w:t>del </w:t>
            </w:r>
            <w:r>
              <w:rPr>
                <w:spacing w:val="-3"/>
                <w:sz w:val="16"/>
              </w:rPr>
              <w:t>lavoro </w:t>
            </w:r>
            <w:r>
              <w:rPr>
                <w:sz w:val="16"/>
              </w:rPr>
              <w:t>e le </w:t>
            </w:r>
            <w:r>
              <w:rPr>
                <w:spacing w:val="-3"/>
                <w:sz w:val="16"/>
              </w:rPr>
              <w:t>politiche sociali siano efficacemente integrate </w:t>
            </w:r>
            <w:r>
              <w:rPr>
                <w:sz w:val="16"/>
              </w:rPr>
              <w:t>e </w:t>
            </w:r>
            <w:r>
              <w:rPr>
                <w:spacing w:val="-3"/>
                <w:sz w:val="16"/>
              </w:rPr>
              <w:t>coinvolgano soprattutto </w:t>
            </w:r>
            <w:r>
              <w:rPr>
                <w:sz w:val="16"/>
              </w:rPr>
              <w:t>i </w:t>
            </w:r>
            <w:r>
              <w:rPr>
                <w:spacing w:val="-3"/>
                <w:sz w:val="16"/>
              </w:rPr>
              <w:t>giovani </w:t>
            </w:r>
            <w:r>
              <w:rPr>
                <w:sz w:val="16"/>
              </w:rPr>
              <w:t>e i </w:t>
            </w:r>
            <w:r>
              <w:rPr>
                <w:spacing w:val="-3"/>
                <w:sz w:val="16"/>
              </w:rPr>
              <w:t>gruppi vulnerabili. Sostenere </w:t>
            </w:r>
            <w:r>
              <w:rPr>
                <w:sz w:val="16"/>
              </w:rPr>
              <w:t>la </w:t>
            </w:r>
            <w:r>
              <w:rPr>
                <w:spacing w:val="-3"/>
                <w:sz w:val="16"/>
              </w:rPr>
              <w:t>partecipazione delle donne </w:t>
            </w:r>
            <w:r>
              <w:rPr>
                <w:sz w:val="16"/>
              </w:rPr>
              <w:t>al </w:t>
            </w:r>
            <w:r>
              <w:rPr>
                <w:spacing w:val="-3"/>
                <w:sz w:val="16"/>
              </w:rPr>
              <w:t>mercato </w:t>
            </w:r>
            <w:r>
              <w:rPr>
                <w:sz w:val="16"/>
              </w:rPr>
              <w:t>del </w:t>
            </w:r>
            <w:r>
              <w:rPr>
                <w:spacing w:val="-3"/>
                <w:sz w:val="16"/>
              </w:rPr>
              <w:t>lavoro attraverso </w:t>
            </w:r>
            <w:r>
              <w:rPr>
                <w:sz w:val="16"/>
              </w:rPr>
              <w:t>una </w:t>
            </w:r>
            <w:r>
              <w:rPr>
                <w:spacing w:val="-3"/>
                <w:sz w:val="16"/>
              </w:rPr>
              <w:t>strategia globale, </w:t>
            </w:r>
            <w:r>
              <w:rPr>
                <w:sz w:val="16"/>
              </w:rPr>
              <w:t>in </w:t>
            </w:r>
            <w:r>
              <w:rPr>
                <w:spacing w:val="-3"/>
                <w:sz w:val="16"/>
              </w:rPr>
              <w:t>particolare garantendo l’accesso </w:t>
            </w:r>
            <w:r>
              <w:rPr>
                <w:sz w:val="16"/>
              </w:rPr>
              <w:t>a servizi di </w:t>
            </w:r>
            <w:r>
              <w:rPr>
                <w:spacing w:val="-3"/>
                <w:sz w:val="16"/>
              </w:rPr>
              <w:t>assistenza all’infanzia </w:t>
            </w:r>
            <w:r>
              <w:rPr>
                <w:sz w:val="16"/>
              </w:rPr>
              <w:t>e a </w:t>
            </w:r>
            <w:r>
              <w:rPr>
                <w:spacing w:val="-3"/>
                <w:sz w:val="16"/>
              </w:rPr>
              <w:t>lungo termine </w:t>
            </w:r>
            <w:r>
              <w:rPr>
                <w:sz w:val="16"/>
              </w:rPr>
              <w:t>di </w:t>
            </w:r>
            <w:r>
              <w:rPr>
                <w:spacing w:val="-3"/>
                <w:sz w:val="16"/>
              </w:rPr>
              <w:t>qualità. </w:t>
            </w:r>
            <w:r>
              <w:rPr>
                <w:sz w:val="16"/>
              </w:rPr>
              <w:t>[…]</w:t>
            </w:r>
          </w:p>
        </w:tc>
        <w:tc>
          <w:tcPr>
            <w:tcW w:w="3855" w:type="dxa"/>
            <w:tcBorders>
              <w:top w:val="single" w:sz="4" w:space="0" w:color="000000"/>
              <w:bottom w:val="single" w:sz="4" w:space="0" w:color="000000"/>
            </w:tcBorders>
          </w:tcPr>
          <w:p>
            <w:pPr>
              <w:pStyle w:val="TableParagraph"/>
              <w:spacing w:before="54"/>
              <w:ind w:left="60" w:right="124"/>
              <w:jc w:val="left"/>
              <w:rPr>
                <w:sz w:val="16"/>
              </w:rPr>
            </w:pPr>
            <w:r>
              <w:rPr>
                <w:spacing w:val="-3"/>
                <w:sz w:val="16"/>
              </w:rPr>
              <w:t>Racc. </w:t>
            </w:r>
            <w:r>
              <w:rPr>
                <w:sz w:val="16"/>
              </w:rPr>
              <w:t>4 - </w:t>
            </w:r>
            <w:r>
              <w:rPr>
                <w:spacing w:val="-3"/>
                <w:sz w:val="16"/>
              </w:rPr>
              <w:t>Accelerare l’attuazione della riforma delle politiche attive </w:t>
            </w:r>
            <w:r>
              <w:rPr>
                <w:sz w:val="16"/>
              </w:rPr>
              <w:t>del </w:t>
            </w:r>
            <w:r>
              <w:rPr>
                <w:spacing w:val="-3"/>
                <w:sz w:val="16"/>
              </w:rPr>
              <w:t>lavoro </w:t>
            </w:r>
            <w:r>
              <w:rPr>
                <w:sz w:val="16"/>
              </w:rPr>
              <w:t>per </w:t>
            </w:r>
            <w:r>
              <w:rPr>
                <w:spacing w:val="-3"/>
                <w:sz w:val="16"/>
              </w:rPr>
              <w:t>garantire parità </w:t>
            </w:r>
            <w:r>
              <w:rPr>
                <w:sz w:val="16"/>
              </w:rPr>
              <w:t>di </w:t>
            </w:r>
            <w:r>
              <w:rPr>
                <w:spacing w:val="-3"/>
                <w:sz w:val="16"/>
              </w:rPr>
              <w:t>accesso </w:t>
            </w:r>
            <w:r>
              <w:rPr>
                <w:sz w:val="16"/>
              </w:rPr>
              <w:t>a </w:t>
            </w:r>
            <w:r>
              <w:rPr>
                <w:spacing w:val="-3"/>
                <w:sz w:val="16"/>
              </w:rPr>
              <w:t>servizi </w:t>
            </w:r>
            <w:r>
              <w:rPr>
                <w:sz w:val="16"/>
              </w:rPr>
              <w:t>di </w:t>
            </w:r>
            <w:r>
              <w:rPr>
                <w:spacing w:val="-3"/>
                <w:sz w:val="16"/>
              </w:rPr>
              <w:t>assistenza nella </w:t>
            </w:r>
            <w:r>
              <w:rPr>
                <w:sz w:val="16"/>
              </w:rPr>
              <w:t>ricerca di </w:t>
            </w:r>
            <w:r>
              <w:rPr>
                <w:spacing w:val="-3"/>
                <w:sz w:val="16"/>
              </w:rPr>
              <w:t>lavoro </w:t>
            </w:r>
            <w:r>
              <w:rPr>
                <w:sz w:val="16"/>
              </w:rPr>
              <w:t>e </w:t>
            </w:r>
            <w:r>
              <w:rPr>
                <w:spacing w:val="-3"/>
                <w:sz w:val="16"/>
              </w:rPr>
              <w:t>alla formazione. Incoraggiare </w:t>
            </w:r>
            <w:r>
              <w:rPr>
                <w:sz w:val="16"/>
              </w:rPr>
              <w:t>la </w:t>
            </w:r>
            <w:r>
              <w:rPr>
                <w:spacing w:val="-3"/>
                <w:sz w:val="16"/>
              </w:rPr>
              <w:t>partecipazione delle donne </w:t>
            </w:r>
            <w:r>
              <w:rPr>
                <w:sz w:val="16"/>
              </w:rPr>
              <w:t>al </w:t>
            </w:r>
            <w:r>
              <w:rPr>
                <w:spacing w:val="-3"/>
                <w:sz w:val="16"/>
              </w:rPr>
              <w:t>mercato </w:t>
            </w:r>
            <w:r>
              <w:rPr>
                <w:sz w:val="16"/>
              </w:rPr>
              <w:t>del </w:t>
            </w:r>
            <w:r>
              <w:rPr>
                <w:spacing w:val="-3"/>
                <w:sz w:val="16"/>
              </w:rPr>
              <w:t>lavoro attraverso una strategia globale, razionalizzando </w:t>
            </w:r>
            <w:r>
              <w:rPr>
                <w:sz w:val="16"/>
              </w:rPr>
              <w:t>le </w:t>
            </w:r>
            <w:r>
              <w:rPr>
                <w:spacing w:val="-3"/>
                <w:sz w:val="16"/>
              </w:rPr>
              <w:t>politiche </w:t>
            </w:r>
            <w:r>
              <w:rPr>
                <w:sz w:val="16"/>
              </w:rPr>
              <w:t>di </w:t>
            </w:r>
            <w:r>
              <w:rPr>
                <w:spacing w:val="-3"/>
                <w:sz w:val="16"/>
              </w:rPr>
              <w:t>sostegno alle famiglie </w:t>
            </w:r>
            <w:r>
              <w:rPr>
                <w:sz w:val="16"/>
              </w:rPr>
              <w:t>ed </w:t>
            </w:r>
            <w:r>
              <w:rPr>
                <w:spacing w:val="-3"/>
                <w:sz w:val="16"/>
              </w:rPr>
              <w:t>estendendo </w:t>
            </w:r>
            <w:r>
              <w:rPr>
                <w:sz w:val="16"/>
              </w:rPr>
              <w:t>la </w:t>
            </w:r>
            <w:r>
              <w:rPr>
                <w:spacing w:val="-3"/>
                <w:sz w:val="16"/>
              </w:rPr>
              <w:t>copertura delle strutture </w:t>
            </w:r>
            <w:r>
              <w:rPr>
                <w:sz w:val="16"/>
              </w:rPr>
              <w:t>di </w:t>
            </w:r>
            <w:r>
              <w:rPr>
                <w:spacing w:val="-3"/>
                <w:sz w:val="16"/>
              </w:rPr>
              <w:t>assistenza all’infanzia. </w:t>
            </w:r>
            <w:r>
              <w:rPr>
                <w:sz w:val="16"/>
              </w:rPr>
              <w:t>[…]</w:t>
            </w:r>
          </w:p>
        </w:tc>
      </w:tr>
      <w:tr>
        <w:trPr>
          <w:trHeight w:val="832" w:hRule="atLeast"/>
        </w:trPr>
        <w:tc>
          <w:tcPr>
            <w:tcW w:w="1517" w:type="dxa"/>
            <w:tcBorders>
              <w:top w:val="single" w:sz="4" w:space="0" w:color="000000"/>
              <w:left w:val="single" w:sz="4" w:space="0" w:color="000000"/>
              <w:bottom w:val="single" w:sz="4" w:space="0" w:color="000000"/>
            </w:tcBorders>
          </w:tcPr>
          <w:p>
            <w:pPr>
              <w:pStyle w:val="TableParagraph"/>
              <w:jc w:val="left"/>
              <w:rPr>
                <w:rFonts w:ascii="Times New Roman"/>
                <w:sz w:val="18"/>
              </w:rPr>
            </w:pPr>
          </w:p>
          <w:p>
            <w:pPr>
              <w:pStyle w:val="TableParagraph"/>
              <w:spacing w:before="116"/>
              <w:ind w:left="57"/>
              <w:jc w:val="left"/>
              <w:rPr>
                <w:sz w:val="16"/>
              </w:rPr>
            </w:pPr>
            <w:r>
              <w:rPr>
                <w:sz w:val="16"/>
              </w:rPr>
              <w:t>Istruzione e ricerca</w:t>
            </w:r>
          </w:p>
        </w:tc>
        <w:tc>
          <w:tcPr>
            <w:tcW w:w="3855" w:type="dxa"/>
            <w:tcBorders>
              <w:top w:val="single" w:sz="4" w:space="0" w:color="000000"/>
              <w:bottom w:val="single" w:sz="4" w:space="0" w:color="000000"/>
            </w:tcBorders>
          </w:tcPr>
          <w:p>
            <w:pPr>
              <w:pStyle w:val="TableParagraph"/>
              <w:spacing w:before="54"/>
              <w:ind w:left="57" w:right="170"/>
              <w:jc w:val="left"/>
              <w:rPr>
                <w:sz w:val="16"/>
              </w:rPr>
            </w:pPr>
            <w:r>
              <w:rPr>
                <w:sz w:val="16"/>
              </w:rPr>
              <w:t>Racc. 2 - […] </w:t>
            </w:r>
            <w:r>
              <w:rPr>
                <w:spacing w:val="-4"/>
                <w:sz w:val="16"/>
              </w:rPr>
              <w:t>Migliorare </w:t>
            </w:r>
            <w:r>
              <w:rPr>
                <w:sz w:val="16"/>
              </w:rPr>
              <w:t>i </w:t>
            </w:r>
            <w:r>
              <w:rPr>
                <w:spacing w:val="-3"/>
                <w:sz w:val="16"/>
              </w:rPr>
              <w:t>risultati scolastici, anche mediante adeguati investimenti mirati, </w:t>
            </w:r>
            <w:r>
              <w:rPr>
                <w:sz w:val="16"/>
              </w:rPr>
              <w:t>e </w:t>
            </w:r>
            <w:r>
              <w:rPr>
                <w:spacing w:val="-3"/>
                <w:sz w:val="16"/>
              </w:rPr>
              <w:t>promuovere </w:t>
            </w:r>
            <w:r>
              <w:rPr>
                <w:sz w:val="16"/>
              </w:rPr>
              <w:t>il </w:t>
            </w:r>
            <w:r>
              <w:rPr>
                <w:spacing w:val="-3"/>
                <w:sz w:val="16"/>
              </w:rPr>
              <w:t>miglioramento delle competenze, </w:t>
            </w:r>
            <w:r>
              <w:rPr>
                <w:sz w:val="16"/>
              </w:rPr>
              <w:t>in </w:t>
            </w:r>
            <w:r>
              <w:rPr>
                <w:spacing w:val="-3"/>
                <w:sz w:val="16"/>
              </w:rPr>
              <w:t>particolare rafforzando </w:t>
            </w:r>
            <w:r>
              <w:rPr>
                <w:sz w:val="16"/>
              </w:rPr>
              <w:t>le </w:t>
            </w:r>
            <w:r>
              <w:rPr>
                <w:spacing w:val="-3"/>
                <w:sz w:val="16"/>
              </w:rPr>
              <w:t>competenze digitali.</w:t>
            </w:r>
          </w:p>
        </w:tc>
        <w:tc>
          <w:tcPr>
            <w:tcW w:w="3855" w:type="dxa"/>
            <w:tcBorders>
              <w:top w:val="single" w:sz="4" w:space="0" w:color="000000"/>
              <w:bottom w:val="single" w:sz="4" w:space="0" w:color="000000"/>
            </w:tcBorders>
          </w:tcPr>
          <w:p>
            <w:pPr>
              <w:pStyle w:val="TableParagraph"/>
              <w:spacing w:before="54"/>
              <w:ind w:left="60"/>
              <w:jc w:val="left"/>
              <w:rPr>
                <w:sz w:val="16"/>
              </w:rPr>
            </w:pPr>
            <w:r>
              <w:rPr>
                <w:spacing w:val="-3"/>
                <w:sz w:val="16"/>
              </w:rPr>
              <w:t>Racc. </w:t>
            </w:r>
            <w:r>
              <w:rPr>
                <w:sz w:val="16"/>
              </w:rPr>
              <w:t>4 - […] </w:t>
            </w:r>
            <w:r>
              <w:rPr>
                <w:spacing w:val="-3"/>
                <w:sz w:val="16"/>
              </w:rPr>
              <w:t>Promuovere </w:t>
            </w:r>
            <w:r>
              <w:rPr>
                <w:sz w:val="16"/>
              </w:rPr>
              <w:t>la </w:t>
            </w:r>
            <w:r>
              <w:rPr>
                <w:spacing w:val="-3"/>
                <w:sz w:val="16"/>
              </w:rPr>
              <w:t>ricerca, </w:t>
            </w:r>
            <w:r>
              <w:rPr>
                <w:spacing w:val="-4"/>
                <w:sz w:val="16"/>
              </w:rPr>
              <w:t>l’innovazione, </w:t>
            </w:r>
            <w:r>
              <w:rPr>
                <w:sz w:val="16"/>
              </w:rPr>
              <w:t>le </w:t>
            </w:r>
            <w:r>
              <w:rPr>
                <w:spacing w:val="-3"/>
                <w:sz w:val="16"/>
              </w:rPr>
              <w:t>competenze digitali </w:t>
            </w:r>
            <w:r>
              <w:rPr>
                <w:sz w:val="16"/>
              </w:rPr>
              <w:t>e le </w:t>
            </w:r>
            <w:r>
              <w:rPr>
                <w:spacing w:val="-3"/>
                <w:sz w:val="16"/>
              </w:rPr>
              <w:t>infrastrutture mediante investimenti meglio mirati </w:t>
            </w:r>
            <w:r>
              <w:rPr>
                <w:sz w:val="16"/>
              </w:rPr>
              <w:t>e </w:t>
            </w:r>
            <w:r>
              <w:rPr>
                <w:spacing w:val="-3"/>
                <w:sz w:val="16"/>
              </w:rPr>
              <w:t>accrescere </w:t>
            </w:r>
            <w:r>
              <w:rPr>
                <w:sz w:val="16"/>
              </w:rPr>
              <w:t>la </w:t>
            </w:r>
            <w:r>
              <w:rPr>
                <w:spacing w:val="-3"/>
                <w:sz w:val="16"/>
              </w:rPr>
              <w:t>partecipazione all’istruzione terziaria professionalizzante.</w:t>
            </w:r>
          </w:p>
        </w:tc>
      </w:tr>
      <w:tr>
        <w:trPr>
          <w:trHeight w:val="835" w:hRule="atLeast"/>
        </w:trPr>
        <w:tc>
          <w:tcPr>
            <w:tcW w:w="1517" w:type="dxa"/>
            <w:tcBorders>
              <w:top w:val="single" w:sz="4" w:space="0" w:color="000000"/>
              <w:left w:val="single" w:sz="4" w:space="0" w:color="000000"/>
              <w:bottom w:val="single" w:sz="4" w:space="0" w:color="000000"/>
            </w:tcBorders>
          </w:tcPr>
          <w:p>
            <w:pPr>
              <w:pStyle w:val="TableParagraph"/>
              <w:spacing w:before="4"/>
              <w:jc w:val="left"/>
              <w:rPr>
                <w:rFonts w:ascii="Times New Roman"/>
                <w:sz w:val="20"/>
              </w:rPr>
            </w:pPr>
          </w:p>
          <w:p>
            <w:pPr>
              <w:pStyle w:val="TableParagraph"/>
              <w:ind w:left="57" w:right="327"/>
              <w:jc w:val="left"/>
              <w:rPr>
                <w:sz w:val="16"/>
              </w:rPr>
            </w:pPr>
            <w:r>
              <w:rPr>
                <w:sz w:val="16"/>
              </w:rPr>
              <w:t>Infrastrutture ed investimenti</w:t>
            </w:r>
          </w:p>
        </w:tc>
        <w:tc>
          <w:tcPr>
            <w:tcW w:w="3855" w:type="dxa"/>
            <w:tcBorders>
              <w:top w:val="single" w:sz="4" w:space="0" w:color="000000"/>
              <w:bottom w:val="single" w:sz="4" w:space="0" w:color="000000"/>
            </w:tcBorders>
          </w:tcPr>
          <w:p>
            <w:pPr>
              <w:pStyle w:val="TableParagraph"/>
              <w:spacing w:before="54"/>
              <w:ind w:left="57" w:right="41"/>
              <w:jc w:val="left"/>
              <w:rPr>
                <w:sz w:val="16"/>
              </w:rPr>
            </w:pPr>
            <w:r>
              <w:rPr>
                <w:sz w:val="16"/>
              </w:rPr>
              <w:t>Racc. 3 – Porre l’accento sulla politica economica connessa agli investimenti in materia di ricerca e innovazione e sulla qualità delle infrastrutture, tenendo conto delle disparità regionali. […]</w:t>
            </w:r>
          </w:p>
        </w:tc>
        <w:tc>
          <w:tcPr>
            <w:tcW w:w="3855" w:type="dxa"/>
            <w:tcBorders>
              <w:top w:val="single" w:sz="4" w:space="0" w:color="000000"/>
              <w:bottom w:val="single" w:sz="4" w:space="0" w:color="000000"/>
            </w:tcBorders>
          </w:tcPr>
          <w:p>
            <w:pPr>
              <w:pStyle w:val="TableParagraph"/>
              <w:jc w:val="left"/>
              <w:rPr>
                <w:rFonts w:ascii="Times New Roman"/>
                <w:sz w:val="16"/>
              </w:rPr>
            </w:pPr>
          </w:p>
        </w:tc>
      </w:tr>
      <w:tr>
        <w:trPr>
          <w:trHeight w:val="1014" w:hRule="atLeast"/>
        </w:trPr>
        <w:tc>
          <w:tcPr>
            <w:tcW w:w="1517" w:type="dxa"/>
            <w:tcBorders>
              <w:top w:val="single" w:sz="4" w:space="0" w:color="000000"/>
              <w:left w:val="single" w:sz="4" w:space="0" w:color="000000"/>
              <w:bottom w:val="single" w:sz="4" w:space="0" w:color="000000"/>
            </w:tcBorders>
          </w:tcPr>
          <w:p>
            <w:pPr>
              <w:pStyle w:val="TableParagraph"/>
              <w:jc w:val="left"/>
              <w:rPr>
                <w:rFonts w:ascii="Times New Roman"/>
                <w:sz w:val="18"/>
              </w:rPr>
            </w:pPr>
          </w:p>
          <w:p>
            <w:pPr>
              <w:pStyle w:val="TableParagraph"/>
              <w:jc w:val="left"/>
              <w:rPr>
                <w:rFonts w:ascii="Times New Roman"/>
                <w:sz w:val="18"/>
              </w:rPr>
            </w:pPr>
          </w:p>
          <w:p>
            <w:pPr>
              <w:pStyle w:val="TableParagraph"/>
              <w:ind w:left="57"/>
              <w:jc w:val="left"/>
              <w:rPr>
                <w:sz w:val="16"/>
              </w:rPr>
            </w:pPr>
            <w:r>
              <w:rPr>
                <w:sz w:val="16"/>
              </w:rPr>
              <w:t>Riforma della P.A.</w:t>
            </w:r>
          </w:p>
        </w:tc>
        <w:tc>
          <w:tcPr>
            <w:tcW w:w="3855" w:type="dxa"/>
            <w:tcBorders>
              <w:top w:val="single" w:sz="4" w:space="0" w:color="000000"/>
              <w:bottom w:val="single" w:sz="4" w:space="0" w:color="000000"/>
            </w:tcBorders>
          </w:tcPr>
          <w:p>
            <w:pPr>
              <w:pStyle w:val="TableParagraph"/>
              <w:spacing w:before="54"/>
              <w:ind w:left="57" w:right="169"/>
              <w:jc w:val="left"/>
              <w:rPr>
                <w:sz w:val="16"/>
              </w:rPr>
            </w:pPr>
            <w:r>
              <w:rPr>
                <w:sz w:val="16"/>
              </w:rPr>
              <w:t>Racc. 3 - […] Migliorare l’efficacia della pubblica amministrazione, in particolare investendo nelle competenze dei dipendenti pubblici, accelerando la digitalizzazione e aumentando l’efficienza e la qualità dei servizi pubblici locali. […]</w:t>
            </w:r>
          </w:p>
        </w:tc>
        <w:tc>
          <w:tcPr>
            <w:tcW w:w="3855" w:type="dxa"/>
            <w:tcBorders>
              <w:top w:val="single" w:sz="4" w:space="0" w:color="000000"/>
              <w:bottom w:val="single" w:sz="4" w:space="0" w:color="000000"/>
            </w:tcBorders>
          </w:tcPr>
          <w:p>
            <w:pPr>
              <w:pStyle w:val="TableParagraph"/>
              <w:spacing w:before="54"/>
              <w:ind w:left="60" w:right="198"/>
              <w:jc w:val="left"/>
              <w:rPr>
                <w:sz w:val="16"/>
              </w:rPr>
            </w:pPr>
            <w:r>
              <w:rPr>
                <w:sz w:val="16"/>
              </w:rPr>
              <w:t>Racc. 2 - […] Assicurare il rispetto del nuovo quadro normativo per le imprese di proprietà pubblica e accrescere l’efficienza e la qualità dei servizi pubblici locali. […]</w:t>
            </w:r>
          </w:p>
        </w:tc>
      </w:tr>
      <w:tr>
        <w:trPr>
          <w:trHeight w:val="832" w:hRule="atLeast"/>
        </w:trPr>
        <w:tc>
          <w:tcPr>
            <w:tcW w:w="1517" w:type="dxa"/>
            <w:tcBorders>
              <w:top w:val="single" w:sz="4" w:space="0" w:color="000000"/>
              <w:left w:val="single" w:sz="4" w:space="0" w:color="000000"/>
              <w:bottom w:val="single" w:sz="4" w:space="0" w:color="000000"/>
            </w:tcBorders>
          </w:tcPr>
          <w:p>
            <w:pPr>
              <w:pStyle w:val="TableParagraph"/>
              <w:spacing w:before="4"/>
              <w:jc w:val="left"/>
              <w:rPr>
                <w:rFonts w:ascii="Times New Roman"/>
                <w:sz w:val="20"/>
              </w:rPr>
            </w:pPr>
          </w:p>
          <w:p>
            <w:pPr>
              <w:pStyle w:val="TableParagraph"/>
              <w:ind w:left="57" w:right="461"/>
              <w:jc w:val="left"/>
              <w:rPr>
                <w:sz w:val="16"/>
              </w:rPr>
            </w:pPr>
            <w:r>
              <w:rPr>
                <w:sz w:val="16"/>
              </w:rPr>
              <w:t>Concorrenza e competitività</w:t>
            </w:r>
          </w:p>
        </w:tc>
        <w:tc>
          <w:tcPr>
            <w:tcW w:w="3855" w:type="dxa"/>
            <w:tcBorders>
              <w:top w:val="single" w:sz="4" w:space="0" w:color="000000"/>
              <w:bottom w:val="single" w:sz="4" w:space="0" w:color="000000"/>
            </w:tcBorders>
          </w:tcPr>
          <w:p>
            <w:pPr>
              <w:pStyle w:val="TableParagraph"/>
              <w:spacing w:before="54"/>
              <w:ind w:left="57" w:right="44"/>
              <w:jc w:val="left"/>
              <w:rPr>
                <w:sz w:val="16"/>
              </w:rPr>
            </w:pPr>
            <w:r>
              <w:rPr>
                <w:sz w:val="16"/>
              </w:rPr>
              <w:t>Racc. 3 -[…] Affrontare le restrizioni alla concorrenza, in particolare nel settore del commercio al dettaglio e dei servizi alle imprese, anche mediante una nuova legge annuale sulla concorrenza.</w:t>
            </w:r>
          </w:p>
        </w:tc>
        <w:tc>
          <w:tcPr>
            <w:tcW w:w="3855" w:type="dxa"/>
            <w:tcBorders>
              <w:top w:val="single" w:sz="4" w:space="0" w:color="000000"/>
              <w:bottom w:val="single" w:sz="4" w:space="0" w:color="000000"/>
            </w:tcBorders>
          </w:tcPr>
          <w:p>
            <w:pPr>
              <w:pStyle w:val="TableParagraph"/>
              <w:spacing w:before="54"/>
              <w:ind w:left="60" w:right="164"/>
              <w:jc w:val="left"/>
              <w:rPr>
                <w:sz w:val="16"/>
              </w:rPr>
            </w:pPr>
            <w:r>
              <w:rPr>
                <w:sz w:val="16"/>
              </w:rPr>
              <w:t>Racc. 2 - […] Affrontare le restrizioni alla concorrenza, in particolare nel settore dei servizi, anche mediante una nuova legge annuale sulla concorrenza</w:t>
            </w:r>
          </w:p>
        </w:tc>
      </w:tr>
      <w:tr>
        <w:trPr>
          <w:trHeight w:val="1014" w:hRule="atLeast"/>
        </w:trPr>
        <w:tc>
          <w:tcPr>
            <w:tcW w:w="1517" w:type="dxa"/>
            <w:tcBorders>
              <w:top w:val="single" w:sz="4" w:space="0" w:color="000000"/>
              <w:left w:val="single" w:sz="4" w:space="0" w:color="000000"/>
              <w:bottom w:val="single" w:sz="4" w:space="0" w:color="000000"/>
            </w:tcBorders>
          </w:tcPr>
          <w:p>
            <w:pPr>
              <w:pStyle w:val="TableParagraph"/>
              <w:jc w:val="left"/>
              <w:rPr>
                <w:rFonts w:ascii="Times New Roman"/>
                <w:sz w:val="18"/>
              </w:rPr>
            </w:pPr>
          </w:p>
          <w:p>
            <w:pPr>
              <w:pStyle w:val="TableParagraph"/>
              <w:jc w:val="left"/>
              <w:rPr>
                <w:rFonts w:ascii="Times New Roman"/>
                <w:sz w:val="18"/>
              </w:rPr>
            </w:pPr>
          </w:p>
          <w:p>
            <w:pPr>
              <w:pStyle w:val="TableParagraph"/>
              <w:ind w:left="57"/>
              <w:jc w:val="left"/>
              <w:rPr>
                <w:sz w:val="16"/>
              </w:rPr>
            </w:pPr>
            <w:r>
              <w:rPr>
                <w:sz w:val="16"/>
              </w:rPr>
              <w:t>Giustizia civile</w:t>
            </w:r>
          </w:p>
        </w:tc>
        <w:tc>
          <w:tcPr>
            <w:tcW w:w="3855" w:type="dxa"/>
            <w:tcBorders>
              <w:top w:val="single" w:sz="4" w:space="0" w:color="000000"/>
              <w:bottom w:val="single" w:sz="4" w:space="0" w:color="000000"/>
            </w:tcBorders>
          </w:tcPr>
          <w:p>
            <w:pPr>
              <w:pStyle w:val="TableParagraph"/>
              <w:spacing w:before="54"/>
              <w:ind w:left="57" w:right="71"/>
              <w:jc w:val="left"/>
              <w:rPr>
                <w:sz w:val="16"/>
              </w:rPr>
            </w:pPr>
            <w:r>
              <w:rPr>
                <w:sz w:val="16"/>
              </w:rPr>
              <w:t>Racc. 4 - Ridurre la durata dei processi civili in tutti i gradi di giudizio razionalizzando e facendo rispettare le norme di disciplina procedurale, incluse quelle già all’esame del legislatore, con particolare riguardo al regime di insolvenza. […]</w:t>
            </w:r>
          </w:p>
        </w:tc>
        <w:tc>
          <w:tcPr>
            <w:tcW w:w="3855" w:type="dxa"/>
            <w:tcBorders>
              <w:top w:val="single" w:sz="4" w:space="0" w:color="000000"/>
              <w:bottom w:val="single" w:sz="4" w:space="0" w:color="000000"/>
            </w:tcBorders>
          </w:tcPr>
          <w:p>
            <w:pPr>
              <w:pStyle w:val="TableParagraph"/>
              <w:spacing w:before="54"/>
              <w:ind w:left="60" w:right="68"/>
              <w:jc w:val="left"/>
              <w:rPr>
                <w:sz w:val="16"/>
              </w:rPr>
            </w:pPr>
            <w:r>
              <w:rPr>
                <w:sz w:val="16"/>
              </w:rPr>
              <w:t>Racc. 2 - Ridurre la durata dei processi civili in tutti i gradi di giudizio razionalizzando e facendo rispettare le norme di disciplina procedurale, incluse quelle già prese in considerazione dal legislatore. […]</w:t>
            </w:r>
          </w:p>
        </w:tc>
      </w:tr>
      <w:tr>
        <w:trPr>
          <w:trHeight w:val="835" w:hRule="atLeast"/>
        </w:trPr>
        <w:tc>
          <w:tcPr>
            <w:tcW w:w="1517" w:type="dxa"/>
            <w:tcBorders>
              <w:top w:val="single" w:sz="4" w:space="0" w:color="000000"/>
              <w:left w:val="single" w:sz="4" w:space="0" w:color="000000"/>
              <w:bottom w:val="single" w:sz="4" w:space="0" w:color="000000"/>
            </w:tcBorders>
          </w:tcPr>
          <w:p>
            <w:pPr>
              <w:pStyle w:val="TableParagraph"/>
              <w:spacing w:before="4"/>
              <w:jc w:val="left"/>
              <w:rPr>
                <w:rFonts w:ascii="Times New Roman"/>
                <w:sz w:val="20"/>
              </w:rPr>
            </w:pPr>
          </w:p>
          <w:p>
            <w:pPr>
              <w:pStyle w:val="TableParagraph"/>
              <w:ind w:left="57" w:right="232"/>
              <w:jc w:val="left"/>
              <w:rPr>
                <w:sz w:val="16"/>
              </w:rPr>
            </w:pPr>
            <w:r>
              <w:rPr>
                <w:sz w:val="16"/>
              </w:rPr>
              <w:t>Giustizia penale e corruzione</w:t>
            </w:r>
          </w:p>
        </w:tc>
        <w:tc>
          <w:tcPr>
            <w:tcW w:w="3855" w:type="dxa"/>
            <w:tcBorders>
              <w:top w:val="single" w:sz="4" w:space="0" w:color="000000"/>
              <w:bottom w:val="single" w:sz="4" w:space="0" w:color="000000"/>
            </w:tcBorders>
          </w:tcPr>
          <w:p>
            <w:pPr>
              <w:pStyle w:val="TableParagraph"/>
              <w:spacing w:before="54"/>
              <w:ind w:left="57" w:right="242"/>
              <w:jc w:val="both"/>
              <w:rPr>
                <w:sz w:val="16"/>
              </w:rPr>
            </w:pPr>
            <w:r>
              <w:rPr>
                <w:sz w:val="16"/>
              </w:rPr>
              <w:t>Racc. 4 -[…] Migliorare l’efficacia della lotta contro la corruzione riformando le norme procedurali al fine di ridurre la durata dei processi penali.</w:t>
            </w:r>
          </w:p>
        </w:tc>
        <w:tc>
          <w:tcPr>
            <w:tcW w:w="3855" w:type="dxa"/>
            <w:tcBorders>
              <w:top w:val="single" w:sz="4" w:space="0" w:color="000000"/>
              <w:bottom w:val="single" w:sz="4" w:space="0" w:color="000000"/>
            </w:tcBorders>
          </w:tcPr>
          <w:p>
            <w:pPr>
              <w:pStyle w:val="TableParagraph"/>
              <w:spacing w:before="54"/>
              <w:ind w:left="60" w:right="109"/>
              <w:jc w:val="left"/>
              <w:rPr>
                <w:sz w:val="16"/>
              </w:rPr>
            </w:pPr>
            <w:r>
              <w:rPr>
                <w:sz w:val="16"/>
              </w:rPr>
              <w:t>Racc. 2 - […] Aumentare l’efficacia della prevenzione e repressione della corruzione riducendo la durata dei processi penali e attuando il nuovo quadro anticorruzione. […].</w:t>
            </w:r>
          </w:p>
        </w:tc>
      </w:tr>
      <w:tr>
        <w:trPr>
          <w:trHeight w:val="1369" w:hRule="atLeast"/>
        </w:trPr>
        <w:tc>
          <w:tcPr>
            <w:tcW w:w="1517" w:type="dxa"/>
            <w:tcBorders>
              <w:top w:val="single" w:sz="4" w:space="0" w:color="000000"/>
              <w:left w:val="single" w:sz="4" w:space="0" w:color="000000"/>
              <w:bottom w:val="single" w:sz="12" w:space="0" w:color="086D44"/>
            </w:tcBorders>
          </w:tcPr>
          <w:p>
            <w:pPr>
              <w:pStyle w:val="TableParagraph"/>
              <w:jc w:val="left"/>
              <w:rPr>
                <w:rFonts w:ascii="Times New Roman"/>
                <w:sz w:val="18"/>
              </w:rPr>
            </w:pPr>
          </w:p>
          <w:p>
            <w:pPr>
              <w:pStyle w:val="TableParagraph"/>
              <w:spacing w:before="4"/>
              <w:jc w:val="left"/>
              <w:rPr>
                <w:rFonts w:ascii="Times New Roman"/>
                <w:sz w:val="25"/>
              </w:rPr>
            </w:pPr>
          </w:p>
          <w:p>
            <w:pPr>
              <w:pStyle w:val="TableParagraph"/>
              <w:ind w:left="57" w:right="207"/>
              <w:jc w:val="left"/>
              <w:rPr>
                <w:sz w:val="16"/>
              </w:rPr>
            </w:pPr>
            <w:r>
              <w:rPr>
                <w:sz w:val="16"/>
              </w:rPr>
              <w:t>Servizi finanziari e sistema bancario</w:t>
            </w:r>
          </w:p>
        </w:tc>
        <w:tc>
          <w:tcPr>
            <w:tcW w:w="3855" w:type="dxa"/>
            <w:tcBorders>
              <w:top w:val="single" w:sz="4" w:space="0" w:color="000000"/>
              <w:bottom w:val="single" w:sz="12" w:space="0" w:color="086D44"/>
            </w:tcBorders>
          </w:tcPr>
          <w:p>
            <w:pPr>
              <w:pStyle w:val="TableParagraph"/>
              <w:spacing w:before="47"/>
              <w:ind w:left="57" w:right="80"/>
              <w:jc w:val="left"/>
              <w:rPr>
                <w:sz w:val="16"/>
              </w:rPr>
            </w:pPr>
            <w:r>
              <w:rPr>
                <w:sz w:val="16"/>
              </w:rPr>
              <w:t>Racc. 5 - Favorire la ristrutturazione dei bilanci delle banche, in particolare per le banche di piccole e medie dimensioni, migliorando l’efficienza e la qualità degli attivi, continuando la riduzione dei crediti deteriorati e diversificando la provvista; migliorare il finanziamento non bancario per le piccole imprese innovative.</w:t>
            </w:r>
          </w:p>
        </w:tc>
        <w:tc>
          <w:tcPr>
            <w:tcW w:w="3855" w:type="dxa"/>
            <w:tcBorders>
              <w:top w:val="single" w:sz="4" w:space="0" w:color="000000"/>
              <w:bottom w:val="single" w:sz="12" w:space="0" w:color="086D44"/>
            </w:tcBorders>
          </w:tcPr>
          <w:p>
            <w:pPr>
              <w:pStyle w:val="TableParagraph"/>
              <w:spacing w:before="47"/>
              <w:ind w:left="60" w:right="56"/>
              <w:jc w:val="left"/>
              <w:rPr>
                <w:sz w:val="16"/>
              </w:rPr>
            </w:pPr>
            <w:r>
              <w:rPr>
                <w:sz w:val="16"/>
              </w:rPr>
              <w:t>Racc. 3 - Mantenere il ritmo della riduzione dell’elevato stock di crediti deteriorati e sostenere ulteriori misure di ristrutturazione e risanamento dei bilanci delle banche, anche per gli istituti di piccole e medie dimensioni, e attuare tempestivamente la riforma in materia di insolvenza. Migliorare l’accesso delle imprese ai mercati finanziari.</w:t>
            </w:r>
          </w:p>
        </w:tc>
      </w:tr>
    </w:tbl>
    <w:p>
      <w:pPr>
        <w:spacing w:after="0"/>
        <w:jc w:val="left"/>
        <w:rPr>
          <w:sz w:val="16"/>
        </w:rPr>
        <w:sectPr>
          <w:pgSz w:w="11910" w:h="16840"/>
          <w:pgMar w:header="838" w:footer="866" w:top="1100" w:bottom="1060" w:left="1140" w:right="0"/>
        </w:sectPr>
      </w:pPr>
    </w:p>
    <w:p>
      <w:pPr>
        <w:pStyle w:val="BodyText"/>
        <w:rPr>
          <w:rFonts w:ascii="Times New Roman"/>
          <w:sz w:val="20"/>
        </w:rPr>
      </w:pPr>
    </w:p>
    <w:p>
      <w:pPr>
        <w:pStyle w:val="BodyText"/>
        <w:rPr>
          <w:rFonts w:ascii="Times New Roman"/>
          <w:sz w:val="20"/>
        </w:rPr>
      </w:pPr>
    </w:p>
    <w:p>
      <w:pPr>
        <w:pStyle w:val="BodyText"/>
        <w:rPr>
          <w:rFonts w:ascii="Times New Roman"/>
          <w:sz w:val="25"/>
        </w:rPr>
      </w:pPr>
    </w:p>
    <w:p>
      <w:pPr>
        <w:pStyle w:val="Heading2"/>
        <w:numPr>
          <w:ilvl w:val="1"/>
          <w:numId w:val="2"/>
        </w:numPr>
        <w:tabs>
          <w:tab w:pos="817" w:val="left" w:leader="none"/>
        </w:tabs>
        <w:spacing w:line="240" w:lineRule="auto" w:before="99" w:after="0"/>
        <w:ind w:left="816" w:right="0" w:hanging="539"/>
        <w:jc w:val="left"/>
      </w:pPr>
      <w:r>
        <w:rPr>
          <w:color w:val="086D44"/>
        </w:rPr>
        <w:t>PRINCIPALI INIZIATIVE IN RISPOSTA ALLE</w:t>
      </w:r>
      <w:r>
        <w:rPr>
          <w:color w:val="086D44"/>
          <w:spacing w:val="-8"/>
        </w:rPr>
        <w:t> </w:t>
      </w:r>
      <w:r>
        <w:rPr>
          <w:color w:val="086D44"/>
        </w:rPr>
        <w:t>RACCOMANDAZIONI</w:t>
      </w:r>
    </w:p>
    <w:p>
      <w:pPr>
        <w:pStyle w:val="BodyText"/>
        <w:spacing w:before="8"/>
        <w:rPr>
          <w:rFonts w:ascii="Franklin Gothic Heavy"/>
          <w:b/>
        </w:rPr>
      </w:pPr>
    </w:p>
    <w:p>
      <w:pPr>
        <w:pStyle w:val="BodyText"/>
        <w:spacing w:line="252" w:lineRule="auto"/>
        <w:ind w:left="278" w:right="2265" w:firstLine="453"/>
        <w:jc w:val="both"/>
      </w:pPr>
      <w:r>
        <w:rPr/>
        <w:t>Il Governo è impegnato a perseguire una politica di rilancio dell’economia in grado di coniugare la crescita e l’innovazione con la sostenibilità sul piano sociale, ambientale ed economico, per rilanciare il potenziale di sviluppo del nostro Paese. Le</w:t>
      </w:r>
      <w:r>
        <w:rPr>
          <w:spacing w:val="-17"/>
        </w:rPr>
        <w:t> </w:t>
      </w:r>
      <w:r>
        <w:rPr/>
        <w:t>misure</w:t>
      </w:r>
      <w:r>
        <w:rPr>
          <w:spacing w:val="-16"/>
        </w:rPr>
        <w:t> </w:t>
      </w:r>
      <w:r>
        <w:rPr/>
        <w:t>che</w:t>
      </w:r>
      <w:r>
        <w:rPr>
          <w:spacing w:val="-18"/>
        </w:rPr>
        <w:t> </w:t>
      </w:r>
      <w:r>
        <w:rPr/>
        <w:t>saranno</w:t>
      </w:r>
      <w:r>
        <w:rPr>
          <w:spacing w:val="-18"/>
        </w:rPr>
        <w:t> </w:t>
      </w:r>
      <w:r>
        <w:rPr/>
        <w:t>introdotte</w:t>
      </w:r>
      <w:r>
        <w:rPr>
          <w:spacing w:val="-17"/>
        </w:rPr>
        <w:t> </w:t>
      </w:r>
      <w:r>
        <w:rPr/>
        <w:t>mirano</w:t>
      </w:r>
      <w:r>
        <w:rPr>
          <w:spacing w:val="-18"/>
        </w:rPr>
        <w:t> </w:t>
      </w:r>
      <w:r>
        <w:rPr/>
        <w:t>a</w:t>
      </w:r>
      <w:r>
        <w:rPr>
          <w:spacing w:val="-17"/>
        </w:rPr>
        <w:t> </w:t>
      </w:r>
      <w:r>
        <w:rPr/>
        <w:t>intervenire</w:t>
      </w:r>
      <w:r>
        <w:rPr>
          <w:spacing w:val="-17"/>
        </w:rPr>
        <w:t> </w:t>
      </w:r>
      <w:r>
        <w:rPr/>
        <w:t>su</w:t>
      </w:r>
      <w:r>
        <w:rPr>
          <w:spacing w:val="-17"/>
        </w:rPr>
        <w:t> </w:t>
      </w:r>
      <w:r>
        <w:rPr/>
        <w:t>fattori</w:t>
      </w:r>
      <w:r>
        <w:rPr>
          <w:spacing w:val="-17"/>
        </w:rPr>
        <w:t> </w:t>
      </w:r>
      <w:r>
        <w:rPr/>
        <w:t>interni</w:t>
      </w:r>
      <w:r>
        <w:rPr>
          <w:spacing w:val="-17"/>
        </w:rPr>
        <w:t> </w:t>
      </w:r>
      <w:r>
        <w:rPr/>
        <w:t>di</w:t>
      </w:r>
      <w:r>
        <w:rPr>
          <w:spacing w:val="-16"/>
        </w:rPr>
        <w:t> </w:t>
      </w:r>
      <w:r>
        <w:rPr/>
        <w:t>debolezza strutturale, intercettando allo stesso tempo tendenze globali in materia di ambiente, lavoro, capitale umano e</w:t>
      </w:r>
      <w:r>
        <w:rPr>
          <w:spacing w:val="-4"/>
        </w:rPr>
        <w:t> </w:t>
      </w:r>
      <w:r>
        <w:rPr/>
        <w:t>diritti.</w:t>
      </w:r>
    </w:p>
    <w:p>
      <w:pPr>
        <w:pStyle w:val="BodyText"/>
        <w:spacing w:before="6"/>
        <w:rPr>
          <w:sz w:val="33"/>
        </w:rPr>
      </w:pPr>
    </w:p>
    <w:p>
      <w:pPr>
        <w:pStyle w:val="Heading3"/>
        <w:spacing w:before="1"/>
        <w:jc w:val="both"/>
      </w:pPr>
      <w:r>
        <w:rPr>
          <w:color w:val="585858"/>
        </w:rPr>
        <w:t>Finanza pubblica e revisione della spesa - CSR n.1</w:t>
      </w:r>
    </w:p>
    <w:p>
      <w:pPr>
        <w:spacing w:line="232" w:lineRule="auto" w:before="159"/>
        <w:ind w:left="278" w:right="2266" w:firstLine="0"/>
        <w:jc w:val="both"/>
        <w:rPr>
          <w:rFonts w:ascii="Franklin Gothic Book" w:hAnsi="Franklin Gothic Book"/>
          <w:sz w:val="20"/>
        </w:rPr>
      </w:pPr>
      <w:r>
        <w:rPr/>
        <w:pict>
          <v:line style="position:absolute;mso-position-horizontal-relative:page;mso-position-vertical-relative:paragraph;z-index:-251457536;mso-wrap-distance-left:0;mso-wrap-distance-right:0" from="69.503998pt,57.790085pt" to="483.453998pt,57.790085pt" stroked="true" strokeweight="1.44pt" strokecolor="#006247">
            <v:stroke dashstyle="solid"/>
            <w10:wrap type="topAndBottom"/>
          </v:line>
        </w:pict>
      </w:r>
      <w:r>
        <w:rPr>
          <w:rFonts w:ascii="Franklin Gothic Heavy" w:hAnsi="Franklin Gothic Heavy"/>
          <w:b/>
          <w:color w:val="006247"/>
          <w:sz w:val="20"/>
        </w:rPr>
        <w:t>LINEE PROGRAMMATICHE</w:t>
      </w:r>
      <w:r>
        <w:rPr>
          <w:rFonts w:ascii="Franklin Gothic Book" w:hAnsi="Franklin Gothic Book"/>
          <w:sz w:val="20"/>
        </w:rPr>
        <w:t>: Si intende perseguire una politica di rilancio dell’economia senza compromettere gli equilibri di finanza pubblica e, allo stesso tempo, si attuerà una </w:t>
      </w:r>
      <w:r>
        <w:rPr>
          <w:rFonts w:ascii="Franklin Gothic Book" w:hAnsi="Franklin Gothic Book"/>
          <w:i/>
          <w:sz w:val="20"/>
        </w:rPr>
        <w:t>spending </w:t>
      </w:r>
      <w:r>
        <w:rPr>
          <w:rFonts w:ascii="Franklin Gothic Book" w:hAnsi="Franklin Gothic Book"/>
          <w:i/>
          <w:sz w:val="20"/>
        </w:rPr>
        <w:t>review</w:t>
      </w:r>
      <w:r>
        <w:rPr>
          <w:rFonts w:ascii="Franklin Gothic Book" w:hAnsi="Franklin Gothic Book"/>
          <w:sz w:val="20"/>
        </w:rPr>
        <w:t>, riducendo la spesa corrente e migliorando l’efficienza di tutta la spesa primaria. Lo sforzo coinvolgerà le amministrazioni pubbliche a tutti i livelli.</w:t>
      </w:r>
    </w:p>
    <w:p>
      <w:pPr>
        <w:pStyle w:val="BodyText"/>
        <w:spacing w:before="6"/>
        <w:rPr>
          <w:rFonts w:ascii="Franklin Gothic Book"/>
          <w:sz w:val="11"/>
        </w:rPr>
      </w:pPr>
    </w:p>
    <w:p>
      <w:pPr>
        <w:pStyle w:val="BodyText"/>
        <w:spacing w:line="252" w:lineRule="auto" w:before="101"/>
        <w:ind w:left="278" w:right="2262" w:firstLine="453"/>
        <w:jc w:val="both"/>
      </w:pPr>
      <w:r>
        <w:rPr/>
        <w:t>La manovra per il triennio 2020-2022 punta a preservare l’equilibrio della finanza pubblica creando al contempo spazi fiscali per rilanciare la crescita. Per maggiori dettagli su questo argomento si vedano i capitoli I e III del presente documento.</w:t>
      </w:r>
    </w:p>
    <w:p>
      <w:pPr>
        <w:pStyle w:val="BodyText"/>
        <w:spacing w:before="5"/>
        <w:rPr>
          <w:sz w:val="33"/>
        </w:rPr>
      </w:pPr>
    </w:p>
    <w:p>
      <w:pPr>
        <w:pStyle w:val="Heading3"/>
        <w:jc w:val="both"/>
      </w:pPr>
      <w:r>
        <w:rPr>
          <w:color w:val="585858"/>
        </w:rPr>
        <w:t>Lotta all’evasione fiscale - CSR n. 1</w:t>
      </w:r>
    </w:p>
    <w:p>
      <w:pPr>
        <w:spacing w:line="232" w:lineRule="auto" w:before="159"/>
        <w:ind w:left="278" w:right="2263" w:firstLine="0"/>
        <w:jc w:val="both"/>
        <w:rPr>
          <w:rFonts w:ascii="Franklin Gothic Book" w:hAnsi="Franklin Gothic Book"/>
          <w:sz w:val="20"/>
        </w:rPr>
      </w:pPr>
      <w:r>
        <w:rPr/>
        <w:pict>
          <v:line style="position:absolute;mso-position-horizontal-relative:page;mso-position-vertical-relative:paragraph;z-index:-251456512;mso-wrap-distance-left:0;mso-wrap-distance-right:0" from="69.503998pt,79.740097pt" to="483.453998pt,79.740097pt" stroked="true" strokeweight="1.44pt" strokecolor="#006247">
            <v:stroke dashstyle="solid"/>
            <w10:wrap type="topAndBottom"/>
          </v:line>
        </w:pict>
      </w:r>
      <w:r>
        <w:rPr>
          <w:rFonts w:ascii="Franklin Gothic Heavy" w:hAnsi="Franklin Gothic Heavy"/>
          <w:b/>
          <w:color w:val="006247"/>
          <w:sz w:val="20"/>
        </w:rPr>
        <w:t>LINEE</w:t>
      </w:r>
      <w:r>
        <w:rPr>
          <w:rFonts w:ascii="Franklin Gothic Heavy" w:hAnsi="Franklin Gothic Heavy"/>
          <w:b/>
          <w:color w:val="006247"/>
          <w:spacing w:val="-9"/>
          <w:sz w:val="20"/>
        </w:rPr>
        <w:t> </w:t>
      </w:r>
      <w:r>
        <w:rPr>
          <w:rFonts w:ascii="Franklin Gothic Heavy" w:hAnsi="Franklin Gothic Heavy"/>
          <w:b/>
          <w:color w:val="006247"/>
          <w:sz w:val="20"/>
        </w:rPr>
        <w:t>PROGRAMMATICHE</w:t>
      </w:r>
      <w:r>
        <w:rPr>
          <w:rFonts w:ascii="Franklin Gothic Book" w:hAnsi="Franklin Gothic Book"/>
          <w:sz w:val="20"/>
        </w:rPr>
        <w:t>:</w:t>
      </w:r>
      <w:r>
        <w:rPr>
          <w:rFonts w:ascii="Franklin Gothic Book" w:hAnsi="Franklin Gothic Book"/>
          <w:spacing w:val="-5"/>
          <w:sz w:val="20"/>
        </w:rPr>
        <w:t> </w:t>
      </w:r>
      <w:r>
        <w:rPr>
          <w:rFonts w:ascii="Franklin Gothic Book" w:hAnsi="Franklin Gothic Book"/>
          <w:sz w:val="20"/>
        </w:rPr>
        <w:t>L’azione</w:t>
      </w:r>
      <w:r>
        <w:rPr>
          <w:rFonts w:ascii="Franklin Gothic Book" w:hAnsi="Franklin Gothic Book"/>
          <w:spacing w:val="-9"/>
          <w:sz w:val="20"/>
        </w:rPr>
        <w:t> </w:t>
      </w:r>
      <w:r>
        <w:rPr>
          <w:rFonts w:ascii="Franklin Gothic Book" w:hAnsi="Franklin Gothic Book"/>
          <w:sz w:val="20"/>
        </w:rPr>
        <w:t>di</w:t>
      </w:r>
      <w:r>
        <w:rPr>
          <w:rFonts w:ascii="Franklin Gothic Book" w:hAnsi="Franklin Gothic Book"/>
          <w:spacing w:val="-8"/>
          <w:sz w:val="20"/>
        </w:rPr>
        <w:t> </w:t>
      </w:r>
      <w:r>
        <w:rPr>
          <w:rFonts w:ascii="Franklin Gothic Book" w:hAnsi="Franklin Gothic Book"/>
          <w:sz w:val="20"/>
        </w:rPr>
        <w:t>contrasto</w:t>
      </w:r>
      <w:r>
        <w:rPr>
          <w:rFonts w:ascii="Franklin Gothic Book" w:hAnsi="Franklin Gothic Book"/>
          <w:spacing w:val="-7"/>
          <w:sz w:val="20"/>
        </w:rPr>
        <w:t> </w:t>
      </w:r>
      <w:r>
        <w:rPr>
          <w:rFonts w:ascii="Franklin Gothic Book" w:hAnsi="Franklin Gothic Book"/>
          <w:sz w:val="20"/>
        </w:rPr>
        <w:t>all’evasione</w:t>
      </w:r>
      <w:r>
        <w:rPr>
          <w:rFonts w:ascii="Franklin Gothic Book" w:hAnsi="Franklin Gothic Book"/>
          <w:spacing w:val="-9"/>
          <w:sz w:val="20"/>
        </w:rPr>
        <w:t> </w:t>
      </w:r>
      <w:r>
        <w:rPr>
          <w:rFonts w:ascii="Franklin Gothic Book" w:hAnsi="Franklin Gothic Book"/>
          <w:sz w:val="20"/>
        </w:rPr>
        <w:t>fiscale</w:t>
      </w:r>
      <w:r>
        <w:rPr>
          <w:rFonts w:ascii="Franklin Gothic Book" w:hAnsi="Franklin Gothic Book"/>
          <w:spacing w:val="-7"/>
          <w:sz w:val="20"/>
        </w:rPr>
        <w:t> </w:t>
      </w:r>
      <w:r>
        <w:rPr>
          <w:rFonts w:ascii="Franklin Gothic Book" w:hAnsi="Franklin Gothic Book"/>
          <w:sz w:val="20"/>
        </w:rPr>
        <w:t>è</w:t>
      </w:r>
      <w:r>
        <w:rPr>
          <w:rFonts w:ascii="Franklin Gothic Book" w:hAnsi="Franklin Gothic Book"/>
          <w:spacing w:val="-7"/>
          <w:sz w:val="20"/>
        </w:rPr>
        <w:t> </w:t>
      </w:r>
      <w:r>
        <w:rPr>
          <w:rFonts w:ascii="Franklin Gothic Book" w:hAnsi="Franklin Gothic Book"/>
          <w:sz w:val="20"/>
        </w:rPr>
        <w:t>un</w:t>
      </w:r>
      <w:r>
        <w:rPr>
          <w:rFonts w:ascii="Franklin Gothic Book" w:hAnsi="Franklin Gothic Book"/>
          <w:spacing w:val="-8"/>
          <w:sz w:val="20"/>
        </w:rPr>
        <w:t> </w:t>
      </w:r>
      <w:r>
        <w:rPr>
          <w:rFonts w:ascii="Franklin Gothic Book" w:hAnsi="Franklin Gothic Book"/>
          <w:sz w:val="20"/>
        </w:rPr>
        <w:t>obiettivo</w:t>
      </w:r>
      <w:r>
        <w:rPr>
          <w:rFonts w:ascii="Franklin Gothic Book" w:hAnsi="Franklin Gothic Book"/>
          <w:spacing w:val="-8"/>
          <w:sz w:val="20"/>
        </w:rPr>
        <w:t> </w:t>
      </w:r>
      <w:r>
        <w:rPr>
          <w:rFonts w:ascii="Franklin Gothic Book" w:hAnsi="Franklin Gothic Book"/>
          <w:sz w:val="20"/>
        </w:rPr>
        <w:t>prioritario</w:t>
      </w:r>
      <w:r>
        <w:rPr>
          <w:rFonts w:ascii="Franklin Gothic Book" w:hAnsi="Franklin Gothic Book"/>
          <w:spacing w:val="-6"/>
          <w:sz w:val="20"/>
        </w:rPr>
        <w:t> </w:t>
      </w:r>
      <w:r>
        <w:rPr>
          <w:rFonts w:ascii="Franklin Gothic Book" w:hAnsi="Franklin Gothic Book"/>
          <w:sz w:val="20"/>
        </w:rPr>
        <w:t>del Governo e sarà affrontato attraverso un piano organico e un’ampia riforma fiscale basata sulla semplificazione delle regole e degli adempimenti nonché su una più efficace alleanza tra contribuenti e Amministrazione finanziaria. La lotta all’evasione fiscale sarà perseguita anche agevolando, estendendo e potenziando i pagamenti elettronici e riducendo drasticamente i costi di</w:t>
      </w:r>
      <w:r>
        <w:rPr>
          <w:rFonts w:ascii="Franklin Gothic Book" w:hAnsi="Franklin Gothic Book"/>
          <w:spacing w:val="-2"/>
          <w:sz w:val="20"/>
        </w:rPr>
        <w:t> </w:t>
      </w:r>
      <w:r>
        <w:rPr>
          <w:rFonts w:ascii="Franklin Gothic Book" w:hAnsi="Franklin Gothic Book"/>
          <w:sz w:val="20"/>
        </w:rPr>
        <w:t>transazione.</w:t>
      </w:r>
    </w:p>
    <w:p>
      <w:pPr>
        <w:pStyle w:val="BodyText"/>
        <w:spacing w:before="6"/>
        <w:rPr>
          <w:rFonts w:ascii="Franklin Gothic Book"/>
          <w:sz w:val="11"/>
        </w:rPr>
      </w:pPr>
    </w:p>
    <w:p>
      <w:pPr>
        <w:pStyle w:val="BodyText"/>
        <w:spacing w:line="252" w:lineRule="auto" w:before="101"/>
        <w:ind w:left="278" w:right="2262" w:firstLine="453"/>
        <w:jc w:val="both"/>
      </w:pPr>
      <w:r>
        <w:rPr/>
        <w:t>Il Governo intende, nel rispetto della normativa sulla </w:t>
      </w:r>
      <w:r>
        <w:rPr>
          <w:i/>
        </w:rPr>
        <w:t>privacy, </w:t>
      </w:r>
      <w:r>
        <w:rPr/>
        <w:t>rendere quanto più possibile trasparenti le transazioni commerciali, agevolando, estendendo e potenziando i mezzi di pagamento elettronici. A questo scopo saranno introdotte specifiche misure per incentivarne l’utilizzo, sia per contrastare l’evasione fiscale, sia per favorire l’utilizzo da parte dei consumatori di metodi di pagamento sicuri alternativi al contante.</w:t>
      </w:r>
    </w:p>
    <w:p>
      <w:pPr>
        <w:pStyle w:val="BodyText"/>
        <w:spacing w:line="252" w:lineRule="auto" w:before="1"/>
        <w:ind w:left="278" w:right="2264" w:firstLine="453"/>
        <w:jc w:val="both"/>
      </w:pPr>
      <w:r>
        <w:rPr/>
        <w:t>Tali politiche punteranno, in maniera contestuale, ad aumentare la capacità digitale</w:t>
      </w:r>
      <w:r>
        <w:rPr>
          <w:spacing w:val="-15"/>
        </w:rPr>
        <w:t> </w:t>
      </w:r>
      <w:r>
        <w:rPr/>
        <w:t>dei</w:t>
      </w:r>
      <w:r>
        <w:rPr>
          <w:spacing w:val="-15"/>
        </w:rPr>
        <w:t> </w:t>
      </w:r>
      <w:r>
        <w:rPr/>
        <w:t>contribuenti</w:t>
      </w:r>
      <w:r>
        <w:rPr>
          <w:spacing w:val="-13"/>
        </w:rPr>
        <w:t> </w:t>
      </w:r>
      <w:r>
        <w:rPr/>
        <w:t>in</w:t>
      </w:r>
      <w:r>
        <w:rPr>
          <w:spacing w:val="-16"/>
        </w:rPr>
        <w:t> </w:t>
      </w:r>
      <w:r>
        <w:rPr/>
        <w:t>termini</w:t>
      </w:r>
      <w:r>
        <w:rPr>
          <w:spacing w:val="-15"/>
        </w:rPr>
        <w:t> </w:t>
      </w:r>
      <w:r>
        <w:rPr/>
        <w:t>di</w:t>
      </w:r>
      <w:r>
        <w:rPr>
          <w:spacing w:val="-16"/>
        </w:rPr>
        <w:t> </w:t>
      </w:r>
      <w:r>
        <w:rPr/>
        <w:t>utilizzo</w:t>
      </w:r>
      <w:r>
        <w:rPr>
          <w:spacing w:val="-15"/>
        </w:rPr>
        <w:t> </w:t>
      </w:r>
      <w:r>
        <w:rPr/>
        <w:t>di</w:t>
      </w:r>
      <w:r>
        <w:rPr>
          <w:spacing w:val="-16"/>
        </w:rPr>
        <w:t> </w:t>
      </w:r>
      <w:r>
        <w:rPr/>
        <w:t>strumenti</w:t>
      </w:r>
      <w:r>
        <w:rPr>
          <w:spacing w:val="-15"/>
        </w:rPr>
        <w:t> </w:t>
      </w:r>
      <w:r>
        <w:rPr/>
        <w:t>elettronici</w:t>
      </w:r>
      <w:r>
        <w:rPr>
          <w:spacing w:val="-15"/>
        </w:rPr>
        <w:t> </w:t>
      </w:r>
      <w:r>
        <w:rPr/>
        <w:t>di</w:t>
      </w:r>
      <w:r>
        <w:rPr>
          <w:spacing w:val="-16"/>
        </w:rPr>
        <w:t> </w:t>
      </w:r>
      <w:r>
        <w:rPr/>
        <w:t>pagamento, garantendo la tracciabilità delle operazioni in chiave anti evasione</w:t>
      </w:r>
      <w:r>
        <w:rPr>
          <w:spacing w:val="-19"/>
        </w:rPr>
        <w:t> </w:t>
      </w:r>
      <w:r>
        <w:rPr/>
        <w:t>fiscale.</w:t>
      </w:r>
    </w:p>
    <w:p>
      <w:pPr>
        <w:pStyle w:val="BodyText"/>
        <w:spacing w:line="252" w:lineRule="auto"/>
        <w:ind w:left="278" w:right="2262"/>
        <w:jc w:val="both"/>
      </w:pPr>
      <w:r>
        <w:rPr/>
        <w:t>Grazie a un salto di qualità in termini di rapporto tra fisco e contribuente, si potranno ottenere maggiori entrate, che potranno essere reinvestite per ridurre la pressione fiscale, nonché per finanziare misure a favore della collettività e sostenere la spesa sociale. Appositi progetti di educazione finanziaria e diffusione di</w:t>
      </w:r>
      <w:r>
        <w:rPr>
          <w:spacing w:val="-7"/>
        </w:rPr>
        <w:t> </w:t>
      </w:r>
      <w:r>
        <w:rPr/>
        <w:t>conoscenze</w:t>
      </w:r>
      <w:r>
        <w:rPr>
          <w:spacing w:val="-7"/>
        </w:rPr>
        <w:t> </w:t>
      </w:r>
      <w:r>
        <w:rPr/>
        <w:t>digitali</w:t>
      </w:r>
      <w:r>
        <w:rPr>
          <w:spacing w:val="-6"/>
        </w:rPr>
        <w:t> </w:t>
      </w:r>
      <w:r>
        <w:rPr/>
        <w:t>permetteranno</w:t>
      </w:r>
      <w:r>
        <w:rPr>
          <w:spacing w:val="-7"/>
        </w:rPr>
        <w:t> </w:t>
      </w:r>
      <w:r>
        <w:rPr/>
        <w:t>di</w:t>
      </w:r>
      <w:r>
        <w:rPr>
          <w:spacing w:val="-6"/>
        </w:rPr>
        <w:t> </w:t>
      </w:r>
      <w:r>
        <w:rPr/>
        <w:t>ridurre</w:t>
      </w:r>
      <w:r>
        <w:rPr>
          <w:spacing w:val="-6"/>
        </w:rPr>
        <w:t> </w:t>
      </w:r>
      <w:r>
        <w:rPr/>
        <w:t>le</w:t>
      </w:r>
      <w:r>
        <w:rPr>
          <w:spacing w:val="-5"/>
        </w:rPr>
        <w:t> </w:t>
      </w:r>
      <w:r>
        <w:rPr/>
        <w:t>disuguaglianze</w:t>
      </w:r>
      <w:r>
        <w:rPr>
          <w:spacing w:val="-5"/>
        </w:rPr>
        <w:t> </w:t>
      </w:r>
      <w:r>
        <w:rPr/>
        <w:t>esistenti</w:t>
      </w:r>
      <w:r>
        <w:rPr>
          <w:spacing w:val="-6"/>
        </w:rPr>
        <w:t> </w:t>
      </w:r>
      <w:r>
        <w:rPr/>
        <w:t>anche</w:t>
      </w:r>
      <w:r>
        <w:rPr>
          <w:spacing w:val="-6"/>
        </w:rPr>
        <w:t> </w:t>
      </w:r>
      <w:r>
        <w:rPr/>
        <w:t>in questo</w:t>
      </w:r>
      <w:r>
        <w:rPr>
          <w:spacing w:val="-2"/>
        </w:rPr>
        <w:t> </w:t>
      </w:r>
      <w:r>
        <w:rPr/>
        <w:t>campo.</w:t>
      </w:r>
    </w:p>
    <w:p>
      <w:pPr>
        <w:pStyle w:val="BodyText"/>
        <w:spacing w:line="249" w:lineRule="auto" w:before="1"/>
        <w:ind w:left="278" w:right="2263" w:firstLine="453"/>
        <w:jc w:val="both"/>
      </w:pPr>
      <w:r>
        <w:rPr/>
        <w:t>Dopo l’introduzione della fatturazione elettronica, prosegue il processo di digitalizzazione</w:t>
      </w:r>
      <w:r>
        <w:rPr>
          <w:spacing w:val="-12"/>
        </w:rPr>
        <w:t> </w:t>
      </w:r>
      <w:r>
        <w:rPr/>
        <w:t>delle</w:t>
      </w:r>
      <w:r>
        <w:rPr>
          <w:spacing w:val="-10"/>
        </w:rPr>
        <w:t> </w:t>
      </w:r>
      <w:r>
        <w:rPr/>
        <w:t>certificazioni</w:t>
      </w:r>
      <w:r>
        <w:rPr>
          <w:spacing w:val="-11"/>
        </w:rPr>
        <w:t> </w:t>
      </w:r>
      <w:r>
        <w:rPr/>
        <w:t>fiscali</w:t>
      </w:r>
      <w:r>
        <w:rPr>
          <w:spacing w:val="-11"/>
        </w:rPr>
        <w:t> </w:t>
      </w:r>
      <w:r>
        <w:rPr/>
        <w:t>volto</w:t>
      </w:r>
      <w:r>
        <w:rPr>
          <w:spacing w:val="-11"/>
        </w:rPr>
        <w:t> </w:t>
      </w:r>
      <w:r>
        <w:rPr/>
        <w:t>alla</w:t>
      </w:r>
      <w:r>
        <w:rPr>
          <w:spacing w:val="-10"/>
        </w:rPr>
        <w:t> </w:t>
      </w:r>
      <w:r>
        <w:rPr/>
        <w:t>diffusione</w:t>
      </w:r>
      <w:r>
        <w:rPr>
          <w:spacing w:val="-11"/>
        </w:rPr>
        <w:t> </w:t>
      </w:r>
      <w:r>
        <w:rPr/>
        <w:t>della</w:t>
      </w:r>
      <w:r>
        <w:rPr>
          <w:spacing w:val="-11"/>
        </w:rPr>
        <w:t> </w:t>
      </w:r>
      <w:r>
        <w:rPr/>
        <w:t>cultura</w:t>
      </w:r>
      <w:r>
        <w:rPr>
          <w:spacing w:val="-10"/>
        </w:rPr>
        <w:t> </w:t>
      </w:r>
      <w:r>
        <w:rPr/>
        <w:t>digitale</w:t>
      </w:r>
    </w:p>
    <w:p>
      <w:pPr>
        <w:spacing w:after="0" w:line="249" w:lineRule="auto"/>
        <w:jc w:val="both"/>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1128" w:right="1417"/>
        <w:jc w:val="both"/>
      </w:pPr>
      <w:r>
        <w:rPr/>
        <w:t>nel mondo delle imprese, all’efficienza dei processi amministrativi e al miglioramento della </w:t>
      </w:r>
      <w:r>
        <w:rPr>
          <w:i/>
        </w:rPr>
        <w:t>compliance </w:t>
      </w:r>
      <w:r>
        <w:rPr/>
        <w:t>fiscale.</w:t>
      </w:r>
    </w:p>
    <w:p>
      <w:pPr>
        <w:pStyle w:val="BodyText"/>
        <w:spacing w:line="252" w:lineRule="auto" w:before="2"/>
        <w:ind w:left="1128" w:right="1411" w:firstLine="453"/>
        <w:jc w:val="both"/>
      </w:pPr>
      <w:r>
        <w:rPr/>
        <w:t>Dal primo luglio è in vigore l’obbligo dello scontrino elettronico per i soggetti che</w:t>
      </w:r>
      <w:r>
        <w:rPr>
          <w:spacing w:val="-7"/>
        </w:rPr>
        <w:t> </w:t>
      </w:r>
      <w:r>
        <w:rPr/>
        <w:t>esercitano</w:t>
      </w:r>
      <w:r>
        <w:rPr>
          <w:spacing w:val="-8"/>
        </w:rPr>
        <w:t> </w:t>
      </w:r>
      <w:r>
        <w:rPr/>
        <w:t>il</w:t>
      </w:r>
      <w:r>
        <w:rPr>
          <w:spacing w:val="-7"/>
        </w:rPr>
        <w:t> </w:t>
      </w:r>
      <w:r>
        <w:rPr/>
        <w:t>commercio</w:t>
      </w:r>
      <w:r>
        <w:rPr>
          <w:spacing w:val="-8"/>
        </w:rPr>
        <w:t> </w:t>
      </w:r>
      <w:r>
        <w:rPr/>
        <w:t>al</w:t>
      </w:r>
      <w:r>
        <w:rPr>
          <w:spacing w:val="-6"/>
        </w:rPr>
        <w:t> </w:t>
      </w:r>
      <w:r>
        <w:rPr/>
        <w:t>minuto</w:t>
      </w:r>
      <w:r>
        <w:rPr>
          <w:spacing w:val="-7"/>
        </w:rPr>
        <w:t> </w:t>
      </w:r>
      <w:r>
        <w:rPr/>
        <w:t>e</w:t>
      </w:r>
      <w:r>
        <w:rPr>
          <w:spacing w:val="-7"/>
        </w:rPr>
        <w:t> </w:t>
      </w:r>
      <w:r>
        <w:rPr/>
        <w:t>le</w:t>
      </w:r>
      <w:r>
        <w:rPr>
          <w:spacing w:val="-7"/>
        </w:rPr>
        <w:t> </w:t>
      </w:r>
      <w:r>
        <w:rPr/>
        <w:t>attività</w:t>
      </w:r>
      <w:r>
        <w:rPr>
          <w:spacing w:val="-7"/>
        </w:rPr>
        <w:t> </w:t>
      </w:r>
      <w:r>
        <w:rPr/>
        <w:t>similari</w:t>
      </w:r>
      <w:r>
        <w:rPr>
          <w:spacing w:val="-6"/>
        </w:rPr>
        <w:t> </w:t>
      </w:r>
      <w:r>
        <w:rPr/>
        <w:t>e</w:t>
      </w:r>
      <w:r>
        <w:rPr>
          <w:spacing w:val="-6"/>
        </w:rPr>
        <w:t> </w:t>
      </w:r>
      <w:r>
        <w:rPr/>
        <w:t>che,</w:t>
      </w:r>
      <w:r>
        <w:rPr>
          <w:spacing w:val="-6"/>
        </w:rPr>
        <w:t> </w:t>
      </w:r>
      <w:r>
        <w:rPr/>
        <w:t>ad</w:t>
      </w:r>
      <w:r>
        <w:rPr>
          <w:spacing w:val="-7"/>
        </w:rPr>
        <w:t> </w:t>
      </w:r>
      <w:r>
        <w:rPr/>
        <w:t>oggi,</w:t>
      </w:r>
      <w:r>
        <w:rPr>
          <w:spacing w:val="-6"/>
        </w:rPr>
        <w:t> </w:t>
      </w:r>
      <w:r>
        <w:rPr/>
        <w:t>non</w:t>
      </w:r>
      <w:r>
        <w:rPr>
          <w:spacing w:val="-7"/>
        </w:rPr>
        <w:t> </w:t>
      </w:r>
      <w:r>
        <w:rPr/>
        <w:t>sono tenuti</w:t>
      </w:r>
      <w:r>
        <w:rPr>
          <w:spacing w:val="-18"/>
        </w:rPr>
        <w:t> </w:t>
      </w:r>
      <w:r>
        <w:rPr/>
        <w:t>ad</w:t>
      </w:r>
      <w:r>
        <w:rPr>
          <w:spacing w:val="-17"/>
        </w:rPr>
        <w:t> </w:t>
      </w:r>
      <w:r>
        <w:rPr/>
        <w:t>emettere</w:t>
      </w:r>
      <w:r>
        <w:rPr>
          <w:spacing w:val="-17"/>
        </w:rPr>
        <w:t> </w:t>
      </w:r>
      <w:r>
        <w:rPr/>
        <w:t>fattura</w:t>
      </w:r>
      <w:r>
        <w:rPr>
          <w:spacing w:val="-16"/>
        </w:rPr>
        <w:t> </w:t>
      </w:r>
      <w:r>
        <w:rPr/>
        <w:t>verso</w:t>
      </w:r>
      <w:r>
        <w:rPr>
          <w:spacing w:val="-20"/>
        </w:rPr>
        <w:t> </w:t>
      </w:r>
      <w:r>
        <w:rPr/>
        <w:t>i</w:t>
      </w:r>
      <w:r>
        <w:rPr>
          <w:spacing w:val="-19"/>
        </w:rPr>
        <w:t> </w:t>
      </w:r>
      <w:r>
        <w:rPr/>
        <w:t>clienti,</w:t>
      </w:r>
      <w:r>
        <w:rPr>
          <w:spacing w:val="-17"/>
        </w:rPr>
        <w:t> </w:t>
      </w:r>
      <w:r>
        <w:rPr/>
        <w:t>salvo</w:t>
      </w:r>
      <w:r>
        <w:rPr>
          <w:spacing w:val="-20"/>
        </w:rPr>
        <w:t> </w:t>
      </w:r>
      <w:r>
        <w:rPr/>
        <w:t>che</w:t>
      </w:r>
      <w:r>
        <w:rPr>
          <w:spacing w:val="-17"/>
        </w:rPr>
        <w:t> </w:t>
      </w:r>
      <w:r>
        <w:rPr/>
        <w:t>tale</w:t>
      </w:r>
      <w:r>
        <w:rPr>
          <w:spacing w:val="-18"/>
        </w:rPr>
        <w:t> </w:t>
      </w:r>
      <w:r>
        <w:rPr/>
        <w:t>documento</w:t>
      </w:r>
      <w:r>
        <w:rPr>
          <w:spacing w:val="-17"/>
        </w:rPr>
        <w:t> </w:t>
      </w:r>
      <w:r>
        <w:rPr/>
        <w:t>non</w:t>
      </w:r>
      <w:r>
        <w:rPr>
          <w:spacing w:val="-17"/>
        </w:rPr>
        <w:t> </w:t>
      </w:r>
      <w:r>
        <w:rPr/>
        <w:t>sia</w:t>
      </w:r>
      <w:r>
        <w:rPr>
          <w:spacing w:val="-18"/>
        </w:rPr>
        <w:t> </w:t>
      </w:r>
      <w:r>
        <w:rPr/>
        <w:t>richiesto dal cliente stesso. L’obbligo è scattato immediatamente per i circa 260 mila esercenti</w:t>
      </w:r>
      <w:r>
        <w:rPr>
          <w:spacing w:val="-13"/>
        </w:rPr>
        <w:t> </w:t>
      </w:r>
      <w:r>
        <w:rPr/>
        <w:t>con</w:t>
      </w:r>
      <w:r>
        <w:rPr>
          <w:spacing w:val="-13"/>
        </w:rPr>
        <w:t> </w:t>
      </w:r>
      <w:r>
        <w:rPr/>
        <w:t>un</w:t>
      </w:r>
      <w:r>
        <w:rPr>
          <w:spacing w:val="-13"/>
        </w:rPr>
        <w:t> </w:t>
      </w:r>
      <w:r>
        <w:rPr/>
        <w:t>giro</w:t>
      </w:r>
      <w:r>
        <w:rPr>
          <w:spacing w:val="-13"/>
        </w:rPr>
        <w:t> </w:t>
      </w:r>
      <w:r>
        <w:rPr/>
        <w:t>d’affari</w:t>
      </w:r>
      <w:r>
        <w:rPr>
          <w:spacing w:val="-12"/>
        </w:rPr>
        <w:t> </w:t>
      </w:r>
      <w:r>
        <w:rPr/>
        <w:t>superiore</w:t>
      </w:r>
      <w:r>
        <w:rPr>
          <w:spacing w:val="-13"/>
        </w:rPr>
        <w:t> </w:t>
      </w:r>
      <w:r>
        <w:rPr/>
        <w:t>ai</w:t>
      </w:r>
      <w:r>
        <w:rPr>
          <w:spacing w:val="-12"/>
        </w:rPr>
        <w:t> </w:t>
      </w:r>
      <w:r>
        <w:rPr/>
        <w:t>400</w:t>
      </w:r>
      <w:r>
        <w:rPr>
          <w:spacing w:val="-12"/>
        </w:rPr>
        <w:t> </w:t>
      </w:r>
      <w:r>
        <w:rPr/>
        <w:t>mila</w:t>
      </w:r>
      <w:r>
        <w:rPr>
          <w:spacing w:val="-12"/>
        </w:rPr>
        <w:t> </w:t>
      </w:r>
      <w:r>
        <w:rPr/>
        <w:t>euro,</w:t>
      </w:r>
      <w:r>
        <w:rPr>
          <w:spacing w:val="-11"/>
        </w:rPr>
        <w:t> </w:t>
      </w:r>
      <w:r>
        <w:rPr/>
        <w:t>mentre</w:t>
      </w:r>
      <w:r>
        <w:rPr>
          <w:spacing w:val="-13"/>
        </w:rPr>
        <w:t> </w:t>
      </w:r>
      <w:r>
        <w:rPr/>
        <w:t>l’estensione</w:t>
      </w:r>
      <w:r>
        <w:rPr>
          <w:spacing w:val="-12"/>
        </w:rPr>
        <w:t> </w:t>
      </w:r>
      <w:r>
        <w:rPr/>
        <w:t>a</w:t>
      </w:r>
      <w:r>
        <w:rPr>
          <w:spacing w:val="-12"/>
        </w:rPr>
        <w:t> </w:t>
      </w:r>
      <w:r>
        <w:rPr/>
        <w:t>tutti gli</w:t>
      </w:r>
      <w:r>
        <w:rPr>
          <w:spacing w:val="-13"/>
        </w:rPr>
        <w:t> </w:t>
      </w:r>
      <w:r>
        <w:rPr/>
        <w:t>altri</w:t>
      </w:r>
      <w:r>
        <w:rPr>
          <w:spacing w:val="-11"/>
        </w:rPr>
        <w:t> </w:t>
      </w:r>
      <w:r>
        <w:rPr/>
        <w:t>esercenti</w:t>
      </w:r>
      <w:r>
        <w:rPr>
          <w:spacing w:val="-13"/>
        </w:rPr>
        <w:t> </w:t>
      </w:r>
      <w:r>
        <w:rPr/>
        <w:t>avverrà</w:t>
      </w:r>
      <w:r>
        <w:rPr>
          <w:spacing w:val="-11"/>
        </w:rPr>
        <w:t> </w:t>
      </w:r>
      <w:r>
        <w:rPr/>
        <w:t>a</w:t>
      </w:r>
      <w:r>
        <w:rPr>
          <w:spacing w:val="-12"/>
        </w:rPr>
        <w:t> </w:t>
      </w:r>
      <w:r>
        <w:rPr/>
        <w:t>partire</w:t>
      </w:r>
      <w:r>
        <w:rPr>
          <w:spacing w:val="-12"/>
        </w:rPr>
        <w:t> </w:t>
      </w:r>
      <w:r>
        <w:rPr/>
        <w:t>dal</w:t>
      </w:r>
      <w:r>
        <w:rPr>
          <w:spacing w:val="-12"/>
        </w:rPr>
        <w:t> </w:t>
      </w:r>
      <w:r>
        <w:rPr/>
        <w:t>primo</w:t>
      </w:r>
      <w:r>
        <w:rPr>
          <w:spacing w:val="-13"/>
        </w:rPr>
        <w:t> </w:t>
      </w:r>
      <w:r>
        <w:rPr/>
        <w:t>gennaio</w:t>
      </w:r>
      <w:r>
        <w:rPr>
          <w:spacing w:val="-13"/>
        </w:rPr>
        <w:t> </w:t>
      </w:r>
      <w:r>
        <w:rPr/>
        <w:t>2020.</w:t>
      </w:r>
      <w:r>
        <w:rPr>
          <w:spacing w:val="-11"/>
        </w:rPr>
        <w:t> </w:t>
      </w:r>
      <w:r>
        <w:rPr/>
        <w:t>Dalla</w:t>
      </w:r>
      <w:r>
        <w:rPr>
          <w:spacing w:val="-13"/>
        </w:rPr>
        <w:t> </w:t>
      </w:r>
      <w:r>
        <w:rPr/>
        <w:t>stessa</w:t>
      </w:r>
      <w:r>
        <w:rPr>
          <w:spacing w:val="-12"/>
        </w:rPr>
        <w:t> </w:t>
      </w:r>
      <w:r>
        <w:rPr/>
        <w:t>data</w:t>
      </w:r>
      <w:r>
        <w:rPr>
          <w:spacing w:val="-12"/>
        </w:rPr>
        <w:t> </w:t>
      </w:r>
      <w:r>
        <w:rPr/>
        <w:t>partirà anche la cd ‘lotteria degli scontrini’, a cui potranno partecipare i consumatori che acquistano beni o servizi presso gli esercenti che effettuano la trasmissione telematica dei</w:t>
      </w:r>
      <w:r>
        <w:rPr>
          <w:spacing w:val="-2"/>
        </w:rPr>
        <w:t> </w:t>
      </w:r>
      <w:r>
        <w:rPr/>
        <w:t>corrispettivi.</w:t>
      </w:r>
    </w:p>
    <w:p>
      <w:pPr>
        <w:pStyle w:val="BodyText"/>
        <w:spacing w:line="252" w:lineRule="auto"/>
        <w:ind w:left="1128" w:right="1415" w:firstLine="453"/>
        <w:jc w:val="both"/>
      </w:pPr>
      <w:r>
        <w:rPr/>
        <w:t>Con l’introduzione dello scontrino elettronico, gli esercenti avranno accesso immediato ai dati delle proprie vendite, che verranno trasmessi direttamente all’Agenzia delle Entrate. Quest’ultima potrà effettuare controlli più tempestivi e più rapide analisi di eventuali rischi di evasione.</w:t>
      </w:r>
    </w:p>
    <w:p>
      <w:pPr>
        <w:pStyle w:val="BodyText"/>
        <w:spacing w:line="252" w:lineRule="auto"/>
        <w:ind w:left="1128" w:right="1412" w:firstLine="453"/>
        <w:jc w:val="both"/>
      </w:pPr>
      <w:r>
        <w:rPr/>
        <w:t>Tale</w:t>
      </w:r>
      <w:r>
        <w:rPr>
          <w:spacing w:val="-16"/>
        </w:rPr>
        <w:t> </w:t>
      </w:r>
      <w:r>
        <w:rPr/>
        <w:t>misura,</w:t>
      </w:r>
      <w:r>
        <w:rPr>
          <w:spacing w:val="-14"/>
        </w:rPr>
        <w:t> </w:t>
      </w:r>
      <w:r>
        <w:rPr/>
        <w:t>insieme</w:t>
      </w:r>
      <w:r>
        <w:rPr>
          <w:spacing w:val="-15"/>
        </w:rPr>
        <w:t> </w:t>
      </w:r>
      <w:r>
        <w:rPr/>
        <w:t>alla</w:t>
      </w:r>
      <w:r>
        <w:rPr>
          <w:spacing w:val="-13"/>
        </w:rPr>
        <w:t> </w:t>
      </w:r>
      <w:r>
        <w:rPr/>
        <w:t>fatturazione</w:t>
      </w:r>
      <w:r>
        <w:rPr>
          <w:spacing w:val="-16"/>
        </w:rPr>
        <w:t> </w:t>
      </w:r>
      <w:r>
        <w:rPr/>
        <w:t>elettronica,</w:t>
      </w:r>
      <w:r>
        <w:rPr>
          <w:spacing w:val="-14"/>
        </w:rPr>
        <w:t> </w:t>
      </w:r>
      <w:r>
        <w:rPr/>
        <w:t>pone</w:t>
      </w:r>
      <w:r>
        <w:rPr>
          <w:spacing w:val="-16"/>
        </w:rPr>
        <w:t> </w:t>
      </w:r>
      <w:r>
        <w:rPr/>
        <w:t>l’Italia</w:t>
      </w:r>
      <w:r>
        <w:rPr>
          <w:spacing w:val="-15"/>
        </w:rPr>
        <w:t> </w:t>
      </w:r>
      <w:r>
        <w:rPr/>
        <w:t>all’avanguardia fra i Paesi che hanno avviato un processo di digitalizzazione delle certificazioni fiscali, come certificato dall’OCSE nel Rapporto ‘</w:t>
      </w:r>
      <w:r>
        <w:rPr>
          <w:i/>
        </w:rPr>
        <w:t>Implementing Online Cash </w:t>
      </w:r>
      <w:r>
        <w:rPr>
          <w:i/>
        </w:rPr>
        <w:t>Registers</w:t>
      </w:r>
      <w:r>
        <w:rPr/>
        <w:t>’</w:t>
      </w:r>
      <w:r>
        <w:rPr>
          <w:vertAlign w:val="superscript"/>
        </w:rPr>
        <w:t>2</w:t>
      </w:r>
      <w:r>
        <w:rPr>
          <w:vertAlign w:val="baseline"/>
        </w:rPr>
        <w:t>.</w:t>
      </w:r>
    </w:p>
    <w:p>
      <w:pPr>
        <w:pStyle w:val="BodyText"/>
        <w:spacing w:before="5"/>
        <w:rPr>
          <w:sz w:val="33"/>
        </w:rPr>
      </w:pPr>
    </w:p>
    <w:p>
      <w:pPr>
        <w:pStyle w:val="Heading3"/>
        <w:ind w:left="1128"/>
        <w:jc w:val="both"/>
      </w:pPr>
      <w:r>
        <w:rPr>
          <w:color w:val="585858"/>
        </w:rPr>
        <w:t>Tassazione e agevolazioni fiscali - CSR n. 1</w:t>
      </w:r>
    </w:p>
    <w:p>
      <w:pPr>
        <w:spacing w:line="232" w:lineRule="auto" w:before="160"/>
        <w:ind w:left="1128" w:right="1413" w:firstLine="0"/>
        <w:jc w:val="both"/>
        <w:rPr>
          <w:rFonts w:ascii="Franklin Gothic Book" w:hAnsi="Franklin Gothic Book"/>
          <w:sz w:val="20"/>
        </w:rPr>
      </w:pPr>
      <w:r>
        <w:rPr/>
        <w:pict>
          <v:line style="position:absolute;mso-position-horizontal-relative:page;mso-position-vertical-relative:paragraph;z-index:-251455488;mso-wrap-distance-left:0;mso-wrap-distance-right:0" from="111.980003pt,101.750099pt" to="525.930003pt,101.750099pt" stroked="true" strokeweight="1.44pt" strokecolor="#006247">
            <v:stroke dashstyle="solid"/>
            <w10:wrap type="topAndBottom"/>
          </v:line>
        </w:pict>
      </w:r>
      <w:r>
        <w:rPr/>
        <w:pict>
          <v:rect style="position:absolute;margin-left:140.419998pt;margin-top:17.610088pt;width:2.52pt;height:.48001pt;mso-position-horizontal-relative:page;mso-position-vertical-relative:paragraph;z-index:-266144768" filled="true" fillcolor="#000000" stroked="false">
            <v:fill type="solid"/>
            <w10:wrap type="none"/>
          </v:rect>
        </w:pict>
      </w:r>
      <w:r>
        <w:rPr>
          <w:rFonts w:ascii="Franklin Gothic Heavy" w:hAnsi="Franklin Gothic Heavy"/>
          <w:b/>
          <w:color w:val="006247"/>
          <w:sz w:val="20"/>
        </w:rPr>
        <w:t>LINEE</w:t>
      </w:r>
      <w:r>
        <w:rPr>
          <w:rFonts w:ascii="Franklin Gothic Heavy" w:hAnsi="Franklin Gothic Heavy"/>
          <w:b/>
          <w:color w:val="006247"/>
          <w:spacing w:val="-6"/>
          <w:sz w:val="20"/>
        </w:rPr>
        <w:t> </w:t>
      </w:r>
      <w:r>
        <w:rPr>
          <w:rFonts w:ascii="Franklin Gothic Heavy" w:hAnsi="Franklin Gothic Heavy"/>
          <w:b/>
          <w:color w:val="006247"/>
          <w:sz w:val="20"/>
        </w:rPr>
        <w:t>PROGRAMMATICHE</w:t>
      </w:r>
      <w:r>
        <w:rPr>
          <w:rFonts w:ascii="Franklin Gothic Book" w:hAnsi="Franklin Gothic Book"/>
          <w:sz w:val="20"/>
        </w:rPr>
        <w:t>:</w:t>
      </w:r>
      <w:r>
        <w:rPr>
          <w:rFonts w:ascii="Franklin Gothic Book" w:hAnsi="Franklin Gothic Book"/>
          <w:spacing w:val="-6"/>
          <w:sz w:val="20"/>
        </w:rPr>
        <w:t> </w:t>
      </w:r>
      <w:r>
        <w:rPr>
          <w:rFonts w:ascii="Franklin Gothic Book" w:hAnsi="Franklin Gothic Book"/>
          <w:sz w:val="20"/>
        </w:rPr>
        <w:t>il</w:t>
      </w:r>
      <w:r>
        <w:rPr>
          <w:rFonts w:ascii="Franklin Gothic Book" w:hAnsi="Franklin Gothic Book"/>
          <w:spacing w:val="-8"/>
          <w:sz w:val="20"/>
        </w:rPr>
        <w:t> </w:t>
      </w:r>
      <w:r>
        <w:rPr>
          <w:rFonts w:ascii="Franklin Gothic Book" w:hAnsi="Franklin Gothic Book"/>
          <w:sz w:val="20"/>
        </w:rPr>
        <w:t>triplice</w:t>
      </w:r>
      <w:r>
        <w:rPr>
          <w:rFonts w:ascii="Franklin Gothic Book" w:hAnsi="Franklin Gothic Book"/>
          <w:spacing w:val="-7"/>
          <w:sz w:val="20"/>
        </w:rPr>
        <w:t> </w:t>
      </w:r>
      <w:r>
        <w:rPr>
          <w:rFonts w:ascii="Franklin Gothic Book" w:hAnsi="Franklin Gothic Book"/>
          <w:sz w:val="20"/>
        </w:rPr>
        <w:t>ambizioso</w:t>
      </w:r>
      <w:r>
        <w:rPr>
          <w:rFonts w:ascii="Franklin Gothic Book" w:hAnsi="Franklin Gothic Book"/>
          <w:spacing w:val="-8"/>
          <w:sz w:val="20"/>
        </w:rPr>
        <w:t> </w:t>
      </w:r>
      <w:r>
        <w:rPr>
          <w:rFonts w:ascii="Franklin Gothic Book" w:hAnsi="Franklin Gothic Book"/>
          <w:sz w:val="20"/>
        </w:rPr>
        <w:t>obiettivo</w:t>
      </w:r>
      <w:r>
        <w:rPr>
          <w:rFonts w:ascii="Franklin Gothic Book" w:hAnsi="Franklin Gothic Book"/>
          <w:spacing w:val="-4"/>
          <w:sz w:val="20"/>
        </w:rPr>
        <w:t> </w:t>
      </w:r>
      <w:r>
        <w:rPr>
          <w:rFonts w:ascii="Franklin Gothic Book" w:hAnsi="Franklin Gothic Book"/>
          <w:sz w:val="20"/>
        </w:rPr>
        <w:t>del</w:t>
      </w:r>
      <w:r>
        <w:rPr>
          <w:rFonts w:ascii="Franklin Gothic Book" w:hAnsi="Franklin Gothic Book"/>
          <w:spacing w:val="-8"/>
          <w:sz w:val="20"/>
        </w:rPr>
        <w:t> </w:t>
      </w:r>
      <w:r>
        <w:rPr>
          <w:rFonts w:ascii="Franklin Gothic Book" w:hAnsi="Franklin Gothic Book"/>
          <w:sz w:val="20"/>
        </w:rPr>
        <w:t>Governo</w:t>
      </w:r>
      <w:r>
        <w:rPr>
          <w:rFonts w:ascii="Franklin Gothic Book" w:hAnsi="Franklin Gothic Book"/>
          <w:spacing w:val="-6"/>
          <w:sz w:val="20"/>
        </w:rPr>
        <w:t> </w:t>
      </w:r>
      <w:r>
        <w:rPr>
          <w:rFonts w:ascii="Franklin Gothic Book" w:hAnsi="Franklin Gothic Book"/>
          <w:sz w:val="20"/>
        </w:rPr>
        <w:t>è</w:t>
      </w:r>
      <w:r>
        <w:rPr>
          <w:rFonts w:ascii="Franklin Gothic Book" w:hAnsi="Franklin Gothic Book"/>
          <w:spacing w:val="-8"/>
          <w:sz w:val="20"/>
        </w:rPr>
        <w:t> </w:t>
      </w:r>
      <w:r>
        <w:rPr>
          <w:rFonts w:ascii="Franklin Gothic Book" w:hAnsi="Franklin Gothic Book"/>
          <w:sz w:val="20"/>
        </w:rPr>
        <w:t>innanzitutto</w:t>
      </w:r>
      <w:r>
        <w:rPr>
          <w:rFonts w:ascii="Franklin Gothic Book" w:hAnsi="Franklin Gothic Book"/>
          <w:spacing w:val="-8"/>
          <w:sz w:val="20"/>
        </w:rPr>
        <w:t> </w:t>
      </w:r>
      <w:r>
        <w:rPr>
          <w:rFonts w:ascii="Franklin Gothic Book" w:hAnsi="Franklin Gothic Book"/>
          <w:sz w:val="20"/>
        </w:rPr>
        <w:t>il</w:t>
      </w:r>
      <w:r>
        <w:rPr>
          <w:rFonts w:ascii="Franklin Gothic Book" w:hAnsi="Franklin Gothic Book"/>
          <w:spacing w:val="-8"/>
          <w:sz w:val="20"/>
        </w:rPr>
        <w:t> </w:t>
      </w:r>
      <w:r>
        <w:rPr>
          <w:rFonts w:ascii="Franklin Gothic Book" w:hAnsi="Franklin Gothic Book"/>
          <w:sz w:val="20"/>
        </w:rPr>
        <w:t>disinnesco delle clausole di salvaguardia previste a legislazione vigente in parallelo all’alleggerimento della pressione fiscale, che grava maggiormente sui redditi medio bassi, e alla riduzione del cuneo fiscale</w:t>
      </w:r>
      <w:r>
        <w:rPr>
          <w:rFonts w:ascii="Franklin Gothic Book" w:hAnsi="Franklin Gothic Book"/>
          <w:spacing w:val="-9"/>
          <w:sz w:val="20"/>
        </w:rPr>
        <w:t> </w:t>
      </w:r>
      <w:r>
        <w:rPr>
          <w:rFonts w:ascii="Franklin Gothic Book" w:hAnsi="Franklin Gothic Book"/>
          <w:sz w:val="20"/>
        </w:rPr>
        <w:t>sul</w:t>
      </w:r>
      <w:r>
        <w:rPr>
          <w:rFonts w:ascii="Franklin Gothic Book" w:hAnsi="Franklin Gothic Book"/>
          <w:spacing w:val="-8"/>
          <w:sz w:val="20"/>
        </w:rPr>
        <w:t> </w:t>
      </w:r>
      <w:r>
        <w:rPr>
          <w:rFonts w:ascii="Franklin Gothic Book" w:hAnsi="Franklin Gothic Book"/>
          <w:sz w:val="20"/>
        </w:rPr>
        <w:t>lavoro.</w:t>
      </w:r>
      <w:r>
        <w:rPr>
          <w:rFonts w:ascii="Franklin Gothic Book" w:hAnsi="Franklin Gothic Book"/>
          <w:spacing w:val="-8"/>
          <w:sz w:val="20"/>
        </w:rPr>
        <w:t> </w:t>
      </w:r>
      <w:r>
        <w:rPr>
          <w:rFonts w:ascii="Franklin Gothic Book" w:hAnsi="Franklin Gothic Book"/>
          <w:sz w:val="20"/>
        </w:rPr>
        <w:t>Nell’ambito</w:t>
      </w:r>
      <w:r>
        <w:rPr>
          <w:rFonts w:ascii="Franklin Gothic Book" w:hAnsi="Franklin Gothic Book"/>
          <w:spacing w:val="-8"/>
          <w:sz w:val="20"/>
        </w:rPr>
        <w:t> </w:t>
      </w:r>
      <w:r>
        <w:rPr>
          <w:rFonts w:ascii="Franklin Gothic Book" w:hAnsi="Franklin Gothic Book"/>
          <w:sz w:val="20"/>
        </w:rPr>
        <w:t>di</w:t>
      </w:r>
      <w:r>
        <w:rPr>
          <w:rFonts w:ascii="Franklin Gothic Book" w:hAnsi="Franklin Gothic Book"/>
          <w:spacing w:val="-8"/>
          <w:sz w:val="20"/>
        </w:rPr>
        <w:t> </w:t>
      </w:r>
      <w:r>
        <w:rPr>
          <w:rFonts w:ascii="Franklin Gothic Book" w:hAnsi="Franklin Gothic Book"/>
          <w:sz w:val="20"/>
        </w:rPr>
        <w:t>un</w:t>
      </w:r>
      <w:r>
        <w:rPr>
          <w:rFonts w:ascii="Franklin Gothic Book" w:hAnsi="Franklin Gothic Book"/>
          <w:spacing w:val="-9"/>
          <w:sz w:val="20"/>
        </w:rPr>
        <w:t> </w:t>
      </w:r>
      <w:r>
        <w:rPr>
          <w:rFonts w:ascii="Franklin Gothic Book" w:hAnsi="Franklin Gothic Book"/>
          <w:sz w:val="20"/>
        </w:rPr>
        <w:t>ampio</w:t>
      </w:r>
      <w:r>
        <w:rPr>
          <w:rFonts w:ascii="Franklin Gothic Book" w:hAnsi="Franklin Gothic Book"/>
          <w:spacing w:val="-8"/>
          <w:sz w:val="20"/>
        </w:rPr>
        <w:t> </w:t>
      </w:r>
      <w:r>
        <w:rPr>
          <w:rFonts w:ascii="Franklin Gothic Book" w:hAnsi="Franklin Gothic Book"/>
          <w:sz w:val="20"/>
        </w:rPr>
        <w:t>processo</w:t>
      </w:r>
      <w:r>
        <w:rPr>
          <w:rFonts w:ascii="Franklin Gothic Book" w:hAnsi="Franklin Gothic Book"/>
          <w:spacing w:val="-8"/>
          <w:sz w:val="20"/>
        </w:rPr>
        <w:t> </w:t>
      </w:r>
      <w:r>
        <w:rPr>
          <w:rFonts w:ascii="Franklin Gothic Book" w:hAnsi="Franklin Gothic Book"/>
          <w:sz w:val="20"/>
        </w:rPr>
        <w:t>di</w:t>
      </w:r>
      <w:r>
        <w:rPr>
          <w:rFonts w:ascii="Franklin Gothic Book" w:hAnsi="Franklin Gothic Book"/>
          <w:spacing w:val="-9"/>
          <w:sz w:val="20"/>
        </w:rPr>
        <w:t> </w:t>
      </w:r>
      <w:r>
        <w:rPr>
          <w:rFonts w:ascii="Franklin Gothic Book" w:hAnsi="Franklin Gothic Book"/>
          <w:sz w:val="20"/>
        </w:rPr>
        <w:t>riforma</w:t>
      </w:r>
      <w:r>
        <w:rPr>
          <w:rFonts w:ascii="Franklin Gothic Book" w:hAnsi="Franklin Gothic Book"/>
          <w:spacing w:val="-8"/>
          <w:sz w:val="20"/>
        </w:rPr>
        <w:t> </w:t>
      </w:r>
      <w:r>
        <w:rPr>
          <w:rFonts w:ascii="Franklin Gothic Book" w:hAnsi="Franklin Gothic Book"/>
          <w:sz w:val="20"/>
        </w:rPr>
        <w:t>dell’imposizione</w:t>
      </w:r>
      <w:r>
        <w:rPr>
          <w:rFonts w:ascii="Franklin Gothic Book" w:hAnsi="Franklin Gothic Book"/>
          <w:spacing w:val="-9"/>
          <w:sz w:val="20"/>
        </w:rPr>
        <w:t> </w:t>
      </w:r>
      <w:r>
        <w:rPr>
          <w:rFonts w:ascii="Franklin Gothic Book" w:hAnsi="Franklin Gothic Book"/>
          <w:sz w:val="20"/>
        </w:rPr>
        <w:t>sugli</w:t>
      </w:r>
      <w:r>
        <w:rPr>
          <w:rFonts w:ascii="Franklin Gothic Book" w:hAnsi="Franklin Gothic Book"/>
          <w:spacing w:val="-9"/>
          <w:sz w:val="20"/>
        </w:rPr>
        <w:t> </w:t>
      </w:r>
      <w:r>
        <w:rPr>
          <w:rFonts w:ascii="Franklin Gothic Book" w:hAnsi="Franklin Gothic Book"/>
          <w:sz w:val="20"/>
        </w:rPr>
        <w:t>utili</w:t>
      </w:r>
      <w:r>
        <w:rPr>
          <w:rFonts w:ascii="Franklin Gothic Book" w:hAnsi="Franklin Gothic Book"/>
          <w:spacing w:val="-8"/>
          <w:sz w:val="20"/>
        </w:rPr>
        <w:t> </w:t>
      </w:r>
      <w:r>
        <w:rPr>
          <w:rFonts w:ascii="Franklin Gothic Book" w:hAnsi="Franklin Gothic Book"/>
          <w:sz w:val="20"/>
        </w:rPr>
        <w:t>d’impresa concordato a livello internazionale, si attuerà la </w:t>
      </w:r>
      <w:r>
        <w:rPr>
          <w:rFonts w:ascii="Franklin Gothic Book" w:hAnsi="Franklin Gothic Book"/>
          <w:i/>
          <w:sz w:val="20"/>
        </w:rPr>
        <w:t>web tax </w:t>
      </w:r>
      <w:r>
        <w:rPr>
          <w:rFonts w:ascii="Franklin Gothic Book" w:hAnsi="Franklin Gothic Book"/>
          <w:sz w:val="20"/>
        </w:rPr>
        <w:t>per le multinazionali del settore che spostano i profitti verso giurisdizioni più favorevoli. La revisione delle agevolazioni fiscali punterà a</w:t>
      </w:r>
      <w:r>
        <w:rPr>
          <w:rFonts w:ascii="Franklin Gothic Book" w:hAnsi="Franklin Gothic Book"/>
          <w:spacing w:val="-9"/>
          <w:sz w:val="20"/>
        </w:rPr>
        <w:t> </w:t>
      </w:r>
      <w:r>
        <w:rPr>
          <w:rFonts w:ascii="Franklin Gothic Book" w:hAnsi="Franklin Gothic Book"/>
          <w:sz w:val="20"/>
        </w:rPr>
        <w:t>una</w:t>
      </w:r>
      <w:r>
        <w:rPr>
          <w:rFonts w:ascii="Franklin Gothic Book" w:hAnsi="Franklin Gothic Book"/>
          <w:spacing w:val="-7"/>
          <w:sz w:val="20"/>
        </w:rPr>
        <w:t> </w:t>
      </w:r>
      <w:r>
        <w:rPr>
          <w:rFonts w:ascii="Franklin Gothic Book" w:hAnsi="Franklin Gothic Book"/>
          <w:sz w:val="20"/>
        </w:rPr>
        <w:t>razionalizzazione</w:t>
      </w:r>
      <w:r>
        <w:rPr>
          <w:rFonts w:ascii="Franklin Gothic Book" w:hAnsi="Franklin Gothic Book"/>
          <w:spacing w:val="-9"/>
          <w:sz w:val="20"/>
        </w:rPr>
        <w:t> </w:t>
      </w:r>
      <w:r>
        <w:rPr>
          <w:rFonts w:ascii="Franklin Gothic Book" w:hAnsi="Franklin Gothic Book"/>
          <w:sz w:val="20"/>
        </w:rPr>
        <w:t>della</w:t>
      </w:r>
      <w:r>
        <w:rPr>
          <w:rFonts w:ascii="Franklin Gothic Book" w:hAnsi="Franklin Gothic Book"/>
          <w:spacing w:val="-5"/>
          <w:sz w:val="20"/>
        </w:rPr>
        <w:t> </w:t>
      </w:r>
      <w:r>
        <w:rPr>
          <w:rFonts w:ascii="Franklin Gothic Book" w:hAnsi="Franklin Gothic Book"/>
          <w:sz w:val="20"/>
        </w:rPr>
        <w:t>miriade</w:t>
      </w:r>
      <w:r>
        <w:rPr>
          <w:rFonts w:ascii="Franklin Gothic Book" w:hAnsi="Franklin Gothic Book"/>
          <w:spacing w:val="-8"/>
          <w:sz w:val="20"/>
        </w:rPr>
        <w:t> </w:t>
      </w:r>
      <w:r>
        <w:rPr>
          <w:rFonts w:ascii="Franklin Gothic Book" w:hAnsi="Franklin Gothic Book"/>
          <w:sz w:val="20"/>
        </w:rPr>
        <w:t>di</w:t>
      </w:r>
      <w:r>
        <w:rPr>
          <w:rFonts w:ascii="Franklin Gothic Book" w:hAnsi="Franklin Gothic Book"/>
          <w:spacing w:val="-8"/>
          <w:sz w:val="20"/>
        </w:rPr>
        <w:t> </w:t>
      </w:r>
      <w:r>
        <w:rPr>
          <w:rFonts w:ascii="Franklin Gothic Book" w:hAnsi="Franklin Gothic Book"/>
          <w:sz w:val="20"/>
        </w:rPr>
        <w:t>agevolazioni</w:t>
      </w:r>
      <w:r>
        <w:rPr>
          <w:rFonts w:ascii="Franklin Gothic Book" w:hAnsi="Franklin Gothic Book"/>
          <w:spacing w:val="-8"/>
          <w:sz w:val="20"/>
        </w:rPr>
        <w:t> </w:t>
      </w:r>
      <w:r>
        <w:rPr>
          <w:rFonts w:ascii="Franklin Gothic Book" w:hAnsi="Franklin Gothic Book"/>
          <w:sz w:val="20"/>
        </w:rPr>
        <w:t>attualmente</w:t>
      </w:r>
      <w:r>
        <w:rPr>
          <w:rFonts w:ascii="Franklin Gothic Book" w:hAnsi="Franklin Gothic Book"/>
          <w:spacing w:val="-8"/>
          <w:sz w:val="20"/>
        </w:rPr>
        <w:t> </w:t>
      </w:r>
      <w:r>
        <w:rPr>
          <w:rFonts w:ascii="Franklin Gothic Book" w:hAnsi="Franklin Gothic Book"/>
          <w:sz w:val="20"/>
        </w:rPr>
        <w:t>esistenti</w:t>
      </w:r>
      <w:r>
        <w:rPr>
          <w:rFonts w:ascii="Franklin Gothic Book" w:hAnsi="Franklin Gothic Book"/>
          <w:spacing w:val="-8"/>
          <w:sz w:val="20"/>
        </w:rPr>
        <w:t> </w:t>
      </w:r>
      <w:r>
        <w:rPr>
          <w:rFonts w:ascii="Franklin Gothic Book" w:hAnsi="Franklin Gothic Book"/>
          <w:sz w:val="20"/>
        </w:rPr>
        <w:t>rendendo</w:t>
      </w:r>
      <w:r>
        <w:rPr>
          <w:rFonts w:ascii="Franklin Gothic Book" w:hAnsi="Franklin Gothic Book"/>
          <w:spacing w:val="-8"/>
          <w:sz w:val="20"/>
        </w:rPr>
        <w:t> </w:t>
      </w:r>
      <w:r>
        <w:rPr>
          <w:rFonts w:ascii="Franklin Gothic Book" w:hAnsi="Franklin Gothic Book"/>
          <w:sz w:val="20"/>
        </w:rPr>
        <w:t>il</w:t>
      </w:r>
      <w:r>
        <w:rPr>
          <w:rFonts w:ascii="Franklin Gothic Book" w:hAnsi="Franklin Gothic Book"/>
          <w:spacing w:val="-6"/>
          <w:sz w:val="20"/>
        </w:rPr>
        <w:t> </w:t>
      </w:r>
      <w:r>
        <w:rPr>
          <w:rFonts w:ascii="Franklin Gothic Book" w:hAnsi="Franklin Gothic Book"/>
          <w:sz w:val="20"/>
        </w:rPr>
        <w:t>sistema</w:t>
      </w:r>
      <w:r>
        <w:rPr>
          <w:rFonts w:ascii="Franklin Gothic Book" w:hAnsi="Franklin Gothic Book"/>
          <w:spacing w:val="-7"/>
          <w:sz w:val="20"/>
        </w:rPr>
        <w:t> </w:t>
      </w:r>
      <w:r>
        <w:rPr>
          <w:rFonts w:ascii="Franklin Gothic Book" w:hAnsi="Franklin Gothic Book"/>
          <w:sz w:val="20"/>
        </w:rPr>
        <w:t>più coerente con l’approccio d’insieme e sostenga il gettito</w:t>
      </w:r>
      <w:r>
        <w:rPr>
          <w:rFonts w:ascii="Franklin Gothic Book" w:hAnsi="Franklin Gothic Book"/>
          <w:spacing w:val="-6"/>
          <w:sz w:val="20"/>
        </w:rPr>
        <w:t> </w:t>
      </w:r>
      <w:r>
        <w:rPr>
          <w:rFonts w:ascii="Franklin Gothic Book" w:hAnsi="Franklin Gothic Book"/>
          <w:sz w:val="20"/>
        </w:rPr>
        <w:t>fiscale.</w:t>
      </w:r>
    </w:p>
    <w:p>
      <w:pPr>
        <w:pStyle w:val="BodyText"/>
        <w:spacing w:before="6"/>
        <w:rPr>
          <w:rFonts w:ascii="Franklin Gothic Book"/>
          <w:sz w:val="11"/>
        </w:rPr>
      </w:pPr>
    </w:p>
    <w:p>
      <w:pPr>
        <w:pStyle w:val="BodyText"/>
        <w:spacing w:line="252" w:lineRule="auto" w:before="101"/>
        <w:ind w:left="1128" w:right="1412" w:firstLine="453"/>
        <w:jc w:val="both"/>
      </w:pPr>
      <w:r>
        <w:rPr/>
        <w:t>Oltre agli obiettivi suddetti, facendo leva sulla forza del sistema produttivo italiano, la manovra di bilancio conterrà altri interventi in grado di incentivare investimenti sia per il rinnovo delle produzioni e degli impianti in uso, in modo da contenere le emissioni e ridurre i consumi energetici, sia per l’utilizzo delle nuove tecnologie, attivando un circolo virtuoso tra innovazione e ambiente. Saranno previsti incentivi e agevolazioni che perseguiranno l’obiettivo di proteggere l’ambiente</w:t>
      </w:r>
      <w:r>
        <w:rPr>
          <w:spacing w:val="-16"/>
        </w:rPr>
        <w:t> </w:t>
      </w:r>
      <w:r>
        <w:rPr/>
        <w:t>e</w:t>
      </w:r>
      <w:r>
        <w:rPr>
          <w:spacing w:val="-15"/>
        </w:rPr>
        <w:t> </w:t>
      </w:r>
      <w:r>
        <w:rPr/>
        <w:t>favorire</w:t>
      </w:r>
      <w:r>
        <w:rPr>
          <w:spacing w:val="-18"/>
        </w:rPr>
        <w:t> </w:t>
      </w:r>
      <w:r>
        <w:rPr/>
        <w:t>la</w:t>
      </w:r>
      <w:r>
        <w:rPr>
          <w:spacing w:val="-21"/>
        </w:rPr>
        <w:t> </w:t>
      </w:r>
      <w:r>
        <w:rPr/>
        <w:t>crescita</w:t>
      </w:r>
      <w:r>
        <w:rPr>
          <w:spacing w:val="-19"/>
        </w:rPr>
        <w:t> </w:t>
      </w:r>
      <w:r>
        <w:rPr/>
        <w:t>e</w:t>
      </w:r>
      <w:r>
        <w:rPr>
          <w:spacing w:val="-15"/>
        </w:rPr>
        <w:t> </w:t>
      </w:r>
      <w:r>
        <w:rPr/>
        <w:t>l’economia</w:t>
      </w:r>
      <w:r>
        <w:rPr>
          <w:spacing w:val="-20"/>
        </w:rPr>
        <w:t> </w:t>
      </w:r>
      <w:r>
        <w:rPr/>
        <w:t>circolare,</w:t>
      </w:r>
      <w:r>
        <w:rPr>
          <w:spacing w:val="-17"/>
        </w:rPr>
        <w:t> </w:t>
      </w:r>
      <w:r>
        <w:rPr/>
        <w:t>in</w:t>
      </w:r>
      <w:r>
        <w:rPr>
          <w:spacing w:val="-16"/>
        </w:rPr>
        <w:t> </w:t>
      </w:r>
      <w:r>
        <w:rPr/>
        <w:t>modo</w:t>
      </w:r>
      <w:r>
        <w:rPr>
          <w:spacing w:val="-18"/>
        </w:rPr>
        <w:t> </w:t>
      </w:r>
      <w:r>
        <w:rPr/>
        <w:t>tale</w:t>
      </w:r>
      <w:r>
        <w:rPr>
          <w:spacing w:val="-18"/>
        </w:rPr>
        <w:t> </w:t>
      </w:r>
      <w:r>
        <w:rPr/>
        <w:t>da</w:t>
      </w:r>
      <w:r>
        <w:rPr>
          <w:spacing w:val="-17"/>
        </w:rPr>
        <w:t> </w:t>
      </w:r>
      <w:r>
        <w:rPr/>
        <w:t>traguardare la realizzazione e lo sviluppo di un nuovo modello di crescita sostenibile ed inclusivo.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r>
        <w:rPr/>
        <w:pict>
          <v:group style="position:absolute;margin-left:136.100006pt;margin-top:14.123779pt;width:21.4pt;height:2.15pt;mso-position-horizontal-relative:page;mso-position-vertical-relative:paragraph;z-index:-251454464;mso-wrap-distance-left:0;mso-wrap-distance-right:0" coordorigin="2722,282" coordsize="428,43">
            <v:line style="position:absolute" from="2722,303" to="3149,303" stroked="true" strokeweight="2.050pt" strokecolor="#aaaaaa">
              <v:stroke dashstyle="solid"/>
            </v:line>
            <v:rect style="position:absolute;left:2722;top:284;width:5;height:5" filled="true" fillcolor="#9f9f9f" stroked="false">
              <v:fill type="solid"/>
            </v:rect>
            <v:rect style="position:absolute;left:2722;top:284;width:5;height:5" filled="true" fillcolor="#9f9f9f" stroked="false">
              <v:fill type="solid"/>
            </v:rect>
            <v:line style="position:absolute" from="2727,287" to="3144,287" stroked="true" strokeweight=".23999pt" strokecolor="#9f9f9f">
              <v:stroke dashstyle="solid"/>
            </v:line>
            <v:rect style="position:absolute;left:3144;top:284;width:5;height:5" filled="true" fillcolor="#e2e2e2" stroked="false">
              <v:fill type="solid"/>
            </v:rect>
            <v:rect style="position:absolute;left:3144;top:284;width:5;height:5" filled="true" fillcolor="#9f9f9f" stroked="false">
              <v:fill type="solid"/>
            </v:rect>
            <v:rect style="position:absolute;left:2722;top:289;width:5;height:32" filled="true" fillcolor="#9f9f9f" stroked="false">
              <v:fill type="solid"/>
            </v:rect>
            <v:rect style="position:absolute;left:3144;top:289;width:5;height:32" filled="true" fillcolor="#e2e2e2" stroked="false">
              <v:fill type="solid"/>
            </v:rect>
            <v:rect style="position:absolute;left:2722;top:320;width:5;height:5" filled="true" fillcolor="#9f9f9f" stroked="false">
              <v:fill type="solid"/>
            </v:rect>
            <v:rect style="position:absolute;left:2722;top:320;width:5;height:5" filled="true" fillcolor="#e2e2e2" stroked="false">
              <v:fill type="solid"/>
            </v:rect>
            <v:line style="position:absolute" from="2727,323" to="3144,323" stroked="true" strokeweight=".23999pt" strokecolor="#e2e2e2">
              <v:stroke dashstyle="solid"/>
            </v:line>
            <v:rect style="position:absolute;left:3144;top:320;width:5;height:5" filled="true" fillcolor="#e2e2e2" stroked="false">
              <v:fill type="solid"/>
            </v:rect>
            <v:rect style="position:absolute;left:3144;top:320;width:5;height:5" filled="true" fillcolor="#e2e2e2" stroked="false">
              <v:fill type="solid"/>
            </v:rect>
            <w10:wrap type="topAndBottom"/>
          </v:group>
        </w:pict>
      </w:r>
    </w:p>
    <w:p>
      <w:pPr>
        <w:spacing w:before="20"/>
        <w:ind w:left="1111" w:right="1005" w:firstLine="0"/>
        <w:jc w:val="center"/>
        <w:rPr>
          <w:sz w:val="16"/>
        </w:rPr>
      </w:pPr>
      <w:r>
        <w:rPr>
          <w:position w:val="6"/>
          <w:sz w:val="10"/>
        </w:rPr>
        <w:t>2 </w:t>
      </w:r>
      <w:hyperlink r:id="rId82">
        <w:r>
          <w:rPr>
            <w:sz w:val="16"/>
          </w:rPr>
          <w:t>http://www.oecd.org/ctp/implementing-online-cash-registers-benefits-considerations-and-guidance.htm</w:t>
        </w:r>
      </w:hyperlink>
    </w:p>
    <w:p>
      <w:pPr>
        <w:spacing w:after="0"/>
        <w:jc w:val="center"/>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4"/>
        <w:rPr>
          <w:sz w:val="24"/>
        </w:rPr>
      </w:pPr>
    </w:p>
    <w:p>
      <w:pPr>
        <w:pStyle w:val="Heading3"/>
        <w:spacing w:before="99"/>
        <w:jc w:val="both"/>
      </w:pPr>
      <w:r>
        <w:rPr>
          <w:color w:val="585858"/>
        </w:rPr>
        <w:t>Mercato del lavoro, politiche attive del lavoro e politiche sociali - CSR n. 2</w:t>
      </w:r>
    </w:p>
    <w:p>
      <w:pPr>
        <w:spacing w:line="232" w:lineRule="auto" w:before="162"/>
        <w:ind w:left="278" w:right="2264" w:firstLine="0"/>
        <w:jc w:val="both"/>
        <w:rPr>
          <w:rFonts w:ascii="Franklin Gothic Book" w:hAnsi="Franklin Gothic Book"/>
          <w:sz w:val="20"/>
        </w:rPr>
      </w:pPr>
      <w:r>
        <w:rPr/>
        <w:pict>
          <v:line style="position:absolute;mso-position-horizontal-relative:page;mso-position-vertical-relative:paragraph;z-index:-251452416;mso-wrap-distance-left:0;mso-wrap-distance-right:0" from="69.503998pt,90.910088pt" to="483.453998pt,90.910088pt" stroked="true" strokeweight="1.44pt" strokecolor="#006247">
            <v:stroke dashstyle="solid"/>
            <w10:wrap type="topAndBottom"/>
          </v:line>
        </w:pict>
      </w:r>
      <w:r>
        <w:rPr>
          <w:rFonts w:ascii="Franklin Gothic Heavy" w:hAnsi="Franklin Gothic Heavy"/>
          <w:b/>
          <w:color w:val="006247"/>
          <w:sz w:val="20"/>
        </w:rPr>
        <w:t>LINEE PROGRAMMATICHE: </w:t>
      </w:r>
      <w:r>
        <w:rPr>
          <w:rFonts w:ascii="Franklin Gothic Book" w:hAnsi="Franklin Gothic Book"/>
          <w:sz w:val="20"/>
        </w:rPr>
        <w:t>Il Governo intende potenziare le politiche attive del lavoro e di prevenzione degli infortuni e delle malattie professionali e incentivare la parità di genere nelle retribuzioni. La disciplina del salario minimo aumenterà le tutele per i lavoratori, anche attraverso il meccanismo dell'efficacia erga omnes dei contratti collettivi sottoscritti dalle organizzazioni sindacali maggiormente rappresentative. Si sosterrà lo sforzo per una regolamentazione più efficace</w:t>
      </w:r>
      <w:r>
        <w:rPr>
          <w:rFonts w:ascii="Franklin Gothic Book" w:hAnsi="Franklin Gothic Book"/>
          <w:spacing w:val="-6"/>
          <w:sz w:val="20"/>
        </w:rPr>
        <w:t> </w:t>
      </w:r>
      <w:r>
        <w:rPr>
          <w:rFonts w:ascii="Franklin Gothic Book" w:hAnsi="Franklin Gothic Book"/>
          <w:sz w:val="20"/>
        </w:rPr>
        <w:t>della</w:t>
      </w:r>
      <w:r>
        <w:rPr>
          <w:rFonts w:ascii="Franklin Gothic Book" w:hAnsi="Franklin Gothic Book"/>
          <w:spacing w:val="-2"/>
          <w:sz w:val="20"/>
        </w:rPr>
        <w:t> </w:t>
      </w:r>
      <w:r>
        <w:rPr>
          <w:rFonts w:ascii="Franklin Gothic Book" w:hAnsi="Franklin Gothic Book"/>
          <w:sz w:val="20"/>
        </w:rPr>
        <w:t>rappresentanza</w:t>
      </w:r>
      <w:r>
        <w:rPr>
          <w:rFonts w:ascii="Franklin Gothic Book" w:hAnsi="Franklin Gothic Book"/>
          <w:spacing w:val="-4"/>
          <w:sz w:val="20"/>
        </w:rPr>
        <w:t> </w:t>
      </w:r>
      <w:r>
        <w:rPr>
          <w:rFonts w:ascii="Franklin Gothic Book" w:hAnsi="Franklin Gothic Book"/>
          <w:sz w:val="20"/>
        </w:rPr>
        <w:t>sindacale</w:t>
      </w:r>
      <w:r>
        <w:rPr>
          <w:rFonts w:ascii="Franklin Gothic Book" w:hAnsi="Franklin Gothic Book"/>
          <w:spacing w:val="-5"/>
          <w:sz w:val="20"/>
        </w:rPr>
        <w:t> </w:t>
      </w:r>
      <w:r>
        <w:rPr>
          <w:rFonts w:ascii="Franklin Gothic Book" w:hAnsi="Franklin Gothic Book"/>
          <w:sz w:val="20"/>
        </w:rPr>
        <w:t>e</w:t>
      </w:r>
      <w:r>
        <w:rPr>
          <w:rFonts w:ascii="Franklin Gothic Book" w:hAnsi="Franklin Gothic Book"/>
          <w:spacing w:val="-6"/>
          <w:sz w:val="20"/>
        </w:rPr>
        <w:t> </w:t>
      </w:r>
      <w:r>
        <w:rPr>
          <w:rFonts w:ascii="Franklin Gothic Book" w:hAnsi="Franklin Gothic Book"/>
          <w:sz w:val="20"/>
        </w:rPr>
        <w:t>datoriale.</w:t>
      </w:r>
      <w:r>
        <w:rPr>
          <w:rFonts w:ascii="Franklin Gothic Book" w:hAnsi="Franklin Gothic Book"/>
          <w:spacing w:val="-4"/>
          <w:sz w:val="20"/>
        </w:rPr>
        <w:t> </w:t>
      </w:r>
      <w:r>
        <w:rPr>
          <w:rFonts w:ascii="Franklin Gothic Book" w:hAnsi="Franklin Gothic Book"/>
          <w:sz w:val="20"/>
        </w:rPr>
        <w:t>Si</w:t>
      </w:r>
      <w:r>
        <w:rPr>
          <w:rFonts w:ascii="Franklin Gothic Book" w:hAnsi="Franklin Gothic Book"/>
          <w:spacing w:val="-5"/>
          <w:sz w:val="20"/>
        </w:rPr>
        <w:t> </w:t>
      </w:r>
      <w:r>
        <w:rPr>
          <w:rFonts w:ascii="Franklin Gothic Book" w:hAnsi="Franklin Gothic Book"/>
          <w:sz w:val="20"/>
        </w:rPr>
        <w:t>amplierà</w:t>
      </w:r>
      <w:r>
        <w:rPr>
          <w:rFonts w:ascii="Franklin Gothic Book" w:hAnsi="Franklin Gothic Book"/>
          <w:spacing w:val="-4"/>
          <w:sz w:val="20"/>
        </w:rPr>
        <w:t> </w:t>
      </w:r>
      <w:r>
        <w:rPr>
          <w:rFonts w:ascii="Franklin Gothic Book" w:hAnsi="Franklin Gothic Book"/>
          <w:sz w:val="20"/>
        </w:rPr>
        <w:t>il</w:t>
      </w:r>
      <w:r>
        <w:rPr>
          <w:rFonts w:ascii="Franklin Gothic Book" w:hAnsi="Franklin Gothic Book"/>
          <w:spacing w:val="-6"/>
          <w:sz w:val="20"/>
        </w:rPr>
        <w:t> </w:t>
      </w:r>
      <w:r>
        <w:rPr>
          <w:rFonts w:ascii="Franklin Gothic Book" w:hAnsi="Franklin Gothic Book"/>
          <w:sz w:val="20"/>
        </w:rPr>
        <w:t>sostegno</w:t>
      </w:r>
      <w:r>
        <w:rPr>
          <w:rFonts w:ascii="Franklin Gothic Book" w:hAnsi="Franklin Gothic Book"/>
          <w:spacing w:val="-5"/>
          <w:sz w:val="20"/>
        </w:rPr>
        <w:t> </w:t>
      </w:r>
      <w:r>
        <w:rPr>
          <w:rFonts w:ascii="Franklin Gothic Book" w:hAnsi="Franklin Gothic Book"/>
          <w:sz w:val="20"/>
        </w:rPr>
        <w:t>a</w:t>
      </w:r>
      <w:r>
        <w:rPr>
          <w:rFonts w:ascii="Franklin Gothic Book" w:hAnsi="Franklin Gothic Book"/>
          <w:spacing w:val="-4"/>
          <w:sz w:val="20"/>
        </w:rPr>
        <w:t> </w:t>
      </w:r>
      <w:r>
        <w:rPr>
          <w:rFonts w:ascii="Franklin Gothic Book" w:hAnsi="Franklin Gothic Book"/>
          <w:sz w:val="20"/>
        </w:rPr>
        <w:t>famiglie,</w:t>
      </w:r>
      <w:r>
        <w:rPr>
          <w:rFonts w:ascii="Franklin Gothic Book" w:hAnsi="Franklin Gothic Book"/>
          <w:spacing w:val="-4"/>
          <w:sz w:val="20"/>
        </w:rPr>
        <w:t> </w:t>
      </w:r>
      <w:r>
        <w:rPr>
          <w:rFonts w:ascii="Franklin Gothic Book" w:hAnsi="Franklin Gothic Book"/>
          <w:sz w:val="20"/>
        </w:rPr>
        <w:t>disabili</w:t>
      </w:r>
      <w:r>
        <w:rPr>
          <w:rFonts w:ascii="Franklin Gothic Book" w:hAnsi="Franklin Gothic Book"/>
          <w:spacing w:val="-5"/>
          <w:sz w:val="20"/>
        </w:rPr>
        <w:t> </w:t>
      </w:r>
      <w:r>
        <w:rPr>
          <w:rFonts w:ascii="Franklin Gothic Book" w:hAnsi="Franklin Gothic Book"/>
          <w:sz w:val="20"/>
        </w:rPr>
        <w:t>e</w:t>
      </w:r>
      <w:r>
        <w:rPr>
          <w:rFonts w:ascii="Franklin Gothic Book" w:hAnsi="Franklin Gothic Book"/>
          <w:spacing w:val="-6"/>
          <w:sz w:val="20"/>
        </w:rPr>
        <w:t> </w:t>
      </w:r>
      <w:r>
        <w:rPr>
          <w:rFonts w:ascii="Franklin Gothic Book" w:hAnsi="Franklin Gothic Book"/>
          <w:sz w:val="20"/>
        </w:rPr>
        <w:t>ai ‘lavoratori tramite piattaforma</w:t>
      </w:r>
      <w:r>
        <w:rPr>
          <w:rFonts w:ascii="Franklin Gothic Book" w:hAnsi="Franklin Gothic Book"/>
          <w:spacing w:val="-2"/>
          <w:sz w:val="20"/>
        </w:rPr>
        <w:t> </w:t>
      </w:r>
      <w:r>
        <w:rPr>
          <w:rFonts w:ascii="Franklin Gothic Book" w:hAnsi="Franklin Gothic Book"/>
          <w:sz w:val="20"/>
        </w:rPr>
        <w:t>digitale’.</w:t>
      </w:r>
    </w:p>
    <w:p>
      <w:pPr>
        <w:pStyle w:val="BodyText"/>
        <w:spacing w:before="6"/>
        <w:rPr>
          <w:rFonts w:ascii="Franklin Gothic Book"/>
          <w:sz w:val="11"/>
        </w:rPr>
      </w:pPr>
    </w:p>
    <w:p>
      <w:pPr>
        <w:pStyle w:val="BodyText"/>
        <w:spacing w:line="247" w:lineRule="auto" w:before="101"/>
        <w:ind w:left="278" w:right="2261" w:firstLine="453"/>
        <w:jc w:val="both"/>
      </w:pPr>
      <w:r>
        <w:rPr/>
        <w:t>L’azione di tutela dei lavoratori comprenderà, oltre alla riduzione delle tasse sul</w:t>
      </w:r>
      <w:r>
        <w:rPr>
          <w:spacing w:val="-8"/>
        </w:rPr>
        <w:t> </w:t>
      </w:r>
      <w:r>
        <w:rPr/>
        <w:t>lavoro,</w:t>
      </w:r>
      <w:r>
        <w:rPr>
          <w:spacing w:val="-7"/>
        </w:rPr>
        <w:t> </w:t>
      </w:r>
      <w:r>
        <w:rPr/>
        <w:t>anche</w:t>
      </w:r>
      <w:r>
        <w:rPr>
          <w:spacing w:val="-10"/>
        </w:rPr>
        <w:t> </w:t>
      </w:r>
      <w:r>
        <w:rPr/>
        <w:t>un</w:t>
      </w:r>
      <w:r>
        <w:rPr>
          <w:spacing w:val="-8"/>
        </w:rPr>
        <w:t> </w:t>
      </w:r>
      <w:r>
        <w:rPr/>
        <w:t>piano</w:t>
      </w:r>
      <w:r>
        <w:rPr>
          <w:spacing w:val="-8"/>
        </w:rPr>
        <w:t> </w:t>
      </w:r>
      <w:r>
        <w:rPr/>
        <w:t>strategico</w:t>
      </w:r>
      <w:r>
        <w:rPr>
          <w:spacing w:val="-7"/>
        </w:rPr>
        <w:t> </w:t>
      </w:r>
      <w:r>
        <w:rPr/>
        <w:t>di</w:t>
      </w:r>
      <w:r>
        <w:rPr>
          <w:spacing w:val="-8"/>
        </w:rPr>
        <w:t> </w:t>
      </w:r>
      <w:r>
        <w:rPr/>
        <w:t>prevenzione</w:t>
      </w:r>
      <w:r>
        <w:rPr>
          <w:spacing w:val="-8"/>
        </w:rPr>
        <w:t> </w:t>
      </w:r>
      <w:r>
        <w:rPr/>
        <w:t>degli</w:t>
      </w:r>
      <w:r>
        <w:rPr>
          <w:spacing w:val="-8"/>
        </w:rPr>
        <w:t> </w:t>
      </w:r>
      <w:r>
        <w:rPr/>
        <w:t>infortuni</w:t>
      </w:r>
      <w:r>
        <w:rPr>
          <w:spacing w:val="-8"/>
        </w:rPr>
        <w:t> </w:t>
      </w:r>
      <w:r>
        <w:rPr/>
        <w:t>e</w:t>
      </w:r>
      <w:r>
        <w:rPr>
          <w:spacing w:val="-7"/>
        </w:rPr>
        <w:t> </w:t>
      </w:r>
      <w:r>
        <w:rPr/>
        <w:t>delle</w:t>
      </w:r>
      <w:r>
        <w:rPr>
          <w:spacing w:val="-10"/>
        </w:rPr>
        <w:t> </w:t>
      </w:r>
      <w:r>
        <w:rPr/>
        <w:t>malattie professionali, una legge sulla parità di genere nelle retribuzioni, il rinnovamento dell’istituto di natura previdenziale cosiddetto ‘opzione Donna’ e “Ape sociale” e l’incremento del Fondo previdenziale integrativo pubblico, includendo la pensione di garanzia per i giovani. Per rafforzare le tutele dei lavoratori ed elaborare nuove strategie</w:t>
      </w:r>
      <w:r>
        <w:rPr>
          <w:spacing w:val="-5"/>
        </w:rPr>
        <w:t> </w:t>
      </w:r>
      <w:r>
        <w:rPr/>
        <w:t>occupazionali</w:t>
      </w:r>
      <w:r>
        <w:rPr>
          <w:spacing w:val="-5"/>
        </w:rPr>
        <w:t> </w:t>
      </w:r>
      <w:r>
        <w:rPr/>
        <w:t>sarà</w:t>
      </w:r>
      <w:r>
        <w:rPr>
          <w:spacing w:val="-4"/>
        </w:rPr>
        <w:t> </w:t>
      </w:r>
      <w:r>
        <w:rPr/>
        <w:t>istituito</w:t>
      </w:r>
      <w:r>
        <w:rPr>
          <w:spacing w:val="-4"/>
        </w:rPr>
        <w:t> </w:t>
      </w:r>
      <w:r>
        <w:rPr/>
        <w:t>presso</w:t>
      </w:r>
      <w:r>
        <w:rPr>
          <w:spacing w:val="-5"/>
        </w:rPr>
        <w:t> </w:t>
      </w:r>
      <w:r>
        <w:rPr/>
        <w:t>il</w:t>
      </w:r>
      <w:r>
        <w:rPr>
          <w:spacing w:val="-5"/>
        </w:rPr>
        <w:t> </w:t>
      </w:r>
      <w:r>
        <w:rPr/>
        <w:t>Ministero</w:t>
      </w:r>
      <w:r>
        <w:rPr>
          <w:spacing w:val="-4"/>
        </w:rPr>
        <w:t> </w:t>
      </w:r>
      <w:r>
        <w:rPr/>
        <w:t>del</w:t>
      </w:r>
      <w:r>
        <w:rPr>
          <w:spacing w:val="-6"/>
        </w:rPr>
        <w:t> </w:t>
      </w:r>
      <w:r>
        <w:rPr/>
        <w:t>Lavoro</w:t>
      </w:r>
      <w:r>
        <w:rPr>
          <w:spacing w:val="-4"/>
        </w:rPr>
        <w:t> </w:t>
      </w:r>
      <w:r>
        <w:rPr/>
        <w:t>e</w:t>
      </w:r>
      <w:r>
        <w:rPr>
          <w:spacing w:val="-5"/>
        </w:rPr>
        <w:t> </w:t>
      </w:r>
      <w:r>
        <w:rPr/>
        <w:t>delle</w:t>
      </w:r>
      <w:r>
        <w:rPr>
          <w:spacing w:val="-7"/>
        </w:rPr>
        <w:t> </w:t>
      </w:r>
      <w:r>
        <w:rPr/>
        <w:t>Politiche Sociali un Osservatorio Nazionale del</w:t>
      </w:r>
      <w:r>
        <w:rPr>
          <w:spacing w:val="-6"/>
        </w:rPr>
        <w:t> </w:t>
      </w:r>
      <w:r>
        <w:rPr/>
        <w:t>Lavoro.</w:t>
      </w:r>
    </w:p>
    <w:p>
      <w:pPr>
        <w:pStyle w:val="BodyText"/>
        <w:spacing w:line="247" w:lineRule="auto"/>
        <w:ind w:left="278" w:right="2260" w:firstLine="453"/>
        <w:jc w:val="both"/>
      </w:pPr>
      <w:r>
        <w:rPr/>
        <w:t>Una particolare attenzione sarà rivolta a tutelare e garantire i diritti di coloro che svolgono una attività lavorativa tramite piattaforma digitale. A questo proposito, a settembre è entrato in vigore un decreto-legge che introduce disposizioni urgenti per la tutela del lavoro e la risoluzione di crisi aziendali</w:t>
      </w:r>
      <w:r>
        <w:rPr>
          <w:vertAlign w:val="superscript"/>
        </w:rPr>
        <w:t>3</w:t>
      </w:r>
      <w:r>
        <w:rPr>
          <w:vertAlign w:val="baseline"/>
        </w:rPr>
        <w:t>. Il decreto mira, in particolare, ad assicurare una tutela economica e normativa di alcune categorie di lavoratori particolarmente deboli, come quelli iscritti alla gestione separata, quelli che operano tramite piattaforme digitali (</w:t>
      </w:r>
      <w:r>
        <w:rPr>
          <w:i/>
          <w:vertAlign w:val="baseline"/>
        </w:rPr>
        <w:t>rider</w:t>
      </w:r>
      <w:r>
        <w:rPr>
          <w:vertAlign w:val="baseline"/>
        </w:rPr>
        <w:t>), i lavoratori socialmente utili (LSU) e di pubblica utilità (LPU) e i lavoratori disabili.</w:t>
      </w:r>
    </w:p>
    <w:p>
      <w:pPr>
        <w:pStyle w:val="BodyText"/>
        <w:spacing w:line="247" w:lineRule="auto"/>
        <w:ind w:left="278" w:right="2261" w:firstLine="453"/>
        <w:jc w:val="both"/>
      </w:pPr>
      <w:r>
        <w:rPr/>
        <w:t>Si</w:t>
      </w:r>
      <w:r>
        <w:rPr>
          <w:spacing w:val="-16"/>
        </w:rPr>
        <w:t> </w:t>
      </w:r>
      <w:r>
        <w:rPr/>
        <w:t>prevede</w:t>
      </w:r>
      <w:r>
        <w:rPr>
          <w:spacing w:val="-15"/>
        </w:rPr>
        <w:t> </w:t>
      </w:r>
      <w:r>
        <w:rPr/>
        <w:t>inoltre</w:t>
      </w:r>
      <w:r>
        <w:rPr>
          <w:spacing w:val="-15"/>
        </w:rPr>
        <w:t> </w:t>
      </w:r>
      <w:r>
        <w:rPr/>
        <w:t>di</w:t>
      </w:r>
      <w:r>
        <w:rPr>
          <w:spacing w:val="-16"/>
        </w:rPr>
        <w:t> </w:t>
      </w:r>
      <w:r>
        <w:rPr/>
        <w:t>sostenere</w:t>
      </w:r>
      <w:r>
        <w:rPr>
          <w:spacing w:val="-15"/>
        </w:rPr>
        <w:t> </w:t>
      </w:r>
      <w:r>
        <w:rPr/>
        <w:t>l’intervento</w:t>
      </w:r>
      <w:r>
        <w:rPr>
          <w:spacing w:val="-15"/>
        </w:rPr>
        <w:t> </w:t>
      </w:r>
      <w:r>
        <w:rPr/>
        <w:t>di</w:t>
      </w:r>
      <w:r>
        <w:rPr>
          <w:spacing w:val="-16"/>
        </w:rPr>
        <w:t> </w:t>
      </w:r>
      <w:r>
        <w:rPr/>
        <w:t>regolazione</w:t>
      </w:r>
      <w:r>
        <w:rPr>
          <w:spacing w:val="-16"/>
        </w:rPr>
        <w:t> </w:t>
      </w:r>
      <w:r>
        <w:rPr/>
        <w:t>della</w:t>
      </w:r>
      <w:r>
        <w:rPr>
          <w:spacing w:val="-15"/>
        </w:rPr>
        <w:t> </w:t>
      </w:r>
      <w:r>
        <w:rPr/>
        <w:t>rappresentanza sindacale e datoriale realizzato mediante la disciplina di indici rigorosi di misurazione della rappresentatività delle organizzazioni dei lavoratori e delle imprese. Inoltre, nel rispetto dei princìpi europei e nazionali di tutela della concorrenza, il Governo individuerà l’equo compenso per i lavoratori non dipendenti, al fine di evitare forme di abuso e di sfruttamento, in particolare a danno</w:t>
      </w:r>
      <w:r>
        <w:rPr>
          <w:spacing w:val="-17"/>
        </w:rPr>
        <w:t> </w:t>
      </w:r>
      <w:r>
        <w:rPr/>
        <w:t>dei</w:t>
      </w:r>
      <w:r>
        <w:rPr>
          <w:spacing w:val="-17"/>
        </w:rPr>
        <w:t> </w:t>
      </w:r>
      <w:r>
        <w:rPr/>
        <w:t>giovani</w:t>
      </w:r>
      <w:r>
        <w:rPr>
          <w:spacing w:val="-17"/>
        </w:rPr>
        <w:t> </w:t>
      </w:r>
      <w:r>
        <w:rPr/>
        <w:t>professionisti,</w:t>
      </w:r>
      <w:r>
        <w:rPr>
          <w:spacing w:val="-16"/>
        </w:rPr>
        <w:t> </w:t>
      </w:r>
      <w:r>
        <w:rPr/>
        <w:t>e</w:t>
      </w:r>
      <w:r>
        <w:rPr>
          <w:spacing w:val="-16"/>
        </w:rPr>
        <w:t> </w:t>
      </w:r>
      <w:r>
        <w:rPr/>
        <w:t>interverrà</w:t>
      </w:r>
      <w:r>
        <w:rPr>
          <w:spacing w:val="-16"/>
        </w:rPr>
        <w:t> </w:t>
      </w:r>
      <w:r>
        <w:rPr/>
        <w:t>per</w:t>
      </w:r>
      <w:r>
        <w:rPr>
          <w:spacing w:val="-18"/>
        </w:rPr>
        <w:t> </w:t>
      </w:r>
      <w:r>
        <w:rPr/>
        <w:t>limitare</w:t>
      </w:r>
      <w:r>
        <w:rPr>
          <w:spacing w:val="-16"/>
        </w:rPr>
        <w:t> </w:t>
      </w:r>
      <w:r>
        <w:rPr/>
        <w:t>il</w:t>
      </w:r>
      <w:r>
        <w:rPr>
          <w:spacing w:val="-17"/>
        </w:rPr>
        <w:t> </w:t>
      </w:r>
      <w:r>
        <w:rPr/>
        <w:t>fenomeno</w:t>
      </w:r>
      <w:r>
        <w:rPr>
          <w:spacing w:val="-16"/>
        </w:rPr>
        <w:t> </w:t>
      </w:r>
      <w:r>
        <w:rPr/>
        <w:t>delle</w:t>
      </w:r>
      <w:r>
        <w:rPr>
          <w:spacing w:val="-16"/>
        </w:rPr>
        <w:t> </w:t>
      </w:r>
      <w:r>
        <w:rPr/>
        <w:t>cd</w:t>
      </w:r>
      <w:r>
        <w:rPr>
          <w:spacing w:val="-17"/>
        </w:rPr>
        <w:t> </w:t>
      </w:r>
      <w:r>
        <w:rPr/>
        <w:t>‘false partite IVA’. Verranno intensificati gli sforzi per contrastare il lavoro sommerso e, in particolare, le forme di caporalato anche valorizzando gli indirizzi che saranno elaborati a conclusione del relativo</w:t>
      </w:r>
      <w:r>
        <w:rPr>
          <w:spacing w:val="-5"/>
        </w:rPr>
        <w:t> </w:t>
      </w:r>
      <w:r>
        <w:rPr/>
        <w:t>tavolo.</w:t>
      </w:r>
    </w:p>
    <w:p>
      <w:pPr>
        <w:pStyle w:val="BodyText"/>
        <w:spacing w:line="247" w:lineRule="auto"/>
        <w:ind w:left="278" w:right="2261" w:firstLine="453"/>
        <w:jc w:val="both"/>
      </w:pPr>
      <w:r>
        <w:rPr/>
        <w:t>Nel corso del 2019, sono stati introdotti il Reddito di cittadinanza (RdC) e la Pensione</w:t>
      </w:r>
      <w:r>
        <w:rPr>
          <w:spacing w:val="-13"/>
        </w:rPr>
        <w:t> </w:t>
      </w:r>
      <w:r>
        <w:rPr/>
        <w:t>di</w:t>
      </w:r>
      <w:r>
        <w:rPr>
          <w:spacing w:val="-12"/>
        </w:rPr>
        <w:t> </w:t>
      </w:r>
      <w:r>
        <w:rPr/>
        <w:t>Cittadinanza</w:t>
      </w:r>
      <w:r>
        <w:rPr>
          <w:spacing w:val="-10"/>
        </w:rPr>
        <w:t> </w:t>
      </w:r>
      <w:r>
        <w:rPr/>
        <w:t>(PdC)</w:t>
      </w:r>
      <w:r>
        <w:rPr>
          <w:spacing w:val="-12"/>
        </w:rPr>
        <w:t> </w:t>
      </w:r>
      <w:r>
        <w:rPr/>
        <w:t>ed</w:t>
      </w:r>
      <w:r>
        <w:rPr>
          <w:spacing w:val="-12"/>
        </w:rPr>
        <w:t> </w:t>
      </w:r>
      <w:r>
        <w:rPr/>
        <w:t>è</w:t>
      </w:r>
      <w:r>
        <w:rPr>
          <w:spacing w:val="-14"/>
        </w:rPr>
        <w:t> </w:t>
      </w:r>
      <w:r>
        <w:rPr/>
        <w:t>stata</w:t>
      </w:r>
      <w:r>
        <w:rPr>
          <w:spacing w:val="-12"/>
        </w:rPr>
        <w:t> </w:t>
      </w:r>
      <w:r>
        <w:rPr/>
        <w:t>avviata</w:t>
      </w:r>
      <w:r>
        <w:rPr>
          <w:spacing w:val="-12"/>
        </w:rPr>
        <w:t> </w:t>
      </w:r>
      <w:r>
        <w:rPr/>
        <w:t>la</w:t>
      </w:r>
      <w:r>
        <w:rPr>
          <w:spacing w:val="-12"/>
        </w:rPr>
        <w:t> </w:t>
      </w:r>
      <w:r>
        <w:rPr/>
        <w:t>riforma</w:t>
      </w:r>
      <w:r>
        <w:rPr>
          <w:spacing w:val="-12"/>
        </w:rPr>
        <w:t> </w:t>
      </w:r>
      <w:r>
        <w:rPr/>
        <w:t>dei</w:t>
      </w:r>
      <w:r>
        <w:rPr>
          <w:spacing w:val="-14"/>
        </w:rPr>
        <w:t> </w:t>
      </w:r>
      <w:r>
        <w:rPr/>
        <w:t>Centri</w:t>
      </w:r>
      <w:r>
        <w:rPr>
          <w:spacing w:val="-11"/>
        </w:rPr>
        <w:t> </w:t>
      </w:r>
      <w:r>
        <w:rPr/>
        <w:t>per</w:t>
      </w:r>
      <w:r>
        <w:rPr>
          <w:spacing w:val="-15"/>
        </w:rPr>
        <w:t> </w:t>
      </w:r>
      <w:r>
        <w:rPr/>
        <w:t>l’Impiego (CpI),</w:t>
      </w:r>
      <w:r>
        <w:rPr>
          <w:spacing w:val="-15"/>
        </w:rPr>
        <w:t> </w:t>
      </w:r>
      <w:r>
        <w:rPr/>
        <w:t>fondamentali</w:t>
      </w:r>
      <w:r>
        <w:rPr>
          <w:spacing w:val="-16"/>
        </w:rPr>
        <w:t> </w:t>
      </w:r>
      <w:r>
        <w:rPr/>
        <w:t>per</w:t>
      </w:r>
      <w:r>
        <w:rPr>
          <w:spacing w:val="-15"/>
        </w:rPr>
        <w:t> </w:t>
      </w:r>
      <w:r>
        <w:rPr/>
        <w:t>l’efficienza</w:t>
      </w:r>
      <w:r>
        <w:rPr>
          <w:spacing w:val="-18"/>
        </w:rPr>
        <w:t> </w:t>
      </w:r>
      <w:r>
        <w:rPr/>
        <w:t>delle</w:t>
      </w:r>
      <w:r>
        <w:rPr>
          <w:spacing w:val="-14"/>
        </w:rPr>
        <w:t> </w:t>
      </w:r>
      <w:r>
        <w:rPr/>
        <w:t>politiche</w:t>
      </w:r>
      <w:r>
        <w:rPr>
          <w:spacing w:val="-17"/>
        </w:rPr>
        <w:t> </w:t>
      </w:r>
      <w:r>
        <w:rPr/>
        <w:t>attive</w:t>
      </w:r>
      <w:r>
        <w:rPr>
          <w:spacing w:val="-15"/>
        </w:rPr>
        <w:t> </w:t>
      </w:r>
      <w:r>
        <w:rPr/>
        <w:t>del</w:t>
      </w:r>
      <w:r>
        <w:rPr>
          <w:spacing w:val="-16"/>
        </w:rPr>
        <w:t> </w:t>
      </w:r>
      <w:r>
        <w:rPr/>
        <w:t>lavoro.</w:t>
      </w:r>
      <w:r>
        <w:rPr>
          <w:spacing w:val="-14"/>
        </w:rPr>
        <w:t> </w:t>
      </w:r>
      <w:r>
        <w:rPr/>
        <w:t>Nel</w:t>
      </w:r>
      <w:r>
        <w:rPr>
          <w:spacing w:val="-18"/>
        </w:rPr>
        <w:t> </w:t>
      </w:r>
      <w:r>
        <w:rPr/>
        <w:t>complesso, i dati disponibili ad agosto 2019 e riferiti al mese precedente, indicano che, in termini di nuclei familiari, i percettori ammontavano già a circa 922 mila (di cui oltre 112 mila destinatari di PdC) su un totale di 1,5 milioni di domande, che corrispondono a un numero complessivo di beneficiari che supera i 2</w:t>
      </w:r>
      <w:r>
        <w:rPr>
          <w:spacing w:val="-24"/>
        </w:rPr>
        <w:t> </w:t>
      </w:r>
      <w:r>
        <w:rPr/>
        <w:t>milioni.</w:t>
      </w:r>
    </w:p>
    <w:p>
      <w:pPr>
        <w:pStyle w:val="BodyText"/>
        <w:spacing w:line="247" w:lineRule="auto"/>
        <w:ind w:left="278" w:right="2261" w:firstLine="453"/>
        <w:jc w:val="both"/>
      </w:pPr>
      <w:r>
        <w:rPr/>
        <w:t>Con riferimento alle politiche attive del lavoro collegate al RdC, quasi tutte le Regioni hanno proceduto all’assunzione dei ‘</w:t>
      </w:r>
      <w:r>
        <w:rPr>
          <w:i/>
        </w:rPr>
        <w:t>navigator</w:t>
      </w:r>
      <w:r>
        <w:rPr/>
        <w:t>’ e per ogni Regione è stato predisposto un piano operativo molto dettagliato con tutti i compiti assegnati alle nuove figure di consulenza. Con l’obiettivo di rinforzare i CpI, i ‘</w:t>
      </w:r>
      <w:r>
        <w:rPr>
          <w:i/>
        </w:rPr>
        <w:t>navigator</w:t>
      </w:r>
      <w:r>
        <w:rPr/>
        <w:t>’</w:t>
      </w:r>
    </w:p>
    <w:p>
      <w:pPr>
        <w:pStyle w:val="BodyText"/>
        <w:rPr>
          <w:sz w:val="20"/>
        </w:rPr>
      </w:pPr>
    </w:p>
    <w:p>
      <w:pPr>
        <w:pStyle w:val="BodyText"/>
        <w:spacing w:before="7"/>
      </w:pPr>
      <w:r>
        <w:rPr/>
        <w:pict>
          <v:group style="position:absolute;margin-left:93.599998pt;margin-top:15.114346pt;width:21.4pt;height:2.15pt;mso-position-horizontal-relative:page;mso-position-vertical-relative:paragraph;z-index:-251451392;mso-wrap-distance-left:0;mso-wrap-distance-right:0" coordorigin="1872,302" coordsize="428,43">
            <v:line style="position:absolute" from="1872,323" to="2299,323" stroked="true" strokeweight="2.050pt" strokecolor="#aaaaaa">
              <v:stroke dashstyle="solid"/>
            </v:line>
            <v:rect style="position:absolute;left:1872;top:304;width:5;height:5" filled="true" fillcolor="#9f9f9f" stroked="false">
              <v:fill type="solid"/>
            </v:rect>
            <v:rect style="position:absolute;left:1872;top:304;width:5;height:5" filled="true" fillcolor="#9f9f9f" stroked="false">
              <v:fill type="solid"/>
            </v:rect>
            <v:line style="position:absolute" from="1877,306" to="2295,306" stroked="true" strokeweight=".23999pt" strokecolor="#9f9f9f">
              <v:stroke dashstyle="solid"/>
            </v:line>
            <v:rect style="position:absolute;left:2294;top:304;width:5;height:5" filled="true" fillcolor="#e2e2e2" stroked="false">
              <v:fill type="solid"/>
            </v:rect>
            <v:rect style="position:absolute;left:2294;top:304;width:5;height:5" filled="true" fillcolor="#9f9f9f" stroked="false">
              <v:fill type="solid"/>
            </v:rect>
            <v:rect style="position:absolute;left:1872;top:308;width:5;height:32" filled="true" fillcolor="#9f9f9f" stroked="false">
              <v:fill type="solid"/>
            </v:rect>
            <v:rect style="position:absolute;left:2294;top:308;width:5;height:32" filled="true" fillcolor="#e2e2e2" stroked="false">
              <v:fill type="solid"/>
            </v:rect>
            <v:rect style="position:absolute;left:1872;top:340;width:5;height:5" filled="true" fillcolor="#9f9f9f" stroked="false">
              <v:fill type="solid"/>
            </v:rect>
            <v:rect style="position:absolute;left:1872;top:340;width:5;height:5" filled="true" fillcolor="#e2e2e2" stroked="false">
              <v:fill type="solid"/>
            </v:rect>
            <v:line style="position:absolute" from="1877,342" to="2295,342" stroked="true" strokeweight=".23999pt" strokecolor="#e2e2e2">
              <v:stroke dashstyle="solid"/>
            </v:line>
            <v:rect style="position:absolute;left:2294;top:340;width:5;height:5" filled="true" fillcolor="#e2e2e2" stroked="false">
              <v:fill type="solid"/>
            </v:rect>
            <v:rect style="position:absolute;left:2294;top:340;width:5;height:5" filled="true" fillcolor="#e2e2e2" stroked="false">
              <v:fill type="solid"/>
            </v:rect>
            <w10:wrap type="topAndBottom"/>
          </v:group>
        </w:pict>
      </w:r>
    </w:p>
    <w:p>
      <w:pPr>
        <w:spacing w:before="20"/>
        <w:ind w:left="732" w:right="0" w:firstLine="0"/>
        <w:jc w:val="left"/>
        <w:rPr>
          <w:sz w:val="16"/>
        </w:rPr>
      </w:pPr>
      <w:r>
        <w:rPr>
          <w:position w:val="6"/>
          <w:sz w:val="10"/>
        </w:rPr>
        <w:t>3 </w:t>
      </w:r>
      <w:r>
        <w:rPr>
          <w:sz w:val="16"/>
        </w:rPr>
        <w:t>Decreto legge n. 101/2019.</w:t>
      </w:r>
    </w:p>
    <w:p>
      <w:pPr>
        <w:spacing w:after="0"/>
        <w:jc w:val="left"/>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47" w:lineRule="auto" w:before="101"/>
        <w:ind w:left="1128" w:right="1411"/>
        <w:jc w:val="both"/>
      </w:pPr>
      <w:r>
        <w:rPr/>
        <w:t>supporteranno la definizione e la realizzazione dei piani personalizzati, nonché il raccordo con le imprese, con le strutture di istruzione e formazione, con i Comuni e</w:t>
      </w:r>
      <w:r>
        <w:rPr>
          <w:spacing w:val="-4"/>
        </w:rPr>
        <w:t> </w:t>
      </w:r>
      <w:r>
        <w:rPr/>
        <w:t>con</w:t>
      </w:r>
      <w:r>
        <w:rPr>
          <w:spacing w:val="-4"/>
        </w:rPr>
        <w:t> </w:t>
      </w:r>
      <w:r>
        <w:rPr/>
        <w:t>tutti</w:t>
      </w:r>
      <w:r>
        <w:rPr>
          <w:spacing w:val="-4"/>
        </w:rPr>
        <w:t> </w:t>
      </w:r>
      <w:r>
        <w:rPr/>
        <w:t>i</w:t>
      </w:r>
      <w:r>
        <w:rPr>
          <w:spacing w:val="-4"/>
        </w:rPr>
        <w:t> </w:t>
      </w:r>
      <w:r>
        <w:rPr/>
        <w:t>servizi</w:t>
      </w:r>
      <w:r>
        <w:rPr>
          <w:spacing w:val="-3"/>
        </w:rPr>
        <w:t> </w:t>
      </w:r>
      <w:r>
        <w:rPr/>
        <w:t>erogati</w:t>
      </w:r>
      <w:r>
        <w:rPr>
          <w:spacing w:val="-4"/>
        </w:rPr>
        <w:t> </w:t>
      </w:r>
      <w:r>
        <w:rPr/>
        <w:t>dai</w:t>
      </w:r>
      <w:r>
        <w:rPr>
          <w:spacing w:val="-4"/>
        </w:rPr>
        <w:t> </w:t>
      </w:r>
      <w:r>
        <w:rPr/>
        <w:t>diversi</w:t>
      </w:r>
      <w:r>
        <w:rPr>
          <w:spacing w:val="-4"/>
        </w:rPr>
        <w:t> </w:t>
      </w:r>
      <w:r>
        <w:rPr/>
        <w:t>attori</w:t>
      </w:r>
      <w:r>
        <w:rPr>
          <w:spacing w:val="-4"/>
        </w:rPr>
        <w:t> </w:t>
      </w:r>
      <w:r>
        <w:rPr/>
        <w:t>del</w:t>
      </w:r>
      <w:r>
        <w:rPr>
          <w:spacing w:val="-1"/>
        </w:rPr>
        <w:t> </w:t>
      </w:r>
      <w:r>
        <w:rPr/>
        <w:t>mercato</w:t>
      </w:r>
      <w:r>
        <w:rPr>
          <w:spacing w:val="-4"/>
        </w:rPr>
        <w:t> </w:t>
      </w:r>
      <w:r>
        <w:rPr/>
        <w:t>del</w:t>
      </w:r>
      <w:r>
        <w:rPr>
          <w:spacing w:val="-3"/>
        </w:rPr>
        <w:t> </w:t>
      </w:r>
      <w:r>
        <w:rPr/>
        <w:t>lavoro</w:t>
      </w:r>
      <w:r>
        <w:rPr>
          <w:spacing w:val="-3"/>
        </w:rPr>
        <w:t> </w:t>
      </w:r>
      <w:r>
        <w:rPr/>
        <w:t>a</w:t>
      </w:r>
      <w:r>
        <w:rPr>
          <w:spacing w:val="-4"/>
        </w:rPr>
        <w:t> </w:t>
      </w:r>
      <w:r>
        <w:rPr/>
        <w:t>livello</w:t>
      </w:r>
      <w:r>
        <w:rPr>
          <w:spacing w:val="-4"/>
        </w:rPr>
        <w:t> </w:t>
      </w:r>
      <w:r>
        <w:rPr/>
        <w:t>locale, valorizzando le opportunità offerte nel</w:t>
      </w:r>
      <w:r>
        <w:rPr>
          <w:spacing w:val="-6"/>
        </w:rPr>
        <w:t> </w:t>
      </w:r>
      <w:r>
        <w:rPr/>
        <w:t>territorio.</w:t>
      </w:r>
    </w:p>
    <w:p>
      <w:pPr>
        <w:pStyle w:val="BodyText"/>
        <w:spacing w:line="247" w:lineRule="auto"/>
        <w:ind w:left="1128" w:right="1410" w:firstLine="453"/>
        <w:jc w:val="both"/>
      </w:pPr>
      <w:r>
        <w:rPr/>
        <w:t>Nel frattempo, l’ANPAL ha messo a disposizione degli operatori dei Centri per l’Impiego uno strumento digitale per la gestione delle attività connesse al RdC. Gli operatori possono visualizzare la lista dei beneficiari del RdC e monitorare quotidianamente l’avanzamento delle loro attività di ricerca del lavoro. La piattaforma digitale permetterà un accesso diretto e puntuale alle informazioni relative</w:t>
      </w:r>
      <w:r>
        <w:rPr>
          <w:spacing w:val="-16"/>
        </w:rPr>
        <w:t> </w:t>
      </w:r>
      <w:r>
        <w:rPr/>
        <w:t>ai</w:t>
      </w:r>
      <w:r>
        <w:rPr>
          <w:spacing w:val="-17"/>
        </w:rPr>
        <w:t> </w:t>
      </w:r>
      <w:r>
        <w:rPr/>
        <w:t>beneficiari</w:t>
      </w:r>
      <w:r>
        <w:rPr>
          <w:spacing w:val="-15"/>
        </w:rPr>
        <w:t> </w:t>
      </w:r>
      <w:r>
        <w:rPr/>
        <w:t>del</w:t>
      </w:r>
      <w:r>
        <w:rPr>
          <w:spacing w:val="-16"/>
        </w:rPr>
        <w:t> </w:t>
      </w:r>
      <w:r>
        <w:rPr/>
        <w:t>RdC</w:t>
      </w:r>
      <w:r>
        <w:rPr>
          <w:spacing w:val="-18"/>
        </w:rPr>
        <w:t> </w:t>
      </w:r>
      <w:r>
        <w:rPr/>
        <w:t>e</w:t>
      </w:r>
      <w:r>
        <w:rPr>
          <w:spacing w:val="-16"/>
        </w:rPr>
        <w:t> </w:t>
      </w:r>
      <w:r>
        <w:rPr/>
        <w:t>dei</w:t>
      </w:r>
      <w:r>
        <w:rPr>
          <w:spacing w:val="-16"/>
        </w:rPr>
        <w:t> </w:t>
      </w:r>
      <w:r>
        <w:rPr/>
        <w:t>nuclei</w:t>
      </w:r>
      <w:r>
        <w:rPr>
          <w:spacing w:val="-17"/>
        </w:rPr>
        <w:t> </w:t>
      </w:r>
      <w:r>
        <w:rPr/>
        <w:t>familiari,</w:t>
      </w:r>
      <w:r>
        <w:rPr>
          <w:spacing w:val="-14"/>
        </w:rPr>
        <w:t> </w:t>
      </w:r>
      <w:r>
        <w:rPr/>
        <w:t>in</w:t>
      </w:r>
      <w:r>
        <w:rPr>
          <w:spacing w:val="-17"/>
        </w:rPr>
        <w:t> </w:t>
      </w:r>
      <w:r>
        <w:rPr/>
        <w:t>forma</w:t>
      </w:r>
      <w:r>
        <w:rPr>
          <w:spacing w:val="-17"/>
        </w:rPr>
        <w:t> </w:t>
      </w:r>
      <w:r>
        <w:rPr/>
        <w:t>aggregata</w:t>
      </w:r>
      <w:r>
        <w:rPr>
          <w:spacing w:val="-17"/>
        </w:rPr>
        <w:t> </w:t>
      </w:r>
      <w:r>
        <w:rPr/>
        <w:t>e</w:t>
      </w:r>
      <w:r>
        <w:rPr>
          <w:spacing w:val="-18"/>
        </w:rPr>
        <w:t> </w:t>
      </w:r>
      <w:r>
        <w:rPr/>
        <w:t>per</w:t>
      </w:r>
      <w:r>
        <w:rPr>
          <w:spacing w:val="-15"/>
        </w:rPr>
        <w:t> </w:t>
      </w:r>
      <w:r>
        <w:rPr/>
        <w:t>singola persona. Nuovi servizi connessi al RdC verranno implementati sulla</w:t>
      </w:r>
      <w:r>
        <w:rPr>
          <w:spacing w:val="-24"/>
        </w:rPr>
        <w:t> </w:t>
      </w:r>
      <w:r>
        <w:rPr/>
        <w:t>Piattaforma.</w:t>
      </w:r>
    </w:p>
    <w:p>
      <w:pPr>
        <w:pStyle w:val="BodyText"/>
        <w:spacing w:line="247" w:lineRule="auto"/>
        <w:ind w:left="1128" w:right="1409" w:firstLine="453"/>
        <w:jc w:val="both"/>
      </w:pPr>
      <w:r>
        <w:rPr/>
        <w:t>I nuclei beneficiari del Reddito di Cittadinanza che non sono immediatamente attivabili</w:t>
      </w:r>
      <w:r>
        <w:rPr>
          <w:spacing w:val="-14"/>
        </w:rPr>
        <w:t> </w:t>
      </w:r>
      <w:r>
        <w:rPr/>
        <w:t>possono</w:t>
      </w:r>
      <w:r>
        <w:rPr>
          <w:spacing w:val="-14"/>
        </w:rPr>
        <w:t> </w:t>
      </w:r>
      <w:r>
        <w:rPr/>
        <w:t>iniziare</w:t>
      </w:r>
      <w:r>
        <w:rPr>
          <w:spacing w:val="-13"/>
        </w:rPr>
        <w:t> </w:t>
      </w:r>
      <w:r>
        <w:rPr/>
        <w:t>un</w:t>
      </w:r>
      <w:r>
        <w:rPr>
          <w:spacing w:val="-14"/>
        </w:rPr>
        <w:t> </w:t>
      </w:r>
      <w:r>
        <w:rPr/>
        <w:t>percorso</w:t>
      </w:r>
      <w:r>
        <w:rPr>
          <w:spacing w:val="-17"/>
        </w:rPr>
        <w:t> </w:t>
      </w:r>
      <w:r>
        <w:rPr/>
        <w:t>di</w:t>
      </w:r>
      <w:r>
        <w:rPr>
          <w:spacing w:val="-14"/>
        </w:rPr>
        <w:t> </w:t>
      </w:r>
      <w:r>
        <w:rPr/>
        <w:t>inclusione</w:t>
      </w:r>
      <w:r>
        <w:rPr>
          <w:spacing w:val="-14"/>
        </w:rPr>
        <w:t> </w:t>
      </w:r>
      <w:r>
        <w:rPr/>
        <w:t>sociale</w:t>
      </w:r>
      <w:r>
        <w:rPr>
          <w:spacing w:val="-14"/>
        </w:rPr>
        <w:t> </w:t>
      </w:r>
      <w:r>
        <w:rPr/>
        <w:t>mediante</w:t>
      </w:r>
      <w:r>
        <w:rPr>
          <w:spacing w:val="-14"/>
        </w:rPr>
        <w:t> </w:t>
      </w:r>
      <w:r>
        <w:rPr/>
        <w:t>la</w:t>
      </w:r>
      <w:r>
        <w:rPr>
          <w:spacing w:val="-17"/>
        </w:rPr>
        <w:t> </w:t>
      </w:r>
      <w:r>
        <w:rPr/>
        <w:t>condivisione di un Patto per l’Inclusione sociale. Ciò ha richiesto il potenziamento dei servizi sociali dedicati, attraverso l’attribuzione di risorse ai territori a valere sulla Quota servizi del Fondo per la lotta alla povertà e all’esclusione sociale e sul Programma Operativo Nazionale Inclusione (FSE 2014-2020). Per assicurare metodologie di intervento uniformi e appropriate su tutto il territorio nazionale e assicurare l’efficacia degli interventi contro la povertà e l’esclusione sociale, sono state redatte</w:t>
      </w:r>
      <w:r>
        <w:rPr>
          <w:spacing w:val="-5"/>
        </w:rPr>
        <w:t> </w:t>
      </w:r>
      <w:r>
        <w:rPr/>
        <w:t>le</w:t>
      </w:r>
      <w:r>
        <w:rPr>
          <w:spacing w:val="-5"/>
        </w:rPr>
        <w:t> </w:t>
      </w:r>
      <w:r>
        <w:rPr/>
        <w:t>Linee</w:t>
      </w:r>
      <w:r>
        <w:rPr>
          <w:spacing w:val="-6"/>
        </w:rPr>
        <w:t> </w:t>
      </w:r>
      <w:r>
        <w:rPr/>
        <w:t>guida</w:t>
      </w:r>
      <w:r>
        <w:rPr>
          <w:spacing w:val="-5"/>
        </w:rPr>
        <w:t> </w:t>
      </w:r>
      <w:r>
        <w:rPr/>
        <w:t>per</w:t>
      </w:r>
      <w:r>
        <w:rPr>
          <w:spacing w:val="-4"/>
        </w:rPr>
        <w:t> </w:t>
      </w:r>
      <w:r>
        <w:rPr/>
        <w:t>la</w:t>
      </w:r>
      <w:r>
        <w:rPr>
          <w:spacing w:val="-5"/>
        </w:rPr>
        <w:t> </w:t>
      </w:r>
      <w:r>
        <w:rPr/>
        <w:t>definizione</w:t>
      </w:r>
      <w:r>
        <w:rPr>
          <w:spacing w:val="-5"/>
        </w:rPr>
        <w:t> </w:t>
      </w:r>
      <w:r>
        <w:rPr/>
        <w:t>dei</w:t>
      </w:r>
      <w:r>
        <w:rPr>
          <w:spacing w:val="-6"/>
        </w:rPr>
        <w:t> </w:t>
      </w:r>
      <w:r>
        <w:rPr/>
        <w:t>Patti</w:t>
      </w:r>
      <w:r>
        <w:rPr>
          <w:spacing w:val="-5"/>
        </w:rPr>
        <w:t> </w:t>
      </w:r>
      <w:r>
        <w:rPr/>
        <w:t>per</w:t>
      </w:r>
      <w:r>
        <w:rPr>
          <w:spacing w:val="-4"/>
        </w:rPr>
        <w:t> </w:t>
      </w:r>
      <w:r>
        <w:rPr/>
        <w:t>l’inclusione</w:t>
      </w:r>
      <w:r>
        <w:rPr>
          <w:spacing w:val="-5"/>
        </w:rPr>
        <w:t> </w:t>
      </w:r>
      <w:r>
        <w:rPr/>
        <w:t>sociale,</w:t>
      </w:r>
      <w:r>
        <w:rPr>
          <w:spacing w:val="-3"/>
        </w:rPr>
        <w:t> </w:t>
      </w:r>
      <w:r>
        <w:rPr/>
        <w:t>adottate con decreto del Ministro del lavoro e delle politiche sociali del 23 luglio</w:t>
      </w:r>
      <w:r>
        <w:rPr>
          <w:spacing w:val="-24"/>
        </w:rPr>
        <w:t> </w:t>
      </w:r>
      <w:r>
        <w:rPr/>
        <w:t>2019.</w:t>
      </w:r>
    </w:p>
    <w:p>
      <w:pPr>
        <w:pStyle w:val="BodyText"/>
        <w:spacing w:before="1"/>
        <w:rPr>
          <w:sz w:val="33"/>
        </w:rPr>
      </w:pPr>
    </w:p>
    <w:p>
      <w:pPr>
        <w:pStyle w:val="Heading3"/>
        <w:ind w:left="1128"/>
        <w:jc w:val="both"/>
      </w:pPr>
      <w:r>
        <w:rPr>
          <w:color w:val="585858"/>
        </w:rPr>
        <w:t>Misure a sostegno delle famiglie e pari opportunità- CSR n. 2</w:t>
      </w:r>
    </w:p>
    <w:p>
      <w:pPr>
        <w:spacing w:line="232" w:lineRule="auto" w:before="161"/>
        <w:ind w:left="1128" w:right="1416" w:firstLine="0"/>
        <w:jc w:val="both"/>
        <w:rPr>
          <w:rFonts w:ascii="Franklin Gothic Book" w:hAnsi="Franklin Gothic Book"/>
          <w:sz w:val="20"/>
        </w:rPr>
      </w:pPr>
      <w:r>
        <w:rPr/>
        <w:pict>
          <v:line style="position:absolute;mso-position-horizontal-relative:page;mso-position-vertical-relative:paragraph;z-index:-251450368;mso-wrap-distance-left:0;mso-wrap-distance-right:0" from="111.980003pt,68.800079pt" to="525.930003pt,68.800079pt" stroked="true" strokeweight="1.44pt" strokecolor="#006247">
            <v:stroke dashstyle="solid"/>
            <w10:wrap type="topAndBottom"/>
          </v:line>
        </w:pict>
      </w:r>
      <w:r>
        <w:rPr>
          <w:rFonts w:ascii="Franklin Gothic Heavy" w:hAnsi="Franklin Gothic Heavy"/>
          <w:b/>
          <w:color w:val="006247"/>
          <w:sz w:val="20"/>
        </w:rPr>
        <w:t>LINEE PROGRAMMATICHE </w:t>
      </w:r>
      <w:r>
        <w:rPr>
          <w:rFonts w:ascii="Franklin Gothic Book" w:hAnsi="Franklin Gothic Book"/>
          <w:sz w:val="20"/>
        </w:rPr>
        <w:t>Il Governo intende rafforzare le misure a favore delle famiglie, sotto il profilo del sostegno alla genitorialità e alla natalità, nonché le tutele in ambito lavorativo. Sono previste misure finalizzate a favorire la partecipazione femminile al mercato del lavoro, anche attraverso mirate politiche di assunzione e di contrasto alle diseguaglianze di genere nel mondo del</w:t>
      </w:r>
      <w:r>
        <w:rPr>
          <w:rFonts w:ascii="Franklin Gothic Book" w:hAnsi="Franklin Gothic Book"/>
          <w:spacing w:val="-2"/>
          <w:sz w:val="20"/>
        </w:rPr>
        <w:t> </w:t>
      </w:r>
      <w:r>
        <w:rPr>
          <w:rFonts w:ascii="Franklin Gothic Book" w:hAnsi="Franklin Gothic Book"/>
          <w:sz w:val="20"/>
        </w:rPr>
        <w:t>lavoro.</w:t>
      </w:r>
    </w:p>
    <w:p>
      <w:pPr>
        <w:pStyle w:val="BodyText"/>
        <w:spacing w:before="6"/>
        <w:rPr>
          <w:rFonts w:ascii="Franklin Gothic Book"/>
          <w:sz w:val="11"/>
        </w:rPr>
      </w:pPr>
    </w:p>
    <w:p>
      <w:pPr>
        <w:pStyle w:val="BodyText"/>
        <w:spacing w:line="247" w:lineRule="auto" w:before="101"/>
        <w:ind w:left="1128" w:right="1413" w:firstLine="453"/>
        <w:jc w:val="both"/>
      </w:pPr>
      <w:r>
        <w:rPr/>
        <w:t>Le politiche di rilancio dell’economia che il Governo intende adottare comprendono un progetto complessivo e sistematico di sostegno e valorizzazione della famiglia. Nell’ambito delle politiche per le pari opportunità, si introdurranno ulteriori</w:t>
      </w:r>
      <w:r>
        <w:rPr>
          <w:spacing w:val="-15"/>
        </w:rPr>
        <w:t> </w:t>
      </w:r>
      <w:r>
        <w:rPr/>
        <w:t>strumenti</w:t>
      </w:r>
      <w:r>
        <w:rPr>
          <w:spacing w:val="-15"/>
        </w:rPr>
        <w:t> </w:t>
      </w:r>
      <w:r>
        <w:rPr/>
        <w:t>di</w:t>
      </w:r>
      <w:r>
        <w:rPr>
          <w:spacing w:val="-13"/>
        </w:rPr>
        <w:t> </w:t>
      </w:r>
      <w:r>
        <w:rPr/>
        <w:t>sostegno</w:t>
      </w:r>
      <w:r>
        <w:rPr>
          <w:spacing w:val="-15"/>
        </w:rPr>
        <w:t> </w:t>
      </w:r>
      <w:r>
        <w:rPr/>
        <w:t>della</w:t>
      </w:r>
      <w:r>
        <w:rPr>
          <w:spacing w:val="-15"/>
        </w:rPr>
        <w:t> </w:t>
      </w:r>
      <w:r>
        <w:rPr/>
        <w:t>genitorialità</w:t>
      </w:r>
      <w:r>
        <w:rPr>
          <w:spacing w:val="-13"/>
        </w:rPr>
        <w:t> </w:t>
      </w:r>
      <w:r>
        <w:rPr/>
        <w:t>e</w:t>
      </w:r>
      <w:r>
        <w:rPr>
          <w:spacing w:val="-14"/>
        </w:rPr>
        <w:t> </w:t>
      </w:r>
      <w:r>
        <w:rPr/>
        <w:t>della</w:t>
      </w:r>
      <w:r>
        <w:rPr>
          <w:spacing w:val="-15"/>
        </w:rPr>
        <w:t> </w:t>
      </w:r>
      <w:r>
        <w:rPr/>
        <w:t>partecipazione</w:t>
      </w:r>
      <w:r>
        <w:rPr>
          <w:spacing w:val="-16"/>
        </w:rPr>
        <w:t> </w:t>
      </w:r>
      <w:r>
        <w:rPr/>
        <w:t>delle</w:t>
      </w:r>
      <w:r>
        <w:rPr>
          <w:spacing w:val="-14"/>
        </w:rPr>
        <w:t> </w:t>
      </w:r>
      <w:r>
        <w:rPr/>
        <w:t>donne al mercato del lavoro, anche facilitando l’accesso ai servizi di assistenza all’infanzia,</w:t>
      </w:r>
      <w:r>
        <w:rPr>
          <w:spacing w:val="-5"/>
        </w:rPr>
        <w:t> </w:t>
      </w:r>
      <w:r>
        <w:rPr/>
        <w:t>indirizzati</w:t>
      </w:r>
      <w:r>
        <w:rPr>
          <w:spacing w:val="-6"/>
        </w:rPr>
        <w:t> </w:t>
      </w:r>
      <w:r>
        <w:rPr/>
        <w:t>a</w:t>
      </w:r>
      <w:r>
        <w:rPr>
          <w:spacing w:val="-8"/>
        </w:rPr>
        <w:t> </w:t>
      </w:r>
      <w:r>
        <w:rPr/>
        <w:t>sanare</w:t>
      </w:r>
      <w:r>
        <w:rPr>
          <w:spacing w:val="-7"/>
        </w:rPr>
        <w:t> </w:t>
      </w:r>
      <w:r>
        <w:rPr/>
        <w:t>le</w:t>
      </w:r>
      <w:r>
        <w:rPr>
          <w:spacing w:val="-6"/>
        </w:rPr>
        <w:t> </w:t>
      </w:r>
      <w:r>
        <w:rPr/>
        <w:t>disuguaglianze</w:t>
      </w:r>
      <w:r>
        <w:rPr>
          <w:spacing w:val="-5"/>
        </w:rPr>
        <w:t> </w:t>
      </w:r>
      <w:r>
        <w:rPr/>
        <w:t>di</w:t>
      </w:r>
      <w:r>
        <w:rPr>
          <w:spacing w:val="-7"/>
        </w:rPr>
        <w:t> </w:t>
      </w:r>
      <w:r>
        <w:rPr/>
        <w:t>genere.</w:t>
      </w:r>
      <w:r>
        <w:rPr>
          <w:spacing w:val="-7"/>
        </w:rPr>
        <w:t> </w:t>
      </w:r>
      <w:r>
        <w:rPr/>
        <w:t>Si</w:t>
      </w:r>
      <w:r>
        <w:rPr>
          <w:spacing w:val="-8"/>
        </w:rPr>
        <w:t> </w:t>
      </w:r>
      <w:r>
        <w:rPr/>
        <w:t>recepirà</w:t>
      </w:r>
      <w:r>
        <w:rPr>
          <w:spacing w:val="-6"/>
        </w:rPr>
        <w:t> </w:t>
      </w:r>
      <w:r>
        <w:rPr/>
        <w:t>la</w:t>
      </w:r>
      <w:r>
        <w:rPr>
          <w:spacing w:val="-6"/>
        </w:rPr>
        <w:t> </w:t>
      </w:r>
      <w:r>
        <w:rPr/>
        <w:t>direttiva europea sui congedi di paternità e sulla conciliazione tra lavoro e vita privata, si rivedrà la disciplina dei congedi parentali e dello </w:t>
      </w:r>
      <w:r>
        <w:rPr>
          <w:i/>
        </w:rPr>
        <w:t>smart working </w:t>
      </w:r>
      <w:r>
        <w:rPr/>
        <w:t>e si adotteranno misure di sostegno all’educazione dei figli e alla frequenza degli asili nido. Inoltre, per favorire l’inversione del </w:t>
      </w:r>
      <w:r>
        <w:rPr>
          <w:i/>
        </w:rPr>
        <w:t>trend </w:t>
      </w:r>
      <w:r>
        <w:rPr/>
        <w:t>demografico negativo, saranno adottate misure a sostegno della</w:t>
      </w:r>
      <w:r>
        <w:rPr>
          <w:spacing w:val="-4"/>
        </w:rPr>
        <w:t> </w:t>
      </w:r>
      <w:r>
        <w:rPr/>
        <w:t>natalità.</w:t>
      </w:r>
    </w:p>
    <w:p>
      <w:pPr>
        <w:pStyle w:val="BodyText"/>
        <w:spacing w:line="247" w:lineRule="auto"/>
        <w:ind w:left="1128" w:right="1411" w:firstLine="453"/>
        <w:jc w:val="both"/>
      </w:pPr>
      <w:r>
        <w:rPr/>
        <w:t>Nell’ambito</w:t>
      </w:r>
      <w:r>
        <w:rPr>
          <w:spacing w:val="-8"/>
        </w:rPr>
        <w:t> </w:t>
      </w:r>
      <w:r>
        <w:rPr/>
        <w:t>delle</w:t>
      </w:r>
      <w:r>
        <w:rPr>
          <w:spacing w:val="-8"/>
        </w:rPr>
        <w:t> </w:t>
      </w:r>
      <w:r>
        <w:rPr/>
        <w:t>azioni</w:t>
      </w:r>
      <w:r>
        <w:rPr>
          <w:spacing w:val="-8"/>
        </w:rPr>
        <w:t> </w:t>
      </w:r>
      <w:r>
        <w:rPr/>
        <w:t>di</w:t>
      </w:r>
      <w:r>
        <w:rPr>
          <w:spacing w:val="-8"/>
        </w:rPr>
        <w:t> </w:t>
      </w:r>
      <w:r>
        <w:rPr/>
        <w:t>sostegno</w:t>
      </w:r>
      <w:r>
        <w:rPr>
          <w:spacing w:val="-9"/>
        </w:rPr>
        <w:t> </w:t>
      </w:r>
      <w:r>
        <w:rPr/>
        <w:t>alle</w:t>
      </w:r>
      <w:r>
        <w:rPr>
          <w:spacing w:val="-8"/>
        </w:rPr>
        <w:t> </w:t>
      </w:r>
      <w:r>
        <w:rPr/>
        <w:t>famiglie</w:t>
      </w:r>
      <w:r>
        <w:rPr>
          <w:spacing w:val="-5"/>
        </w:rPr>
        <w:t> </w:t>
      </w:r>
      <w:r>
        <w:rPr/>
        <w:t>saranno</w:t>
      </w:r>
      <w:r>
        <w:rPr>
          <w:spacing w:val="-8"/>
        </w:rPr>
        <w:t> </w:t>
      </w:r>
      <w:r>
        <w:rPr/>
        <w:t>introdotte</w:t>
      </w:r>
      <w:r>
        <w:rPr>
          <w:spacing w:val="-8"/>
        </w:rPr>
        <w:t> </w:t>
      </w:r>
      <w:r>
        <w:rPr/>
        <w:t>specifiche misure di tutela per i </w:t>
      </w:r>
      <w:r>
        <w:rPr>
          <w:i/>
        </w:rPr>
        <w:t>caregiver </w:t>
      </w:r>
      <w:r>
        <w:rPr/>
        <w:t>familiari, che troveranno un’apposita definizione normativa, finalizzate alla tutela della qualità della vita dei più deboli. Infine, specifici</w:t>
      </w:r>
      <w:r>
        <w:rPr>
          <w:spacing w:val="-13"/>
        </w:rPr>
        <w:t> </w:t>
      </w:r>
      <w:r>
        <w:rPr/>
        <w:t>interventi</w:t>
      </w:r>
      <w:r>
        <w:rPr>
          <w:spacing w:val="-13"/>
        </w:rPr>
        <w:t> </w:t>
      </w:r>
      <w:r>
        <w:rPr/>
        <w:t>fiscali</w:t>
      </w:r>
      <w:r>
        <w:rPr>
          <w:spacing w:val="-13"/>
        </w:rPr>
        <w:t> </w:t>
      </w:r>
      <w:r>
        <w:rPr/>
        <w:t>saranno</w:t>
      </w:r>
      <w:r>
        <w:rPr>
          <w:spacing w:val="-13"/>
        </w:rPr>
        <w:t> </w:t>
      </w:r>
      <w:r>
        <w:rPr/>
        <w:t>previsti</w:t>
      </w:r>
      <w:r>
        <w:rPr>
          <w:spacing w:val="-13"/>
        </w:rPr>
        <w:t> </w:t>
      </w:r>
      <w:r>
        <w:rPr/>
        <w:t>a</w:t>
      </w:r>
      <w:r>
        <w:rPr>
          <w:spacing w:val="-13"/>
        </w:rPr>
        <w:t> </w:t>
      </w:r>
      <w:r>
        <w:rPr/>
        <w:t>favore</w:t>
      </w:r>
      <w:r>
        <w:rPr>
          <w:spacing w:val="-12"/>
        </w:rPr>
        <w:t> </w:t>
      </w:r>
      <w:r>
        <w:rPr/>
        <w:t>delle</w:t>
      </w:r>
      <w:r>
        <w:rPr>
          <w:spacing w:val="-12"/>
        </w:rPr>
        <w:t> </w:t>
      </w:r>
      <w:r>
        <w:rPr/>
        <w:t>famiglie,</w:t>
      </w:r>
      <w:r>
        <w:rPr>
          <w:spacing w:val="-12"/>
        </w:rPr>
        <w:t> </w:t>
      </w:r>
      <w:r>
        <w:rPr/>
        <w:t>in</w:t>
      </w:r>
      <w:r>
        <w:rPr>
          <w:spacing w:val="-13"/>
        </w:rPr>
        <w:t> </w:t>
      </w:r>
      <w:r>
        <w:rPr/>
        <w:t>particolare</w:t>
      </w:r>
      <w:r>
        <w:rPr>
          <w:spacing w:val="-12"/>
        </w:rPr>
        <w:t> </w:t>
      </w:r>
      <w:r>
        <w:rPr/>
        <w:t>per quelle prive di adeguate risorse economiche (ad esempio attraverso l’istituzione di un</w:t>
      </w:r>
      <w:r>
        <w:rPr>
          <w:spacing w:val="-9"/>
        </w:rPr>
        <w:t> </w:t>
      </w:r>
      <w:r>
        <w:rPr/>
        <w:t>assegno</w:t>
      </w:r>
      <w:r>
        <w:rPr>
          <w:spacing w:val="-9"/>
        </w:rPr>
        <w:t> </w:t>
      </w:r>
      <w:r>
        <w:rPr/>
        <w:t>unico</w:t>
      </w:r>
      <w:r>
        <w:rPr>
          <w:spacing w:val="-9"/>
        </w:rPr>
        <w:t> </w:t>
      </w:r>
      <w:r>
        <w:rPr/>
        <w:t>mensile</w:t>
      </w:r>
      <w:r>
        <w:rPr>
          <w:spacing w:val="-8"/>
        </w:rPr>
        <w:t> </w:t>
      </w:r>
      <w:r>
        <w:rPr/>
        <w:t>destinato</w:t>
      </w:r>
      <w:r>
        <w:rPr>
          <w:spacing w:val="-8"/>
        </w:rPr>
        <w:t> </w:t>
      </w:r>
      <w:r>
        <w:rPr/>
        <w:t>alla</w:t>
      </w:r>
      <w:r>
        <w:rPr>
          <w:spacing w:val="-9"/>
        </w:rPr>
        <w:t> </w:t>
      </w:r>
      <w:r>
        <w:rPr/>
        <w:t>crescita,</w:t>
      </w:r>
      <w:r>
        <w:rPr>
          <w:spacing w:val="-9"/>
        </w:rPr>
        <w:t> </w:t>
      </w:r>
      <w:r>
        <w:rPr/>
        <w:t>al</w:t>
      </w:r>
      <w:r>
        <w:rPr>
          <w:spacing w:val="-8"/>
        </w:rPr>
        <w:t> </w:t>
      </w:r>
      <w:r>
        <w:rPr/>
        <w:t>mantenimento</w:t>
      </w:r>
      <w:r>
        <w:rPr>
          <w:spacing w:val="-9"/>
        </w:rPr>
        <w:t> </w:t>
      </w:r>
      <w:r>
        <w:rPr/>
        <w:t>e</w:t>
      </w:r>
      <w:r>
        <w:rPr>
          <w:spacing w:val="-8"/>
        </w:rPr>
        <w:t> </w:t>
      </w:r>
      <w:r>
        <w:rPr/>
        <w:t>all’educazione della prole, anche nell’ottica di pervenire a un sistema organico più semplice e coordinato) e quelle con persone</w:t>
      </w:r>
      <w:r>
        <w:rPr>
          <w:spacing w:val="-5"/>
        </w:rPr>
        <w:t> </w:t>
      </w:r>
      <w:r>
        <w:rPr/>
        <w:t>disabili.</w:t>
      </w:r>
    </w:p>
    <w:p>
      <w:pPr>
        <w:spacing w:after="0" w:line="247" w:lineRule="auto"/>
        <w:jc w:val="both"/>
        <w:sectPr>
          <w:pgSz w:w="11910" w:h="16840"/>
          <w:pgMar w:header="838" w:footer="866" w:top="1100" w:bottom="1060" w:left="1140" w:right="0"/>
        </w:sectPr>
      </w:pPr>
    </w:p>
    <w:p>
      <w:pPr>
        <w:pStyle w:val="BodyText"/>
        <w:rPr>
          <w:sz w:val="20"/>
        </w:rPr>
      </w:pPr>
    </w:p>
    <w:p>
      <w:pPr>
        <w:pStyle w:val="BodyText"/>
        <w:rPr>
          <w:sz w:val="20"/>
        </w:rPr>
      </w:pPr>
    </w:p>
    <w:p>
      <w:pPr>
        <w:pStyle w:val="BodyText"/>
        <w:spacing w:before="4"/>
        <w:rPr>
          <w:sz w:val="24"/>
        </w:rPr>
      </w:pPr>
    </w:p>
    <w:p>
      <w:pPr>
        <w:pStyle w:val="Heading3"/>
        <w:spacing w:before="99"/>
        <w:jc w:val="both"/>
      </w:pPr>
      <w:r>
        <w:rPr>
          <w:color w:val="585858"/>
        </w:rPr>
        <w:t>Istruzione e competenze - CSR n. 2</w:t>
      </w:r>
    </w:p>
    <w:p>
      <w:pPr>
        <w:spacing w:line="232" w:lineRule="auto" w:before="162"/>
        <w:ind w:left="278" w:right="2266" w:firstLine="0"/>
        <w:jc w:val="both"/>
        <w:rPr>
          <w:rFonts w:ascii="Franklin Gothic Book" w:hAnsi="Franklin Gothic Book"/>
          <w:sz w:val="20"/>
        </w:rPr>
      </w:pPr>
      <w:r>
        <w:rPr/>
        <w:pict>
          <v:line style="position:absolute;mso-position-horizontal-relative:page;mso-position-vertical-relative:paragraph;z-index:-251449344;mso-wrap-distance-left:0;mso-wrap-distance-right:0" from="69.503998pt,79.870087pt" to="483.453998pt,79.870087pt" stroked="true" strokeweight="1.44pt" strokecolor="#006247">
            <v:stroke dashstyle="solid"/>
            <w10:wrap type="topAndBottom"/>
          </v:line>
        </w:pict>
      </w:r>
      <w:r>
        <w:rPr>
          <w:rFonts w:ascii="Franklin Gothic Heavy" w:hAnsi="Franklin Gothic Heavy"/>
          <w:b/>
          <w:color w:val="006247"/>
          <w:sz w:val="20"/>
        </w:rPr>
        <w:t>LINEE PROGRAMMATICHE: </w:t>
      </w:r>
      <w:r>
        <w:rPr>
          <w:rFonts w:ascii="Franklin Gothic Book" w:hAnsi="Franklin Gothic Book"/>
          <w:sz w:val="20"/>
        </w:rPr>
        <w:t>Per stimolare una crescita duratura è fondamentale investire sulle nuove generazioni, garantendo a tutti la possibilità di svolgere un percorso di crescita professionale, sociale e culturale e creare le condizioni per il rientro di quanti hanno lasciato il Paese.</w:t>
      </w:r>
      <w:r>
        <w:rPr>
          <w:rFonts w:ascii="Franklin Gothic Book" w:hAnsi="Franklin Gothic Book"/>
          <w:spacing w:val="-3"/>
          <w:sz w:val="20"/>
        </w:rPr>
        <w:t> </w:t>
      </w:r>
      <w:r>
        <w:rPr>
          <w:rFonts w:ascii="Franklin Gothic Book" w:hAnsi="Franklin Gothic Book"/>
          <w:sz w:val="20"/>
        </w:rPr>
        <w:t>Le</w:t>
      </w:r>
      <w:r>
        <w:rPr>
          <w:rFonts w:ascii="Franklin Gothic Book" w:hAnsi="Franklin Gothic Book"/>
          <w:spacing w:val="-3"/>
          <w:sz w:val="20"/>
        </w:rPr>
        <w:t> </w:t>
      </w:r>
      <w:r>
        <w:rPr>
          <w:rFonts w:ascii="Franklin Gothic Book" w:hAnsi="Franklin Gothic Book"/>
          <w:sz w:val="20"/>
        </w:rPr>
        <w:t>dotazioni</w:t>
      </w:r>
      <w:r>
        <w:rPr>
          <w:rFonts w:ascii="Franklin Gothic Book" w:hAnsi="Franklin Gothic Book"/>
          <w:spacing w:val="-4"/>
          <w:sz w:val="20"/>
        </w:rPr>
        <w:t> </w:t>
      </w:r>
      <w:r>
        <w:rPr>
          <w:rFonts w:ascii="Franklin Gothic Book" w:hAnsi="Franklin Gothic Book"/>
          <w:sz w:val="20"/>
        </w:rPr>
        <w:t>a</w:t>
      </w:r>
      <w:r>
        <w:rPr>
          <w:rFonts w:ascii="Franklin Gothic Book" w:hAnsi="Franklin Gothic Book"/>
          <w:spacing w:val="-3"/>
          <w:sz w:val="20"/>
        </w:rPr>
        <w:t> </w:t>
      </w:r>
      <w:r>
        <w:rPr>
          <w:rFonts w:ascii="Franklin Gothic Book" w:hAnsi="Franklin Gothic Book"/>
          <w:sz w:val="20"/>
        </w:rPr>
        <w:t>favore</w:t>
      </w:r>
      <w:r>
        <w:rPr>
          <w:rFonts w:ascii="Franklin Gothic Book" w:hAnsi="Franklin Gothic Book"/>
          <w:spacing w:val="-2"/>
          <w:sz w:val="20"/>
        </w:rPr>
        <w:t> </w:t>
      </w:r>
      <w:r>
        <w:rPr>
          <w:rFonts w:ascii="Franklin Gothic Book" w:hAnsi="Franklin Gothic Book"/>
          <w:sz w:val="20"/>
        </w:rPr>
        <w:t>della</w:t>
      </w:r>
      <w:r>
        <w:rPr>
          <w:rFonts w:ascii="Franklin Gothic Book" w:hAnsi="Franklin Gothic Book"/>
          <w:spacing w:val="-3"/>
          <w:sz w:val="20"/>
        </w:rPr>
        <w:t> </w:t>
      </w:r>
      <w:r>
        <w:rPr>
          <w:rFonts w:ascii="Franklin Gothic Book" w:hAnsi="Franklin Gothic Book"/>
          <w:sz w:val="20"/>
        </w:rPr>
        <w:t>scuola</w:t>
      </w:r>
      <w:r>
        <w:rPr>
          <w:rFonts w:ascii="Franklin Gothic Book" w:hAnsi="Franklin Gothic Book"/>
          <w:spacing w:val="-3"/>
          <w:sz w:val="20"/>
        </w:rPr>
        <w:t> </w:t>
      </w:r>
      <w:r>
        <w:rPr>
          <w:rFonts w:ascii="Franklin Gothic Book" w:hAnsi="Franklin Gothic Book"/>
          <w:sz w:val="20"/>
        </w:rPr>
        <w:t>pubblica</w:t>
      </w:r>
      <w:r>
        <w:rPr>
          <w:rFonts w:ascii="Franklin Gothic Book" w:hAnsi="Franklin Gothic Book"/>
          <w:spacing w:val="-3"/>
          <w:sz w:val="20"/>
        </w:rPr>
        <w:t> </w:t>
      </w:r>
      <w:r>
        <w:rPr>
          <w:rFonts w:ascii="Franklin Gothic Book" w:hAnsi="Franklin Gothic Book"/>
          <w:sz w:val="20"/>
        </w:rPr>
        <w:t>verranno</w:t>
      </w:r>
      <w:r>
        <w:rPr>
          <w:rFonts w:ascii="Franklin Gothic Book" w:hAnsi="Franklin Gothic Book"/>
          <w:spacing w:val="-4"/>
          <w:sz w:val="20"/>
        </w:rPr>
        <w:t> </w:t>
      </w:r>
      <w:r>
        <w:rPr>
          <w:rFonts w:ascii="Franklin Gothic Book" w:hAnsi="Franklin Gothic Book"/>
          <w:sz w:val="20"/>
        </w:rPr>
        <w:t>migliorate,</w:t>
      </w:r>
      <w:r>
        <w:rPr>
          <w:rFonts w:ascii="Franklin Gothic Book" w:hAnsi="Franklin Gothic Book"/>
          <w:spacing w:val="-2"/>
          <w:sz w:val="20"/>
        </w:rPr>
        <w:t> </w:t>
      </w:r>
      <w:r>
        <w:rPr>
          <w:rFonts w:ascii="Franklin Gothic Book" w:hAnsi="Franklin Gothic Book"/>
          <w:sz w:val="20"/>
        </w:rPr>
        <w:t>anche</w:t>
      </w:r>
      <w:r>
        <w:rPr>
          <w:rFonts w:ascii="Franklin Gothic Book" w:hAnsi="Franklin Gothic Book"/>
          <w:spacing w:val="-4"/>
          <w:sz w:val="20"/>
        </w:rPr>
        <w:t> </w:t>
      </w:r>
      <w:r>
        <w:rPr>
          <w:rFonts w:ascii="Franklin Gothic Book" w:hAnsi="Franklin Gothic Book"/>
          <w:sz w:val="20"/>
        </w:rPr>
        <w:t>da</w:t>
      </w:r>
      <w:r>
        <w:rPr>
          <w:rFonts w:ascii="Franklin Gothic Book" w:hAnsi="Franklin Gothic Book"/>
          <w:spacing w:val="-3"/>
          <w:sz w:val="20"/>
        </w:rPr>
        <w:t> </w:t>
      </w:r>
      <w:r>
        <w:rPr>
          <w:rFonts w:ascii="Franklin Gothic Book" w:hAnsi="Franklin Gothic Book"/>
          <w:sz w:val="20"/>
        </w:rPr>
        <w:t>un</w:t>
      </w:r>
      <w:r>
        <w:rPr>
          <w:rFonts w:ascii="Franklin Gothic Book" w:hAnsi="Franklin Gothic Book"/>
          <w:spacing w:val="-3"/>
          <w:sz w:val="20"/>
        </w:rPr>
        <w:t> </w:t>
      </w:r>
      <w:r>
        <w:rPr>
          <w:rFonts w:ascii="Franklin Gothic Book" w:hAnsi="Franklin Gothic Book"/>
          <w:sz w:val="20"/>
        </w:rPr>
        <w:t>punto</w:t>
      </w:r>
      <w:r>
        <w:rPr>
          <w:rFonts w:ascii="Franklin Gothic Book" w:hAnsi="Franklin Gothic Book"/>
          <w:spacing w:val="-3"/>
          <w:sz w:val="20"/>
        </w:rPr>
        <w:t> </w:t>
      </w:r>
      <w:r>
        <w:rPr>
          <w:rFonts w:ascii="Franklin Gothic Book" w:hAnsi="Franklin Gothic Book"/>
          <w:sz w:val="20"/>
        </w:rPr>
        <w:t>di</w:t>
      </w:r>
      <w:r>
        <w:rPr>
          <w:rFonts w:ascii="Franklin Gothic Book" w:hAnsi="Franklin Gothic Book"/>
          <w:spacing w:val="-4"/>
          <w:sz w:val="20"/>
        </w:rPr>
        <w:t> </w:t>
      </w:r>
      <w:r>
        <w:rPr>
          <w:rFonts w:ascii="Franklin Gothic Book" w:hAnsi="Franklin Gothic Book"/>
          <w:sz w:val="20"/>
        </w:rPr>
        <w:t>vista infrastrutturale. L’università e la ricerca verranno potenziate e il sistema di reclutamento verrà allineato ai migliori standard internazionali.</w:t>
      </w:r>
    </w:p>
    <w:p>
      <w:pPr>
        <w:pStyle w:val="BodyText"/>
        <w:spacing w:before="6"/>
        <w:rPr>
          <w:rFonts w:ascii="Franklin Gothic Book"/>
          <w:sz w:val="11"/>
        </w:rPr>
      </w:pPr>
    </w:p>
    <w:p>
      <w:pPr>
        <w:pStyle w:val="BodyText"/>
        <w:spacing w:line="252" w:lineRule="auto" w:before="101"/>
        <w:ind w:left="278" w:right="2260" w:firstLine="453"/>
        <w:jc w:val="both"/>
      </w:pPr>
      <w:r>
        <w:rPr/>
        <w:t>Nel comparto della scuola pubblica occorrono politiche dirette a limitare le classi troppo affollate e valorizzare, anche economicamente, il ruolo dei docenti, potenziare il piano nazionale per l’edilizia scolastica, garantire, con le Regioni, la gratuità degli asili nido e dei micro-nidi, ampliandone l’offerta soprattutto nel Mezzogiorno nonché quella del percorso scolastico per gli studenti provenienti da famiglie</w:t>
      </w:r>
      <w:r>
        <w:rPr>
          <w:spacing w:val="-16"/>
        </w:rPr>
        <w:t> </w:t>
      </w:r>
      <w:r>
        <w:rPr/>
        <w:t>con</w:t>
      </w:r>
      <w:r>
        <w:rPr>
          <w:spacing w:val="-16"/>
        </w:rPr>
        <w:t> </w:t>
      </w:r>
      <w:r>
        <w:rPr/>
        <w:t>redditi</w:t>
      </w:r>
      <w:r>
        <w:rPr>
          <w:spacing w:val="-16"/>
        </w:rPr>
        <w:t> </w:t>
      </w:r>
      <w:r>
        <w:rPr/>
        <w:t>medio-bassi.</w:t>
      </w:r>
      <w:r>
        <w:rPr>
          <w:spacing w:val="-15"/>
        </w:rPr>
        <w:t> </w:t>
      </w:r>
      <w:r>
        <w:rPr/>
        <w:t>Saranno</w:t>
      </w:r>
      <w:r>
        <w:rPr>
          <w:spacing w:val="-16"/>
        </w:rPr>
        <w:t> </w:t>
      </w:r>
      <w:r>
        <w:rPr/>
        <w:t>contrastati</w:t>
      </w:r>
      <w:r>
        <w:rPr>
          <w:spacing w:val="-16"/>
        </w:rPr>
        <w:t> </w:t>
      </w:r>
      <w:r>
        <w:rPr/>
        <w:t>infine</w:t>
      </w:r>
      <w:r>
        <w:rPr>
          <w:spacing w:val="-16"/>
        </w:rPr>
        <w:t> </w:t>
      </w:r>
      <w:r>
        <w:rPr/>
        <w:t>la</w:t>
      </w:r>
      <w:r>
        <w:rPr>
          <w:spacing w:val="-16"/>
        </w:rPr>
        <w:t> </w:t>
      </w:r>
      <w:r>
        <w:rPr/>
        <w:t>dispersione</w:t>
      </w:r>
      <w:r>
        <w:rPr>
          <w:spacing w:val="-17"/>
        </w:rPr>
        <w:t> </w:t>
      </w:r>
      <w:r>
        <w:rPr/>
        <w:t>scolastica e il</w:t>
      </w:r>
      <w:r>
        <w:rPr>
          <w:spacing w:val="-1"/>
        </w:rPr>
        <w:t> </w:t>
      </w:r>
      <w:r>
        <w:rPr/>
        <w:t>bullismo.</w:t>
      </w:r>
    </w:p>
    <w:p>
      <w:pPr>
        <w:pStyle w:val="BodyText"/>
        <w:spacing w:line="252" w:lineRule="auto"/>
        <w:ind w:left="278" w:right="2262" w:firstLine="453"/>
        <w:jc w:val="both"/>
      </w:pPr>
      <w:r>
        <w:rPr/>
        <w:t>Per garantire una maggior funzionalità e qualità del sistema nazionale di istruzione e formazione si rende opportuno ripensare i percorsi di formazione e abilitazione del personale docente. A tal fine verrà presentato alle Camere un disegno di legge collegato alla manovra di finanza pubblica.</w:t>
      </w:r>
    </w:p>
    <w:p>
      <w:pPr>
        <w:pStyle w:val="BodyText"/>
        <w:ind w:left="732"/>
        <w:jc w:val="both"/>
      </w:pPr>
      <w:r>
        <w:rPr/>
        <w:t>Il sistema della ricerca va potenziato, favorendo un più intenso coordinamento</w:t>
      </w:r>
    </w:p>
    <w:p>
      <w:pPr>
        <w:pStyle w:val="BodyText"/>
        <w:spacing w:before="13"/>
        <w:ind w:left="278"/>
        <w:jc w:val="both"/>
      </w:pPr>
      <w:r>
        <w:rPr/>
        <w:t>tra centri universitari ed enti di ricerca, nel segno dell’internazionalizzazione.</w:t>
      </w:r>
    </w:p>
    <w:p>
      <w:pPr>
        <w:pStyle w:val="BodyText"/>
        <w:spacing w:line="252" w:lineRule="auto" w:before="13"/>
        <w:ind w:left="278" w:right="2260" w:firstLine="453"/>
        <w:jc w:val="both"/>
      </w:pPr>
      <w:r>
        <w:rPr/>
        <w:t>Il sistema di reclutamento nelle istituzioni di alta formazione e di ricerca va allineato ai migliori standard internazionali e va rafforzato anche attraverso l’istituzione di un’agenzia nazionale, sul modello di quelle già attive in altri paesi europei, che possa coordinare e accrescere la qualità e l’efficacia delle politiche pubbliche per la ricerca. Vanno sperimentate nuove forme di finanziamento e incentivate formule innovative di partenariato pubblico-privato. Si deve, infine, ripensare il modello di accesso ai corsi di laurea a numero programmato.</w:t>
      </w:r>
    </w:p>
    <w:p>
      <w:pPr>
        <w:pStyle w:val="BodyText"/>
        <w:spacing w:line="252" w:lineRule="auto"/>
        <w:ind w:left="278" w:right="2264" w:firstLine="453"/>
        <w:jc w:val="both"/>
      </w:pPr>
      <w:r>
        <w:rPr/>
        <w:t>Lo scorso luglio è stato emanato un bando per la selezione di 120 docenti, esperti in materia di scuola digitale, per la promozione e la diffusione di nuove metodologie</w:t>
      </w:r>
      <w:r>
        <w:rPr>
          <w:spacing w:val="-16"/>
        </w:rPr>
        <w:t> </w:t>
      </w:r>
      <w:r>
        <w:rPr/>
        <w:t>didattiche</w:t>
      </w:r>
      <w:r>
        <w:rPr>
          <w:spacing w:val="-16"/>
        </w:rPr>
        <w:t> </w:t>
      </w:r>
      <w:r>
        <w:rPr/>
        <w:t>e</w:t>
      </w:r>
      <w:r>
        <w:rPr>
          <w:spacing w:val="-16"/>
        </w:rPr>
        <w:t> </w:t>
      </w:r>
      <w:r>
        <w:rPr/>
        <w:t>la</w:t>
      </w:r>
      <w:r>
        <w:rPr>
          <w:spacing w:val="-17"/>
        </w:rPr>
        <w:t> </w:t>
      </w:r>
      <w:r>
        <w:rPr/>
        <w:t>creazione</w:t>
      </w:r>
      <w:r>
        <w:rPr>
          <w:spacing w:val="-17"/>
        </w:rPr>
        <w:t> </w:t>
      </w:r>
      <w:r>
        <w:rPr/>
        <w:t>di</w:t>
      </w:r>
      <w:r>
        <w:rPr>
          <w:spacing w:val="-17"/>
        </w:rPr>
        <w:t> </w:t>
      </w:r>
      <w:r>
        <w:rPr/>
        <w:t>ambienti</w:t>
      </w:r>
      <w:r>
        <w:rPr>
          <w:spacing w:val="-16"/>
        </w:rPr>
        <w:t> </w:t>
      </w:r>
      <w:r>
        <w:rPr/>
        <w:t>di</w:t>
      </w:r>
      <w:r>
        <w:rPr>
          <w:spacing w:val="-17"/>
        </w:rPr>
        <w:t> </w:t>
      </w:r>
      <w:r>
        <w:rPr/>
        <w:t>apprendimento</w:t>
      </w:r>
      <w:r>
        <w:rPr>
          <w:spacing w:val="-17"/>
        </w:rPr>
        <w:t> </w:t>
      </w:r>
      <w:r>
        <w:rPr/>
        <w:t>innovativi</w:t>
      </w:r>
      <w:r>
        <w:rPr>
          <w:spacing w:val="-17"/>
        </w:rPr>
        <w:t> </w:t>
      </w:r>
      <w:r>
        <w:rPr/>
        <w:t>nelle scuole.</w:t>
      </w:r>
    </w:p>
    <w:p>
      <w:pPr>
        <w:pStyle w:val="BodyText"/>
        <w:spacing w:line="252" w:lineRule="auto"/>
        <w:ind w:left="278" w:right="2262" w:firstLine="453"/>
        <w:jc w:val="both"/>
      </w:pPr>
      <w:r>
        <w:rPr/>
        <w:t>Nell’ambito della procedura di autorizzazione al reclutamento del personale docente per l’anno scolastico 2019/2020, a luglio è stato dato il via libera all’assunzione fino a 53.627 docenti, per la copertura di altrettanti posti vacanti e disponibili in dotazione organica.</w:t>
      </w:r>
    </w:p>
    <w:p>
      <w:pPr>
        <w:pStyle w:val="BodyText"/>
        <w:ind w:left="732"/>
        <w:jc w:val="both"/>
      </w:pPr>
      <w:r>
        <w:rPr/>
        <w:t>Entro la fine del 2019 sarà bandito un concorso ordinario per coprire 16.959</w:t>
      </w:r>
    </w:p>
    <w:p>
      <w:pPr>
        <w:pStyle w:val="BodyText"/>
        <w:spacing w:before="13"/>
        <w:ind w:left="278"/>
        <w:jc w:val="both"/>
      </w:pPr>
      <w:r>
        <w:rPr/>
        <w:t>posti della scuola dell’infanzia e primaria.</w:t>
      </w:r>
    </w:p>
    <w:p>
      <w:pPr>
        <w:pStyle w:val="BodyText"/>
        <w:spacing w:line="252" w:lineRule="auto" w:before="13"/>
        <w:ind w:left="278" w:right="2261" w:firstLine="453"/>
        <w:jc w:val="both"/>
      </w:pPr>
      <w:r>
        <w:rPr/>
        <w:t>Inoltre, a luglio sono stati pubblicati i dati sulla dispersione scolastica che analizzano e quantificano il fenomeno dell’abbandono del sistema scolastico e formativo</w:t>
      </w:r>
      <w:r>
        <w:rPr>
          <w:spacing w:val="-10"/>
        </w:rPr>
        <w:t> </w:t>
      </w:r>
      <w:r>
        <w:rPr/>
        <w:t>nella</w:t>
      </w:r>
      <w:r>
        <w:rPr>
          <w:spacing w:val="-9"/>
        </w:rPr>
        <w:t> </w:t>
      </w:r>
      <w:r>
        <w:rPr/>
        <w:t>scuola</w:t>
      </w:r>
      <w:r>
        <w:rPr>
          <w:spacing w:val="-9"/>
        </w:rPr>
        <w:t> </w:t>
      </w:r>
      <w:r>
        <w:rPr/>
        <w:t>secondaria</w:t>
      </w:r>
      <w:r>
        <w:rPr>
          <w:spacing w:val="-9"/>
        </w:rPr>
        <w:t> </w:t>
      </w:r>
      <w:r>
        <w:rPr/>
        <w:t>di</w:t>
      </w:r>
      <w:r>
        <w:rPr>
          <w:spacing w:val="-9"/>
        </w:rPr>
        <w:t> </w:t>
      </w:r>
      <w:r>
        <w:rPr/>
        <w:t>I</w:t>
      </w:r>
      <w:r>
        <w:rPr>
          <w:spacing w:val="-8"/>
        </w:rPr>
        <w:t> </w:t>
      </w:r>
      <w:r>
        <w:rPr/>
        <w:t>grado,</w:t>
      </w:r>
      <w:r>
        <w:rPr>
          <w:spacing w:val="-11"/>
        </w:rPr>
        <w:t> </w:t>
      </w:r>
      <w:r>
        <w:rPr/>
        <w:t>nel</w:t>
      </w:r>
      <w:r>
        <w:rPr>
          <w:spacing w:val="-8"/>
        </w:rPr>
        <w:t> </w:t>
      </w:r>
      <w:r>
        <w:rPr/>
        <w:t>passaggio</w:t>
      </w:r>
      <w:r>
        <w:rPr>
          <w:spacing w:val="-10"/>
        </w:rPr>
        <w:t> </w:t>
      </w:r>
      <w:r>
        <w:rPr/>
        <w:t>tra</w:t>
      </w:r>
      <w:r>
        <w:rPr>
          <w:spacing w:val="-8"/>
        </w:rPr>
        <w:t> </w:t>
      </w:r>
      <w:r>
        <w:rPr/>
        <w:t>cicli</w:t>
      </w:r>
      <w:r>
        <w:rPr>
          <w:spacing w:val="-9"/>
        </w:rPr>
        <w:t> </w:t>
      </w:r>
      <w:r>
        <w:rPr/>
        <w:t>scolastici</w:t>
      </w:r>
      <w:r>
        <w:rPr>
          <w:spacing w:val="-9"/>
        </w:rPr>
        <w:t> </w:t>
      </w:r>
      <w:r>
        <w:rPr/>
        <w:t>e</w:t>
      </w:r>
      <w:r>
        <w:rPr>
          <w:spacing w:val="-8"/>
        </w:rPr>
        <w:t> </w:t>
      </w:r>
      <w:r>
        <w:rPr/>
        <w:t>nella secondaria di II grado. Dall’analisi emerge che il fenomeno della dispersione scolastica è in</w:t>
      </w:r>
      <w:r>
        <w:rPr>
          <w:spacing w:val="-2"/>
        </w:rPr>
        <w:t> </w:t>
      </w:r>
      <w:r>
        <w:rPr/>
        <w:t>diminuzione.</w:t>
      </w:r>
    </w:p>
    <w:p>
      <w:pPr>
        <w:spacing w:after="0" w:line="252" w:lineRule="auto"/>
        <w:jc w:val="both"/>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1128" w:right="1413" w:firstLine="453"/>
        <w:jc w:val="both"/>
      </w:pPr>
      <w:r>
        <w:rPr/>
        <w:t>Ai fini della promozione dell’inclusione scolastica degli studenti con</w:t>
      </w:r>
      <w:r>
        <w:rPr>
          <w:spacing w:val="-48"/>
        </w:rPr>
        <w:t> </w:t>
      </w:r>
      <w:r>
        <w:rPr/>
        <w:t>disabilità, a luglio 2019 è stato approvato un decreto legislativo</w:t>
      </w:r>
      <w:r>
        <w:rPr>
          <w:vertAlign w:val="superscript"/>
        </w:rPr>
        <w:t>4</w:t>
      </w:r>
      <w:r>
        <w:rPr>
          <w:vertAlign w:val="baseline"/>
        </w:rPr>
        <w:t> con cui vengono riviste le procedure da seguire per la redazione e l’aggiornamento del Piano Educativo Individualizzato (PEI) e le modalità di svolgimento del servizio di istruzione domiciliare da parte dei docenti di sostegno. Inoltre viene notevolmente semplificato e accelerato </w:t>
      </w:r>
      <w:r>
        <w:rPr>
          <w:i/>
          <w:vertAlign w:val="baseline"/>
        </w:rPr>
        <w:t>l’iter </w:t>
      </w:r>
      <w:r>
        <w:rPr>
          <w:vertAlign w:val="baseline"/>
        </w:rPr>
        <w:t>di attribuzione delle risorse</w:t>
      </w:r>
      <w:r>
        <w:rPr>
          <w:spacing w:val="-12"/>
          <w:vertAlign w:val="baseline"/>
        </w:rPr>
        <w:t> </w:t>
      </w:r>
      <w:r>
        <w:rPr>
          <w:vertAlign w:val="baseline"/>
        </w:rPr>
        <w:t>assegnate.</w:t>
      </w:r>
    </w:p>
    <w:p>
      <w:pPr>
        <w:pStyle w:val="BodyText"/>
        <w:spacing w:line="252" w:lineRule="auto" w:before="1"/>
        <w:ind w:left="1128" w:right="1411" w:firstLine="453"/>
        <w:jc w:val="both"/>
      </w:pPr>
      <w:r>
        <w:rPr/>
        <w:t>In</w:t>
      </w:r>
      <w:r>
        <w:rPr>
          <w:spacing w:val="-7"/>
        </w:rPr>
        <w:t> </w:t>
      </w:r>
      <w:r>
        <w:rPr/>
        <w:t>tema</w:t>
      </w:r>
      <w:r>
        <w:rPr>
          <w:spacing w:val="-6"/>
        </w:rPr>
        <w:t> </w:t>
      </w:r>
      <w:r>
        <w:rPr/>
        <w:t>di</w:t>
      </w:r>
      <w:r>
        <w:rPr>
          <w:spacing w:val="-6"/>
        </w:rPr>
        <w:t> </w:t>
      </w:r>
      <w:r>
        <w:rPr/>
        <w:t>edilizia</w:t>
      </w:r>
      <w:r>
        <w:rPr>
          <w:spacing w:val="-6"/>
        </w:rPr>
        <w:t> </w:t>
      </w:r>
      <w:r>
        <w:rPr/>
        <w:t>scolastica,</w:t>
      </w:r>
      <w:r>
        <w:rPr>
          <w:spacing w:val="-5"/>
        </w:rPr>
        <w:t> </w:t>
      </w:r>
      <w:r>
        <w:rPr/>
        <w:t>a</w:t>
      </w:r>
      <w:r>
        <w:rPr>
          <w:spacing w:val="-6"/>
        </w:rPr>
        <w:t> </w:t>
      </w:r>
      <w:r>
        <w:rPr/>
        <w:t>luglio</w:t>
      </w:r>
      <w:r>
        <w:rPr>
          <w:spacing w:val="-7"/>
        </w:rPr>
        <w:t> </w:t>
      </w:r>
      <w:r>
        <w:rPr/>
        <w:t>sono</w:t>
      </w:r>
      <w:r>
        <w:rPr>
          <w:spacing w:val="-7"/>
        </w:rPr>
        <w:t> </w:t>
      </w:r>
      <w:r>
        <w:rPr/>
        <w:t>stati</w:t>
      </w:r>
      <w:r>
        <w:rPr>
          <w:spacing w:val="-6"/>
        </w:rPr>
        <w:t> </w:t>
      </w:r>
      <w:r>
        <w:rPr/>
        <w:t>firmati</w:t>
      </w:r>
      <w:r>
        <w:rPr>
          <w:spacing w:val="-6"/>
        </w:rPr>
        <w:t> </w:t>
      </w:r>
      <w:r>
        <w:rPr/>
        <w:t>gli</w:t>
      </w:r>
      <w:r>
        <w:rPr>
          <w:spacing w:val="-6"/>
        </w:rPr>
        <w:t> </w:t>
      </w:r>
      <w:r>
        <w:rPr/>
        <w:t>accordi</w:t>
      </w:r>
      <w:r>
        <w:rPr>
          <w:spacing w:val="-7"/>
        </w:rPr>
        <w:t> </w:t>
      </w:r>
      <w:r>
        <w:rPr/>
        <w:t>tra</w:t>
      </w:r>
      <w:r>
        <w:rPr>
          <w:spacing w:val="-5"/>
        </w:rPr>
        <w:t> </w:t>
      </w:r>
      <w:r>
        <w:rPr/>
        <w:t>il</w:t>
      </w:r>
      <w:r>
        <w:rPr>
          <w:spacing w:val="-6"/>
        </w:rPr>
        <w:t> </w:t>
      </w:r>
      <w:r>
        <w:rPr/>
        <w:t>MIUR</w:t>
      </w:r>
      <w:r>
        <w:rPr>
          <w:spacing w:val="-4"/>
        </w:rPr>
        <w:t> </w:t>
      </w:r>
      <w:r>
        <w:rPr/>
        <w:t>e la Banca Europea per gli Investimenti (BEI), la Banca di Sviluppo del Consiglio d’Europa (CEB) e la Cassa Depositi e Prestiti (CDP) che consentono lo stanziamento di 1,5 miliardi per interventi di ristrutturazione, messa in sicurezza, adeguamento alle norme antisismiche, efficientamento energetico e nuova costruzione di edifici scolastici. Le risorse saranno erogate da CDP a Comuni, Province e Città Metropolitane tramite la concessione di mutui alle Regioni da parte di BEI e CEB (1.255 milioni erogati da BEI e 300 milioni da</w:t>
      </w:r>
      <w:r>
        <w:rPr>
          <w:spacing w:val="-11"/>
        </w:rPr>
        <w:t> </w:t>
      </w:r>
      <w:r>
        <w:rPr/>
        <w:t>CEB).</w:t>
      </w:r>
    </w:p>
    <w:p>
      <w:pPr>
        <w:pStyle w:val="BodyText"/>
        <w:spacing w:line="252" w:lineRule="auto" w:before="1"/>
        <w:ind w:left="1128" w:right="1411" w:firstLine="453"/>
        <w:jc w:val="both"/>
      </w:pPr>
      <w:r>
        <w:rPr/>
        <w:t>Si ricorda infine che tra il 2019 e il 2033 sono previste risorse per l’edilizia scolastica: 1.410 milioni per la messa in sicurezza e l’adeguamento anti-incendio degli edifici scolastici e 1.020 milioni per l’adeguamento delle strutture per rischio sismico</w:t>
      </w:r>
      <w:r>
        <w:rPr>
          <w:vertAlign w:val="superscript"/>
        </w:rPr>
        <w:t>5</w:t>
      </w:r>
      <w:r>
        <w:rPr>
          <w:vertAlign w:val="baseline"/>
        </w:rPr>
        <w:t>.</w:t>
      </w:r>
    </w:p>
    <w:p>
      <w:pPr>
        <w:pStyle w:val="BodyText"/>
        <w:spacing w:before="5"/>
        <w:rPr>
          <w:sz w:val="33"/>
        </w:rPr>
      </w:pPr>
    </w:p>
    <w:p>
      <w:pPr>
        <w:pStyle w:val="Heading3"/>
        <w:ind w:left="1128"/>
        <w:jc w:val="both"/>
      </w:pPr>
      <w:r>
        <w:rPr>
          <w:color w:val="585858"/>
        </w:rPr>
        <w:t>Investimenti materiali, immateriali e infrastrutture - CSR n. 3</w:t>
      </w:r>
    </w:p>
    <w:p>
      <w:pPr>
        <w:pStyle w:val="BodyText"/>
        <w:spacing w:before="5"/>
        <w:rPr>
          <w:rFonts w:ascii="Franklin Gothic Medium"/>
          <w:sz w:val="35"/>
        </w:rPr>
      </w:pPr>
    </w:p>
    <w:p>
      <w:pPr>
        <w:pStyle w:val="Heading5"/>
        <w:ind w:right="1421"/>
        <w:rPr>
          <w:i/>
        </w:rPr>
      </w:pPr>
      <w:r>
        <w:rPr/>
        <w:t>Investimenti strettamente connessi alla realizzazione e allo sviluppo della priorità politica del </w:t>
      </w:r>
      <w:r>
        <w:rPr>
          <w:i/>
        </w:rPr>
        <w:t>Green new deal</w:t>
      </w:r>
    </w:p>
    <w:p>
      <w:pPr>
        <w:spacing w:line="232" w:lineRule="auto" w:before="157"/>
        <w:ind w:left="1128" w:right="1415" w:firstLine="0"/>
        <w:jc w:val="both"/>
        <w:rPr>
          <w:rFonts w:ascii="Franklin Gothic Book" w:hAnsi="Franklin Gothic Book"/>
          <w:sz w:val="20"/>
        </w:rPr>
      </w:pPr>
      <w:r>
        <w:rPr/>
        <w:pict>
          <v:line style="position:absolute;mso-position-horizontal-relative:page;mso-position-vertical-relative:paragraph;z-index:-251448320;mso-wrap-distance-left:0;mso-wrap-distance-right:0" from="111.980003pt,57.680084pt" to="525.930003pt,57.680084pt" stroked="true" strokeweight="1.44pt" strokecolor="#006247">
            <v:stroke dashstyle="solid"/>
            <w10:wrap type="topAndBottom"/>
          </v:line>
        </w:pict>
      </w:r>
      <w:r>
        <w:rPr>
          <w:rFonts w:ascii="Franklin Gothic Heavy" w:hAnsi="Franklin Gothic Heavy"/>
          <w:b/>
          <w:color w:val="006247"/>
          <w:sz w:val="20"/>
        </w:rPr>
        <w:t>LINEE PROGRAMMATICHE: </w:t>
      </w:r>
      <w:r>
        <w:rPr>
          <w:rFonts w:ascii="Tahoma" w:hAnsi="Tahoma"/>
          <w:sz w:val="18"/>
        </w:rPr>
        <w:t>Con il prossimo disegno di Legge di bilancio, il Governo intende avviare un</w:t>
      </w:r>
      <w:r>
        <w:rPr>
          <w:rFonts w:ascii="Tahoma" w:hAnsi="Tahoma"/>
          <w:spacing w:val="-14"/>
          <w:sz w:val="18"/>
        </w:rPr>
        <w:t> </w:t>
      </w:r>
      <w:r>
        <w:rPr>
          <w:rFonts w:ascii="Tahoma" w:hAnsi="Tahoma"/>
          <w:sz w:val="18"/>
        </w:rPr>
        <w:t>piano</w:t>
      </w:r>
      <w:r>
        <w:rPr>
          <w:rFonts w:ascii="Tahoma" w:hAnsi="Tahoma"/>
          <w:spacing w:val="-11"/>
          <w:sz w:val="18"/>
        </w:rPr>
        <w:t> </w:t>
      </w:r>
      <w:r>
        <w:rPr>
          <w:rFonts w:ascii="Tahoma" w:hAnsi="Tahoma"/>
          <w:sz w:val="18"/>
        </w:rPr>
        <w:t>pluriennale</w:t>
      </w:r>
      <w:r>
        <w:rPr>
          <w:rFonts w:ascii="Tahoma" w:hAnsi="Tahoma"/>
          <w:spacing w:val="-13"/>
          <w:sz w:val="18"/>
        </w:rPr>
        <w:t> </w:t>
      </w:r>
      <w:r>
        <w:rPr>
          <w:rFonts w:ascii="Tahoma" w:hAnsi="Tahoma"/>
          <w:sz w:val="18"/>
        </w:rPr>
        <w:t>che,</w:t>
      </w:r>
      <w:r>
        <w:rPr>
          <w:rFonts w:ascii="Tahoma" w:hAnsi="Tahoma"/>
          <w:spacing w:val="-13"/>
          <w:sz w:val="18"/>
        </w:rPr>
        <w:t> </w:t>
      </w:r>
      <w:r>
        <w:rPr>
          <w:rFonts w:ascii="Tahoma" w:hAnsi="Tahoma"/>
          <w:sz w:val="18"/>
        </w:rPr>
        <w:t>attraverso</w:t>
      </w:r>
      <w:r>
        <w:rPr>
          <w:rFonts w:ascii="Tahoma" w:hAnsi="Tahoma"/>
          <w:spacing w:val="-11"/>
          <w:sz w:val="18"/>
        </w:rPr>
        <w:t> </w:t>
      </w:r>
      <w:r>
        <w:rPr>
          <w:rFonts w:ascii="Tahoma" w:hAnsi="Tahoma"/>
          <w:sz w:val="18"/>
        </w:rPr>
        <w:t>l’attivazione</w:t>
      </w:r>
      <w:r>
        <w:rPr>
          <w:rFonts w:ascii="Tahoma" w:hAnsi="Tahoma"/>
          <w:spacing w:val="-13"/>
          <w:sz w:val="18"/>
        </w:rPr>
        <w:t> </w:t>
      </w:r>
      <w:r>
        <w:rPr>
          <w:rFonts w:ascii="Tahoma" w:hAnsi="Tahoma"/>
          <w:sz w:val="18"/>
        </w:rPr>
        <w:t>di</w:t>
      </w:r>
      <w:r>
        <w:rPr>
          <w:rFonts w:ascii="Tahoma" w:hAnsi="Tahoma"/>
          <w:spacing w:val="-14"/>
          <w:sz w:val="18"/>
        </w:rPr>
        <w:t> </w:t>
      </w:r>
      <w:r>
        <w:rPr>
          <w:rFonts w:ascii="Tahoma" w:hAnsi="Tahoma"/>
          <w:sz w:val="18"/>
        </w:rPr>
        <w:t>investimenti</w:t>
      </w:r>
      <w:r>
        <w:rPr>
          <w:rFonts w:ascii="Tahoma" w:hAnsi="Tahoma"/>
          <w:spacing w:val="-13"/>
          <w:sz w:val="18"/>
        </w:rPr>
        <w:t> </w:t>
      </w:r>
      <w:r>
        <w:rPr>
          <w:rFonts w:ascii="Tahoma" w:hAnsi="Tahoma"/>
          <w:sz w:val="18"/>
        </w:rPr>
        <w:t>privati</w:t>
      </w:r>
      <w:r>
        <w:rPr>
          <w:rFonts w:ascii="Tahoma" w:hAnsi="Tahoma"/>
          <w:spacing w:val="-13"/>
          <w:sz w:val="18"/>
        </w:rPr>
        <w:t> </w:t>
      </w:r>
      <w:r>
        <w:rPr>
          <w:rFonts w:ascii="Tahoma" w:hAnsi="Tahoma"/>
          <w:sz w:val="18"/>
        </w:rPr>
        <w:t>e</w:t>
      </w:r>
      <w:r>
        <w:rPr>
          <w:rFonts w:ascii="Tahoma" w:hAnsi="Tahoma"/>
          <w:spacing w:val="-13"/>
          <w:sz w:val="18"/>
        </w:rPr>
        <w:t> </w:t>
      </w:r>
      <w:r>
        <w:rPr>
          <w:rFonts w:ascii="Tahoma" w:hAnsi="Tahoma"/>
          <w:sz w:val="18"/>
        </w:rPr>
        <w:t>pubblici,</w:t>
      </w:r>
      <w:r>
        <w:rPr>
          <w:rFonts w:ascii="Tahoma" w:hAnsi="Tahoma"/>
          <w:spacing w:val="-14"/>
          <w:sz w:val="18"/>
        </w:rPr>
        <w:t> </w:t>
      </w:r>
      <w:r>
        <w:rPr>
          <w:rFonts w:ascii="Tahoma" w:hAnsi="Tahoma"/>
          <w:sz w:val="18"/>
        </w:rPr>
        <w:t>favorisca</w:t>
      </w:r>
      <w:r>
        <w:rPr>
          <w:rFonts w:ascii="Tahoma" w:hAnsi="Tahoma"/>
          <w:spacing w:val="-12"/>
          <w:sz w:val="18"/>
        </w:rPr>
        <w:t> </w:t>
      </w:r>
      <w:r>
        <w:rPr>
          <w:rFonts w:ascii="Tahoma" w:hAnsi="Tahoma"/>
          <w:sz w:val="18"/>
        </w:rPr>
        <w:t>la</w:t>
      </w:r>
      <w:r>
        <w:rPr>
          <w:rFonts w:ascii="Tahoma" w:hAnsi="Tahoma"/>
          <w:spacing w:val="-15"/>
          <w:sz w:val="18"/>
        </w:rPr>
        <w:t> </w:t>
      </w:r>
      <w:r>
        <w:rPr>
          <w:rFonts w:ascii="Tahoma" w:hAnsi="Tahoma"/>
          <w:sz w:val="18"/>
        </w:rPr>
        <w:t>transizione dell’economia italiana verso un modello di crescita sostenibile, inclusiva ed equa, in linea con il </w:t>
      </w:r>
      <w:r>
        <w:rPr>
          <w:rFonts w:ascii="Tahoma" w:hAnsi="Tahoma"/>
          <w:i/>
          <w:sz w:val="19"/>
        </w:rPr>
        <w:t>Green new deal</w:t>
      </w:r>
      <w:r>
        <w:rPr>
          <w:rFonts w:ascii="Tahoma" w:hAnsi="Tahoma"/>
          <w:i/>
          <w:spacing w:val="-7"/>
          <w:sz w:val="19"/>
        </w:rPr>
        <w:t> </w:t>
      </w:r>
      <w:r>
        <w:rPr>
          <w:rFonts w:ascii="Tahoma" w:hAnsi="Tahoma"/>
          <w:sz w:val="18"/>
        </w:rPr>
        <w:t>europeo</w:t>
      </w:r>
      <w:r>
        <w:rPr>
          <w:rFonts w:ascii="Franklin Gothic Book" w:hAnsi="Franklin Gothic Book"/>
          <w:sz w:val="20"/>
        </w:rPr>
        <w:t>.</w:t>
      </w:r>
    </w:p>
    <w:p>
      <w:pPr>
        <w:pStyle w:val="BodyText"/>
        <w:spacing w:before="6"/>
        <w:rPr>
          <w:rFonts w:ascii="Franklin Gothic Book"/>
          <w:sz w:val="11"/>
        </w:rPr>
      </w:pPr>
    </w:p>
    <w:p>
      <w:pPr>
        <w:pStyle w:val="BodyText"/>
        <w:spacing w:line="252" w:lineRule="auto" w:before="101"/>
        <w:ind w:left="1128" w:right="1414" w:firstLine="453"/>
        <w:jc w:val="both"/>
      </w:pPr>
      <w:r>
        <w:rPr/>
        <w:t>Sul</w:t>
      </w:r>
      <w:r>
        <w:rPr>
          <w:spacing w:val="-6"/>
        </w:rPr>
        <w:t> </w:t>
      </w:r>
      <w:r>
        <w:rPr/>
        <w:t>fronte</w:t>
      </w:r>
      <w:r>
        <w:rPr>
          <w:spacing w:val="-6"/>
        </w:rPr>
        <w:t> </w:t>
      </w:r>
      <w:r>
        <w:rPr/>
        <w:t>degli</w:t>
      </w:r>
      <w:r>
        <w:rPr>
          <w:spacing w:val="-6"/>
        </w:rPr>
        <w:t> </w:t>
      </w:r>
      <w:r>
        <w:rPr/>
        <w:t>investimenti</w:t>
      </w:r>
      <w:r>
        <w:rPr>
          <w:spacing w:val="-7"/>
        </w:rPr>
        <w:t> </w:t>
      </w:r>
      <w:r>
        <w:rPr/>
        <w:t>privati,</w:t>
      </w:r>
      <w:r>
        <w:rPr>
          <w:spacing w:val="-5"/>
        </w:rPr>
        <w:t> </w:t>
      </w:r>
      <w:r>
        <w:rPr/>
        <w:t>gli</w:t>
      </w:r>
      <w:r>
        <w:rPr>
          <w:spacing w:val="-7"/>
        </w:rPr>
        <w:t> </w:t>
      </w:r>
      <w:r>
        <w:rPr/>
        <w:t>interventi</w:t>
      </w:r>
      <w:r>
        <w:rPr>
          <w:spacing w:val="-6"/>
        </w:rPr>
        <w:t> </w:t>
      </w:r>
      <w:r>
        <w:rPr/>
        <w:t>saranno</w:t>
      </w:r>
      <w:r>
        <w:rPr>
          <w:spacing w:val="-8"/>
        </w:rPr>
        <w:t> </w:t>
      </w:r>
      <w:r>
        <w:rPr/>
        <w:t>mirati</w:t>
      </w:r>
      <w:r>
        <w:rPr>
          <w:spacing w:val="-6"/>
        </w:rPr>
        <w:t> </w:t>
      </w:r>
      <w:r>
        <w:rPr/>
        <w:t>a</w:t>
      </w:r>
      <w:r>
        <w:rPr>
          <w:spacing w:val="-7"/>
        </w:rPr>
        <w:t> </w:t>
      </w:r>
      <w:r>
        <w:rPr/>
        <w:t>incentivare il rinnovo delle produzioni e degli impianti in uso, l’efficientamento e la riconversione dei processi produttivi e la transizione verso la Quarta rivoluzione industriale (digitalizzazione e nell’intelligenza artificiale). In questo contesto avranno un ruolo centrale le politiche di valorizzazione del capitale umano (formazione, ricerca e sviluppo, rientro dei cervelli ad alta</w:t>
      </w:r>
      <w:r>
        <w:rPr>
          <w:spacing w:val="-23"/>
        </w:rPr>
        <w:t> </w:t>
      </w:r>
      <w:r>
        <w:rPr/>
        <w:t>specializzazione).</w:t>
      </w:r>
    </w:p>
    <w:p>
      <w:pPr>
        <w:pStyle w:val="BodyText"/>
        <w:spacing w:line="252" w:lineRule="auto"/>
        <w:ind w:left="1128" w:right="1413" w:firstLine="453"/>
        <w:jc w:val="both"/>
      </w:pPr>
      <w:r>
        <w:rPr/>
        <w:t>Parallelamente, gli investimenti pubblici saranno incrementati e finalizzati a favorire questo processo di trasformazione del sistema Paese, in modo da creare</w:t>
      </w:r>
      <w:r>
        <w:rPr>
          <w:spacing w:val="-45"/>
        </w:rPr>
        <w:t> </w:t>
      </w:r>
      <w:r>
        <w:rPr/>
        <w:t>le condizioni per un maggior coinvolgimento di investimenti e risorse</w:t>
      </w:r>
      <w:r>
        <w:rPr>
          <w:spacing w:val="-18"/>
        </w:rPr>
        <w:t> </w:t>
      </w:r>
      <w:r>
        <w:rPr/>
        <w:t>private.</w:t>
      </w:r>
    </w:p>
    <w:p>
      <w:pPr>
        <w:pStyle w:val="BodyText"/>
        <w:spacing w:line="252" w:lineRule="auto"/>
        <w:ind w:left="1128" w:right="1413" w:firstLine="453"/>
        <w:jc w:val="both"/>
      </w:pPr>
      <w:r>
        <w:rPr/>
        <w:t>Nella prossima legge di bilancio saranno introdotti due nuovi fondi di investimento, assegnati a Stato e Enti territoriali, per un ammontare complessivo di</w:t>
      </w:r>
      <w:r>
        <w:rPr>
          <w:spacing w:val="-8"/>
        </w:rPr>
        <w:t> </w:t>
      </w:r>
      <w:r>
        <w:rPr/>
        <w:t>50</w:t>
      </w:r>
      <w:r>
        <w:rPr>
          <w:spacing w:val="-7"/>
        </w:rPr>
        <w:t> </w:t>
      </w:r>
      <w:r>
        <w:rPr/>
        <w:t>miliardi</w:t>
      </w:r>
      <w:r>
        <w:rPr>
          <w:spacing w:val="-8"/>
        </w:rPr>
        <w:t> </w:t>
      </w:r>
      <w:r>
        <w:rPr/>
        <w:t>su</w:t>
      </w:r>
      <w:r>
        <w:rPr>
          <w:spacing w:val="-10"/>
        </w:rPr>
        <w:t> </w:t>
      </w:r>
      <w:r>
        <w:rPr/>
        <w:t>un</w:t>
      </w:r>
      <w:r>
        <w:rPr>
          <w:spacing w:val="-7"/>
        </w:rPr>
        <w:t> </w:t>
      </w:r>
      <w:r>
        <w:rPr/>
        <w:t>orizzonte</w:t>
      </w:r>
      <w:r>
        <w:rPr>
          <w:spacing w:val="-7"/>
        </w:rPr>
        <w:t> </w:t>
      </w:r>
      <w:r>
        <w:rPr/>
        <w:t>di</w:t>
      </w:r>
      <w:r>
        <w:rPr>
          <w:spacing w:val="-8"/>
        </w:rPr>
        <w:t> </w:t>
      </w:r>
      <w:r>
        <w:rPr/>
        <w:t>15</w:t>
      </w:r>
      <w:r>
        <w:rPr>
          <w:spacing w:val="-7"/>
        </w:rPr>
        <w:t> </w:t>
      </w:r>
      <w:r>
        <w:rPr/>
        <w:t>anni,</w:t>
      </w:r>
      <w:r>
        <w:rPr>
          <w:spacing w:val="-9"/>
        </w:rPr>
        <w:t> </w:t>
      </w:r>
      <w:r>
        <w:rPr/>
        <w:t>che</w:t>
      </w:r>
      <w:r>
        <w:rPr>
          <w:spacing w:val="-11"/>
        </w:rPr>
        <w:t> </w:t>
      </w:r>
      <w:r>
        <w:rPr/>
        <w:t>si</w:t>
      </w:r>
      <w:r>
        <w:rPr>
          <w:spacing w:val="-7"/>
        </w:rPr>
        <w:t> </w:t>
      </w:r>
      <w:r>
        <w:rPr/>
        <w:t>affiancheranno</w:t>
      </w:r>
      <w:r>
        <w:rPr>
          <w:spacing w:val="-8"/>
        </w:rPr>
        <w:t> </w:t>
      </w:r>
      <w:r>
        <w:rPr/>
        <w:t>e</w:t>
      </w:r>
      <w:r>
        <w:rPr>
          <w:spacing w:val="-8"/>
        </w:rPr>
        <w:t> </w:t>
      </w:r>
      <w:r>
        <w:rPr/>
        <w:t>daranno</w:t>
      </w:r>
      <w:r>
        <w:rPr>
          <w:spacing w:val="-10"/>
        </w:rPr>
        <w:t> </w:t>
      </w:r>
      <w:r>
        <w:rPr/>
        <w:t>continuità ai fondi costituiti con le ultime tre leggi di bilancio. Le risorse saranno assegnate per</w:t>
      </w:r>
      <w:r>
        <w:rPr>
          <w:spacing w:val="48"/>
        </w:rPr>
        <w:t> </w:t>
      </w:r>
      <w:r>
        <w:rPr/>
        <w:t>attivare</w:t>
      </w:r>
      <w:r>
        <w:rPr>
          <w:spacing w:val="48"/>
        </w:rPr>
        <w:t> </w:t>
      </w:r>
      <w:r>
        <w:rPr/>
        <w:t>progetti</w:t>
      </w:r>
      <w:r>
        <w:rPr>
          <w:spacing w:val="47"/>
        </w:rPr>
        <w:t> </w:t>
      </w:r>
      <w:r>
        <w:rPr/>
        <w:t>di</w:t>
      </w:r>
      <w:r>
        <w:rPr>
          <w:spacing w:val="47"/>
        </w:rPr>
        <w:t> </w:t>
      </w:r>
      <w:r>
        <w:rPr/>
        <w:t>rigenerazione</w:t>
      </w:r>
      <w:r>
        <w:rPr>
          <w:spacing w:val="46"/>
        </w:rPr>
        <w:t> </w:t>
      </w:r>
      <w:r>
        <w:rPr/>
        <w:t>urbana,</w:t>
      </w:r>
      <w:r>
        <w:rPr>
          <w:spacing w:val="46"/>
        </w:rPr>
        <w:t> </w:t>
      </w:r>
      <w:r>
        <w:rPr/>
        <w:t>di</w:t>
      </w:r>
      <w:r>
        <w:rPr>
          <w:spacing w:val="46"/>
        </w:rPr>
        <w:t> </w:t>
      </w:r>
      <w:r>
        <w:rPr/>
        <w:t>riconversione</w:t>
      </w:r>
      <w:r>
        <w:rPr>
          <w:spacing w:val="46"/>
        </w:rPr>
        <w:t> </w:t>
      </w:r>
      <w:r>
        <w:rPr/>
        <w:t>energetica</w:t>
      </w:r>
      <w:r>
        <w:rPr>
          <w:spacing w:val="48"/>
        </w:rPr>
        <w:t> </w:t>
      </w:r>
      <w:r>
        <w:rPr/>
        <w:t>e</w:t>
      </w:r>
      <w:r>
        <w:rPr>
          <w:spacing w:val="47"/>
        </w:rPr>
        <w:t> </w:t>
      </w:r>
      <w:r>
        <w:rPr/>
        <w:t>di</w:t>
      </w:r>
    </w:p>
    <w:p>
      <w:pPr>
        <w:pStyle w:val="BodyText"/>
        <w:rPr>
          <w:sz w:val="20"/>
        </w:rPr>
      </w:pPr>
    </w:p>
    <w:p>
      <w:pPr>
        <w:pStyle w:val="BodyText"/>
        <w:rPr>
          <w:sz w:val="20"/>
        </w:rPr>
      </w:pPr>
    </w:p>
    <w:p>
      <w:pPr>
        <w:pStyle w:val="BodyText"/>
        <w:spacing w:before="11"/>
        <w:rPr>
          <w:sz w:val="12"/>
        </w:rPr>
      </w:pPr>
      <w:r>
        <w:rPr/>
        <w:pict>
          <v:group style="position:absolute;margin-left:136.100006pt;margin-top:9.516328pt;width:21.4pt;height:2.15pt;mso-position-horizontal-relative:page;mso-position-vertical-relative:paragraph;z-index:-251447296;mso-wrap-distance-left:0;mso-wrap-distance-right:0" coordorigin="2722,190" coordsize="428,43">
            <v:line style="position:absolute" from="2722,211" to="3149,211" stroked="true" strokeweight="2.050pt" strokecolor="#aaaaaa">
              <v:stroke dashstyle="solid"/>
            </v:line>
            <v:rect style="position:absolute;left:2722;top:192;width:5;height:5" filled="true" fillcolor="#9f9f9f" stroked="false">
              <v:fill type="solid"/>
            </v:rect>
            <v:rect style="position:absolute;left:2722;top:192;width:5;height:5" filled="true" fillcolor="#9f9f9f" stroked="false">
              <v:fill type="solid"/>
            </v:rect>
            <v:line style="position:absolute" from="2727,195" to="3144,195" stroked="true" strokeweight=".23999pt" strokecolor="#9f9f9f">
              <v:stroke dashstyle="solid"/>
            </v:line>
            <v:rect style="position:absolute;left:3144;top:192;width:5;height:5" filled="true" fillcolor="#e2e2e2" stroked="false">
              <v:fill type="solid"/>
            </v:rect>
            <v:rect style="position:absolute;left:3144;top:192;width:5;height:5" filled="true" fillcolor="#9f9f9f" stroked="false">
              <v:fill type="solid"/>
            </v:rect>
            <v:rect style="position:absolute;left:2722;top:197;width:5;height:32" filled="true" fillcolor="#9f9f9f" stroked="false">
              <v:fill type="solid"/>
            </v:rect>
            <v:rect style="position:absolute;left:3144;top:197;width:5;height:32" filled="true" fillcolor="#e2e2e2" stroked="false">
              <v:fill type="solid"/>
            </v:rect>
            <v:rect style="position:absolute;left:2722;top:228;width:5;height:5" filled="true" fillcolor="#9f9f9f" stroked="false">
              <v:fill type="solid"/>
            </v:rect>
            <v:rect style="position:absolute;left:2722;top:228;width:5;height:5" filled="true" fillcolor="#e2e2e2" stroked="false">
              <v:fill type="solid"/>
            </v:rect>
            <v:line style="position:absolute" from="2727,231" to="3144,231" stroked="true" strokeweight=".23999pt" strokecolor="#e2e2e2">
              <v:stroke dashstyle="solid"/>
            </v:line>
            <v:rect style="position:absolute;left:3144;top:228;width:5;height:5" filled="true" fillcolor="#e2e2e2" stroked="false">
              <v:fill type="solid"/>
            </v:rect>
            <v:rect style="position:absolute;left:3144;top:228;width:5;height:5" filled="true" fillcolor="#e2e2e2" stroked="false">
              <v:fill type="solid"/>
            </v:rect>
            <w10:wrap type="topAndBottom"/>
          </v:group>
        </w:pict>
      </w:r>
    </w:p>
    <w:p>
      <w:pPr>
        <w:spacing w:before="18"/>
        <w:ind w:left="1128" w:right="1494" w:firstLine="453"/>
        <w:jc w:val="left"/>
        <w:rPr>
          <w:sz w:val="16"/>
        </w:rPr>
      </w:pPr>
      <w:r>
        <w:rPr>
          <w:position w:val="6"/>
          <w:sz w:val="10"/>
        </w:rPr>
        <w:t>4 </w:t>
      </w:r>
      <w:r>
        <w:rPr>
          <w:sz w:val="16"/>
        </w:rPr>
        <w:t>Che reca disposizioni integrative e correttive al decreto legislativo n. 66/2017, previsto dalla legge n. 180/2015.</w:t>
      </w:r>
    </w:p>
    <w:p>
      <w:pPr>
        <w:spacing w:line="186" w:lineRule="exact" w:before="0"/>
        <w:ind w:left="1582" w:right="0" w:firstLine="0"/>
        <w:jc w:val="left"/>
        <w:rPr>
          <w:sz w:val="16"/>
        </w:rPr>
      </w:pPr>
      <w:r>
        <w:rPr>
          <w:position w:val="6"/>
          <w:sz w:val="10"/>
        </w:rPr>
        <w:t>5 </w:t>
      </w:r>
      <w:r>
        <w:rPr>
          <w:sz w:val="16"/>
        </w:rPr>
        <w:t>A valere sul fondo di cui all’articolo 1 comma 95 della legge di bilancio per il 2019.</w:t>
      </w:r>
    </w:p>
    <w:p>
      <w:pPr>
        <w:spacing w:after="0" w:line="186" w:lineRule="exact"/>
        <w:jc w:val="left"/>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278" w:right="2264"/>
        <w:jc w:val="both"/>
      </w:pPr>
      <w:r>
        <w:rPr/>
        <w:t>incentivo all’utilizzo di fonti rinnovabili. Tale impegno non sarà comunque perseguito a discapito della realizzazione degli interventi necessari alla tutela del territorio e alla difesa della biodiversità e di quelli relativi alle reti comunicazione e di connessione, senza i quali l’innovazione non potrebbe svilupparsi.</w:t>
      </w:r>
    </w:p>
    <w:p>
      <w:pPr>
        <w:pStyle w:val="BodyText"/>
        <w:spacing w:before="9"/>
        <w:rPr>
          <w:sz w:val="33"/>
        </w:rPr>
      </w:pPr>
    </w:p>
    <w:p>
      <w:pPr>
        <w:pStyle w:val="Heading5"/>
        <w:ind w:left="278"/>
        <w:jc w:val="left"/>
      </w:pPr>
      <w:r>
        <w:rPr/>
        <w:t>Infrastrutture</w:t>
      </w:r>
    </w:p>
    <w:p>
      <w:pPr>
        <w:spacing w:line="232" w:lineRule="auto" w:before="156"/>
        <w:ind w:left="278" w:right="2265" w:firstLine="0"/>
        <w:jc w:val="both"/>
        <w:rPr>
          <w:rFonts w:ascii="Franklin Gothic Book" w:hAnsi="Franklin Gothic Book"/>
          <w:sz w:val="20"/>
        </w:rPr>
      </w:pPr>
      <w:r>
        <w:rPr/>
        <w:pict>
          <v:line style="position:absolute;mso-position-horizontal-relative:page;mso-position-vertical-relative:paragraph;z-index:-251446272;mso-wrap-distance-left:0;mso-wrap-distance-right:0" from="69.503998pt,68.650078pt" to="483.453998pt,68.650078pt" stroked="true" strokeweight="1.44pt" strokecolor="#006247">
            <v:stroke dashstyle="solid"/>
            <w10:wrap type="topAndBottom"/>
          </v:line>
        </w:pict>
      </w:r>
      <w:r>
        <w:rPr>
          <w:rFonts w:ascii="Franklin Gothic Heavy" w:hAnsi="Franklin Gothic Heavy"/>
          <w:b/>
          <w:color w:val="006247"/>
          <w:sz w:val="20"/>
        </w:rPr>
        <w:t>LINEE PROGRAMMATICHE: </w:t>
      </w:r>
      <w:r>
        <w:rPr>
          <w:rFonts w:ascii="Franklin Gothic Book" w:hAnsi="Franklin Gothic Book"/>
          <w:sz w:val="20"/>
        </w:rPr>
        <w:t>Le potenzialità del sistema produttivo verranno valorizzate sia con politiche</w:t>
      </w:r>
      <w:r>
        <w:rPr>
          <w:rFonts w:ascii="Franklin Gothic Book" w:hAnsi="Franklin Gothic Book"/>
          <w:spacing w:val="-16"/>
          <w:sz w:val="20"/>
        </w:rPr>
        <w:t> </w:t>
      </w:r>
      <w:r>
        <w:rPr>
          <w:rFonts w:ascii="Franklin Gothic Book" w:hAnsi="Franklin Gothic Book"/>
          <w:sz w:val="20"/>
        </w:rPr>
        <w:t>di</w:t>
      </w:r>
      <w:r>
        <w:rPr>
          <w:rFonts w:ascii="Franklin Gothic Book" w:hAnsi="Franklin Gothic Book"/>
          <w:spacing w:val="-14"/>
          <w:sz w:val="20"/>
        </w:rPr>
        <w:t> </w:t>
      </w:r>
      <w:r>
        <w:rPr>
          <w:rFonts w:ascii="Franklin Gothic Book" w:hAnsi="Franklin Gothic Book"/>
          <w:sz w:val="20"/>
        </w:rPr>
        <w:t>intervento</w:t>
      </w:r>
      <w:r>
        <w:rPr>
          <w:rFonts w:ascii="Franklin Gothic Book" w:hAnsi="Franklin Gothic Book"/>
          <w:spacing w:val="-14"/>
          <w:sz w:val="20"/>
        </w:rPr>
        <w:t> </w:t>
      </w:r>
      <w:r>
        <w:rPr>
          <w:rFonts w:ascii="Franklin Gothic Book" w:hAnsi="Franklin Gothic Book"/>
          <w:sz w:val="20"/>
        </w:rPr>
        <w:t>infrastrutturale,</w:t>
      </w:r>
      <w:r>
        <w:rPr>
          <w:rFonts w:ascii="Franklin Gothic Book" w:hAnsi="Franklin Gothic Book"/>
          <w:spacing w:val="-15"/>
          <w:sz w:val="20"/>
        </w:rPr>
        <w:t> </w:t>
      </w:r>
      <w:r>
        <w:rPr>
          <w:rFonts w:ascii="Franklin Gothic Book" w:hAnsi="Franklin Gothic Book"/>
          <w:sz w:val="20"/>
        </w:rPr>
        <w:t>sia</w:t>
      </w:r>
      <w:r>
        <w:rPr>
          <w:rFonts w:ascii="Franklin Gothic Book" w:hAnsi="Franklin Gothic Book"/>
          <w:spacing w:val="-16"/>
          <w:sz w:val="20"/>
        </w:rPr>
        <w:t> </w:t>
      </w:r>
      <w:r>
        <w:rPr>
          <w:rFonts w:ascii="Franklin Gothic Book" w:hAnsi="Franklin Gothic Book"/>
          <w:sz w:val="20"/>
        </w:rPr>
        <w:t>con</w:t>
      </w:r>
      <w:r>
        <w:rPr>
          <w:rFonts w:ascii="Franklin Gothic Book" w:hAnsi="Franklin Gothic Book"/>
          <w:spacing w:val="-13"/>
          <w:sz w:val="20"/>
        </w:rPr>
        <w:t> </w:t>
      </w:r>
      <w:r>
        <w:rPr>
          <w:rFonts w:ascii="Franklin Gothic Book" w:hAnsi="Franklin Gothic Book"/>
          <w:sz w:val="20"/>
        </w:rPr>
        <w:t>azioni</w:t>
      </w:r>
      <w:r>
        <w:rPr>
          <w:rFonts w:ascii="Franklin Gothic Book" w:hAnsi="Franklin Gothic Book"/>
          <w:spacing w:val="-16"/>
          <w:sz w:val="20"/>
        </w:rPr>
        <w:t> </w:t>
      </w:r>
      <w:r>
        <w:rPr>
          <w:rFonts w:ascii="Franklin Gothic Book" w:hAnsi="Franklin Gothic Book"/>
          <w:sz w:val="20"/>
        </w:rPr>
        <w:t>di</w:t>
      </w:r>
      <w:r>
        <w:rPr>
          <w:rFonts w:ascii="Franklin Gothic Book" w:hAnsi="Franklin Gothic Book"/>
          <w:spacing w:val="-14"/>
          <w:sz w:val="20"/>
        </w:rPr>
        <w:t> </w:t>
      </w:r>
      <w:r>
        <w:rPr>
          <w:rFonts w:ascii="Franklin Gothic Book" w:hAnsi="Franklin Gothic Book"/>
          <w:sz w:val="20"/>
        </w:rPr>
        <w:t>potenziamento</w:t>
      </w:r>
      <w:r>
        <w:rPr>
          <w:rFonts w:ascii="Franklin Gothic Book" w:hAnsi="Franklin Gothic Book"/>
          <w:spacing w:val="-13"/>
          <w:sz w:val="20"/>
        </w:rPr>
        <w:t> </w:t>
      </w:r>
      <w:r>
        <w:rPr>
          <w:rFonts w:ascii="Franklin Gothic Book" w:hAnsi="Franklin Gothic Book"/>
          <w:sz w:val="20"/>
        </w:rPr>
        <w:t>dell’innovazione.</w:t>
      </w:r>
      <w:r>
        <w:rPr>
          <w:rFonts w:ascii="Franklin Gothic Book" w:hAnsi="Franklin Gothic Book"/>
          <w:spacing w:val="-11"/>
          <w:sz w:val="20"/>
        </w:rPr>
        <w:t> </w:t>
      </w:r>
      <w:r>
        <w:rPr>
          <w:rFonts w:ascii="Franklin Gothic Book" w:hAnsi="Franklin Gothic Book"/>
          <w:sz w:val="20"/>
        </w:rPr>
        <w:t>Per</w:t>
      </w:r>
      <w:r>
        <w:rPr>
          <w:rFonts w:ascii="Franklin Gothic Book" w:hAnsi="Franklin Gothic Book"/>
          <w:spacing w:val="-14"/>
          <w:sz w:val="20"/>
        </w:rPr>
        <w:t> </w:t>
      </w:r>
      <w:r>
        <w:rPr>
          <w:rFonts w:ascii="Franklin Gothic Book" w:hAnsi="Franklin Gothic Book"/>
          <w:sz w:val="20"/>
        </w:rPr>
        <w:t>quanto riguarda le infrastrutture, l’obiettivo è creare un sistema moderno, integrato e sicuro che tenga conto dei connessi impatti sociali ed ambientali e che migliori drasticamente il potenziale produttivo del Sud e sostenga la ripresa delle zone</w:t>
      </w:r>
      <w:r>
        <w:rPr>
          <w:rFonts w:ascii="Franklin Gothic Book" w:hAnsi="Franklin Gothic Book"/>
          <w:spacing w:val="-4"/>
          <w:sz w:val="20"/>
        </w:rPr>
        <w:t> </w:t>
      </w:r>
      <w:r>
        <w:rPr>
          <w:rFonts w:ascii="Franklin Gothic Book" w:hAnsi="Franklin Gothic Book"/>
          <w:sz w:val="20"/>
        </w:rPr>
        <w:t>terremotate.</w:t>
      </w:r>
    </w:p>
    <w:p>
      <w:pPr>
        <w:pStyle w:val="BodyText"/>
        <w:spacing w:before="6"/>
        <w:rPr>
          <w:rFonts w:ascii="Franklin Gothic Book"/>
          <w:sz w:val="11"/>
        </w:rPr>
      </w:pPr>
    </w:p>
    <w:p>
      <w:pPr>
        <w:pStyle w:val="BodyText"/>
        <w:spacing w:line="247" w:lineRule="auto" w:before="101"/>
        <w:ind w:left="278" w:right="2260" w:firstLine="453"/>
        <w:jc w:val="both"/>
      </w:pPr>
      <w:r>
        <w:rPr/>
        <w:t>È intendimento del Governo rilanciare gli investimenti, sia pubblici sia privati, anche intervenendo sul complesso delle disposizioni normative con l’obiettivo di introdurre, nel rispetto delle direttive europee, strumenti di flessibilità che consentano la celerità delle procedure e la semplificazione documentale. Saranno riviste alcune disposizioni del Codice degli Appalti al fine di ottenere un quadro giuridico più lineare, che riduca l’incertezza interpretativa e applicativa. delineando chiaramente le responsabilità degli amministratori.</w:t>
      </w:r>
    </w:p>
    <w:p>
      <w:pPr>
        <w:pStyle w:val="BodyText"/>
        <w:spacing w:line="244" w:lineRule="auto"/>
        <w:ind w:left="278" w:right="2263" w:firstLine="453"/>
        <w:jc w:val="both"/>
      </w:pPr>
      <w:r>
        <w:rPr/>
        <w:t>Saranno inoltre adottate misure normative e amministrative per garantire la sicurezza dei luoghi di lavoro.</w:t>
      </w:r>
    </w:p>
    <w:p>
      <w:pPr>
        <w:pStyle w:val="BodyText"/>
        <w:spacing w:line="247" w:lineRule="auto" w:before="4"/>
        <w:ind w:left="278" w:right="2259" w:firstLine="453"/>
        <w:jc w:val="both"/>
        <w:rPr>
          <w:b/>
        </w:rPr>
      </w:pPr>
      <w:r>
        <w:rPr/>
        <w:t>Le modifiche apportate con il recente decreto ‘Sblocca Cantieri’ saranno oggetto di un costante monitoraggio per verificare il concreto impatto al fine di introdurre correttivi o integrazioni coerentemente con l’obiettivo di accelerare gli interventi</w:t>
      </w:r>
      <w:r>
        <w:rPr>
          <w:spacing w:val="-16"/>
        </w:rPr>
        <w:t> </w:t>
      </w:r>
      <w:r>
        <w:rPr/>
        <w:t>programmati</w:t>
      </w:r>
      <w:r>
        <w:rPr>
          <w:spacing w:val="-15"/>
        </w:rPr>
        <w:t> </w:t>
      </w:r>
      <w:r>
        <w:rPr/>
        <w:t>e</w:t>
      </w:r>
      <w:r>
        <w:rPr>
          <w:spacing w:val="-15"/>
        </w:rPr>
        <w:t> </w:t>
      </w:r>
      <w:r>
        <w:rPr/>
        <w:t>in</w:t>
      </w:r>
      <w:r>
        <w:rPr>
          <w:spacing w:val="-18"/>
        </w:rPr>
        <w:t> </w:t>
      </w:r>
      <w:r>
        <w:rPr/>
        <w:t>corso</w:t>
      </w:r>
      <w:r>
        <w:rPr>
          <w:spacing w:val="-18"/>
        </w:rPr>
        <w:t> </w:t>
      </w:r>
      <w:r>
        <w:rPr/>
        <w:t>di</w:t>
      </w:r>
      <w:r>
        <w:rPr>
          <w:spacing w:val="-16"/>
        </w:rPr>
        <w:t> </w:t>
      </w:r>
      <w:r>
        <w:rPr/>
        <w:t>realizzazione,</w:t>
      </w:r>
      <w:r>
        <w:rPr>
          <w:spacing w:val="-17"/>
        </w:rPr>
        <w:t> </w:t>
      </w:r>
      <w:r>
        <w:rPr/>
        <w:t>contrastando,</w:t>
      </w:r>
      <w:r>
        <w:rPr>
          <w:spacing w:val="-14"/>
        </w:rPr>
        <w:t> </w:t>
      </w:r>
      <w:r>
        <w:rPr/>
        <w:t>comunque,</w:t>
      </w:r>
      <w:r>
        <w:rPr>
          <w:spacing w:val="-16"/>
        </w:rPr>
        <w:t> </w:t>
      </w:r>
      <w:r>
        <w:rPr/>
        <w:t>in</w:t>
      </w:r>
      <w:r>
        <w:rPr>
          <w:spacing w:val="-18"/>
        </w:rPr>
        <w:t> </w:t>
      </w:r>
      <w:r>
        <w:rPr/>
        <w:t>ogni fase del procedimento, la corruzione e il pericolo di infiltrazioni della criminalità organizzata</w:t>
      </w:r>
      <w:r>
        <w:rPr>
          <w:b/>
        </w:rPr>
        <w:t>.</w:t>
      </w:r>
    </w:p>
    <w:p>
      <w:pPr>
        <w:pStyle w:val="BodyText"/>
        <w:spacing w:line="247" w:lineRule="auto"/>
        <w:ind w:left="278" w:right="2263" w:firstLine="453"/>
        <w:jc w:val="both"/>
      </w:pPr>
      <w:r>
        <w:rPr/>
        <w:t>È</w:t>
      </w:r>
      <w:r>
        <w:rPr>
          <w:spacing w:val="-6"/>
        </w:rPr>
        <w:t> </w:t>
      </w:r>
      <w:r>
        <w:rPr/>
        <w:t>inoltre</w:t>
      </w:r>
      <w:r>
        <w:rPr>
          <w:spacing w:val="-5"/>
        </w:rPr>
        <w:t> </w:t>
      </w:r>
      <w:r>
        <w:rPr/>
        <w:t>intendimento</w:t>
      </w:r>
      <w:r>
        <w:rPr>
          <w:spacing w:val="-5"/>
        </w:rPr>
        <w:t> </w:t>
      </w:r>
      <w:r>
        <w:rPr/>
        <w:t>del</w:t>
      </w:r>
      <w:r>
        <w:rPr>
          <w:spacing w:val="-6"/>
        </w:rPr>
        <w:t> </w:t>
      </w:r>
      <w:r>
        <w:rPr/>
        <w:t>Governo</w:t>
      </w:r>
      <w:r>
        <w:rPr>
          <w:spacing w:val="-6"/>
        </w:rPr>
        <w:t> </w:t>
      </w:r>
      <w:r>
        <w:rPr/>
        <w:t>intervenire</w:t>
      </w:r>
      <w:r>
        <w:rPr>
          <w:spacing w:val="-5"/>
        </w:rPr>
        <w:t> </w:t>
      </w:r>
      <w:r>
        <w:rPr/>
        <w:t>sul</w:t>
      </w:r>
      <w:r>
        <w:rPr>
          <w:spacing w:val="-5"/>
        </w:rPr>
        <w:t> </w:t>
      </w:r>
      <w:r>
        <w:rPr/>
        <w:t>Testo</w:t>
      </w:r>
      <w:r>
        <w:rPr>
          <w:spacing w:val="-5"/>
        </w:rPr>
        <w:t> </w:t>
      </w:r>
      <w:r>
        <w:rPr/>
        <w:t>Unico</w:t>
      </w:r>
      <w:r>
        <w:rPr>
          <w:spacing w:val="-6"/>
        </w:rPr>
        <w:t> </w:t>
      </w:r>
      <w:r>
        <w:rPr/>
        <w:t>dell’edilizia,</w:t>
      </w:r>
      <w:r>
        <w:rPr>
          <w:spacing w:val="-4"/>
        </w:rPr>
        <w:t> </w:t>
      </w:r>
      <w:r>
        <w:rPr/>
        <w:t>al fine di razionalizzare, semplificare e sistematizzare, la disciplina attinente all’edilizia, alla sicurezza e alla sostenibilità ambientale delle costruzioni, nonché per</w:t>
      </w:r>
      <w:r>
        <w:rPr>
          <w:spacing w:val="-8"/>
        </w:rPr>
        <w:t> </w:t>
      </w:r>
      <w:r>
        <w:rPr/>
        <w:t>favorire</w:t>
      </w:r>
      <w:r>
        <w:rPr>
          <w:spacing w:val="-11"/>
        </w:rPr>
        <w:t> </w:t>
      </w:r>
      <w:r>
        <w:rPr/>
        <w:t>i</w:t>
      </w:r>
      <w:r>
        <w:rPr>
          <w:spacing w:val="-9"/>
        </w:rPr>
        <w:t> </w:t>
      </w:r>
      <w:r>
        <w:rPr/>
        <w:t>processi</w:t>
      </w:r>
      <w:r>
        <w:rPr>
          <w:spacing w:val="-9"/>
        </w:rPr>
        <w:t> </w:t>
      </w:r>
      <w:r>
        <w:rPr/>
        <w:t>di</w:t>
      </w:r>
      <w:r>
        <w:rPr>
          <w:spacing w:val="-14"/>
        </w:rPr>
        <w:t> </w:t>
      </w:r>
      <w:r>
        <w:rPr/>
        <w:t>riduzione</w:t>
      </w:r>
      <w:r>
        <w:rPr>
          <w:spacing w:val="-10"/>
        </w:rPr>
        <w:t> </w:t>
      </w:r>
      <w:r>
        <w:rPr/>
        <w:t>del</w:t>
      </w:r>
      <w:r>
        <w:rPr>
          <w:spacing w:val="-12"/>
        </w:rPr>
        <w:t> </w:t>
      </w:r>
      <w:r>
        <w:rPr/>
        <w:t>consumo</w:t>
      </w:r>
      <w:r>
        <w:rPr>
          <w:spacing w:val="-9"/>
        </w:rPr>
        <w:t> </w:t>
      </w:r>
      <w:r>
        <w:rPr/>
        <w:t>del</w:t>
      </w:r>
      <w:r>
        <w:rPr>
          <w:spacing w:val="-9"/>
        </w:rPr>
        <w:t> </w:t>
      </w:r>
      <w:r>
        <w:rPr/>
        <w:t>suolo</w:t>
      </w:r>
      <w:r>
        <w:rPr>
          <w:spacing w:val="-10"/>
        </w:rPr>
        <w:t> </w:t>
      </w:r>
      <w:r>
        <w:rPr/>
        <w:t>e</w:t>
      </w:r>
      <w:r>
        <w:rPr>
          <w:spacing w:val="-9"/>
        </w:rPr>
        <w:t> </w:t>
      </w:r>
      <w:r>
        <w:rPr/>
        <w:t>di</w:t>
      </w:r>
      <w:r>
        <w:rPr>
          <w:spacing w:val="-11"/>
        </w:rPr>
        <w:t> </w:t>
      </w:r>
      <w:r>
        <w:rPr/>
        <w:t>rigenerazione</w:t>
      </w:r>
      <w:r>
        <w:rPr>
          <w:spacing w:val="-10"/>
        </w:rPr>
        <w:t> </w:t>
      </w:r>
      <w:r>
        <w:rPr/>
        <w:t>urbana. Per le medesime finalità e nel quadro delle competenze definite dal Titolo V della Costituzione, si ritiene opportuno assumere iniziative anche relativamente alle materie dell’urbanistica e del governo del</w:t>
      </w:r>
      <w:r>
        <w:rPr>
          <w:spacing w:val="-5"/>
        </w:rPr>
        <w:t> </w:t>
      </w:r>
      <w:r>
        <w:rPr/>
        <w:t>territorio.</w:t>
      </w:r>
    </w:p>
    <w:p>
      <w:pPr>
        <w:pStyle w:val="BodyText"/>
        <w:spacing w:line="247" w:lineRule="auto"/>
        <w:ind w:left="278" w:right="2261" w:firstLine="453"/>
        <w:jc w:val="both"/>
      </w:pPr>
      <w:r>
        <w:rPr/>
        <w:t>Nell’ambito</w:t>
      </w:r>
      <w:r>
        <w:rPr>
          <w:spacing w:val="-11"/>
        </w:rPr>
        <w:t> </w:t>
      </w:r>
      <w:r>
        <w:rPr/>
        <w:t>delle</w:t>
      </w:r>
      <w:r>
        <w:rPr>
          <w:spacing w:val="-10"/>
        </w:rPr>
        <w:t> </w:t>
      </w:r>
      <w:r>
        <w:rPr/>
        <w:t>iniziative</w:t>
      </w:r>
      <w:r>
        <w:rPr>
          <w:spacing w:val="-9"/>
        </w:rPr>
        <w:t> </w:t>
      </w:r>
      <w:r>
        <w:rPr/>
        <w:t>di</w:t>
      </w:r>
      <w:r>
        <w:rPr>
          <w:spacing w:val="-11"/>
        </w:rPr>
        <w:t> </w:t>
      </w:r>
      <w:r>
        <w:rPr/>
        <w:t>promozione</w:t>
      </w:r>
      <w:r>
        <w:rPr>
          <w:spacing w:val="-10"/>
        </w:rPr>
        <w:t> </w:t>
      </w:r>
      <w:r>
        <w:rPr/>
        <w:t>e</w:t>
      </w:r>
      <w:r>
        <w:rPr>
          <w:spacing w:val="-10"/>
        </w:rPr>
        <w:t> </w:t>
      </w:r>
      <w:r>
        <w:rPr/>
        <w:t>attuazione</w:t>
      </w:r>
      <w:r>
        <w:rPr>
          <w:spacing w:val="-11"/>
        </w:rPr>
        <w:t> </w:t>
      </w:r>
      <w:r>
        <w:rPr/>
        <w:t>di</w:t>
      </w:r>
      <w:r>
        <w:rPr>
          <w:spacing w:val="-10"/>
        </w:rPr>
        <w:t> </w:t>
      </w:r>
      <w:r>
        <w:rPr/>
        <w:t>piani</w:t>
      </w:r>
      <w:r>
        <w:rPr>
          <w:spacing w:val="-11"/>
        </w:rPr>
        <w:t> </w:t>
      </w:r>
      <w:r>
        <w:rPr/>
        <w:t>e</w:t>
      </w:r>
      <w:r>
        <w:rPr>
          <w:spacing w:val="-10"/>
        </w:rPr>
        <w:t> </w:t>
      </w:r>
      <w:r>
        <w:rPr/>
        <w:t>programmi</w:t>
      </w:r>
      <w:r>
        <w:rPr>
          <w:spacing w:val="-9"/>
        </w:rPr>
        <w:t> </w:t>
      </w:r>
      <w:r>
        <w:rPr/>
        <w:t>di investimento infrastrutturale, sono stati definiti con il DPCM del 15 aprile 2019 gli aspetti organizzativi e funzionali della Centrale per la progettazione di beni ed edifici pubblici, collocata presso l’Agenzia del Demanio. È ora urgente rendere operativa la Centrale, diffonderne la conoscenza presso le Amministrazioni locali e regionali e verificarne in seguito l’incisività e i risultati</w:t>
      </w:r>
      <w:r>
        <w:rPr>
          <w:spacing w:val="-16"/>
        </w:rPr>
        <w:t> </w:t>
      </w:r>
      <w:r>
        <w:rPr/>
        <w:t>conseguiti.</w:t>
      </w:r>
    </w:p>
    <w:p>
      <w:pPr>
        <w:pStyle w:val="BodyText"/>
        <w:spacing w:line="247" w:lineRule="auto"/>
        <w:ind w:left="278" w:right="2261" w:firstLine="453"/>
        <w:jc w:val="both"/>
      </w:pPr>
      <w:r>
        <w:rPr/>
        <w:t>Il Governo intende inoltre accelerare l’attuazione delle recenti delibere del CIPE in materia di infrastrutture, ambiente, politiche di coesione. Sono prioritari il piano per la manutenzione straordinaria dei ponti, viadotti e gallerie previsto nell’aggiornamento del Contratto di programma 2016-2020 fra MIT e ANAS (36 miliardi di investimenti) e gli investimenti sulla rete ferroviaria inclusi nell’aggiornamento del Contratto di Programma di RFI per il 2017-2021. Questi ultimi hanno l’obiettivo di realizzare un programma di intermodalità integrato che renda il sistema ferroviario un punto di collegamento tra i porti e gli aeroporti</w:t>
      </w:r>
    </w:p>
    <w:p>
      <w:pPr>
        <w:spacing w:after="0" w:line="247" w:lineRule="auto"/>
        <w:jc w:val="both"/>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47" w:lineRule="auto" w:before="101"/>
        <w:ind w:left="1128" w:right="1413" w:firstLine="453"/>
        <w:jc w:val="both"/>
      </w:pPr>
      <w:r>
        <w:rPr/>
        <w:t>Ulteriore slancio alle priorità nazionali per indirizzare gli investimenti può venire</w:t>
      </w:r>
      <w:r>
        <w:rPr>
          <w:spacing w:val="-18"/>
        </w:rPr>
        <w:t> </w:t>
      </w:r>
      <w:r>
        <w:rPr/>
        <w:t>dall’accesso</w:t>
      </w:r>
      <w:r>
        <w:rPr>
          <w:spacing w:val="-18"/>
        </w:rPr>
        <w:t> </w:t>
      </w:r>
      <w:r>
        <w:rPr/>
        <w:t>ai</w:t>
      </w:r>
      <w:r>
        <w:rPr>
          <w:spacing w:val="-19"/>
        </w:rPr>
        <w:t> </w:t>
      </w:r>
      <w:r>
        <w:rPr/>
        <w:t>finanziamenti</w:t>
      </w:r>
      <w:r>
        <w:rPr>
          <w:spacing w:val="-18"/>
        </w:rPr>
        <w:t> </w:t>
      </w:r>
      <w:r>
        <w:rPr/>
        <w:t>europei.</w:t>
      </w:r>
      <w:r>
        <w:rPr>
          <w:spacing w:val="-17"/>
        </w:rPr>
        <w:t> </w:t>
      </w:r>
      <w:r>
        <w:rPr/>
        <w:t>È</w:t>
      </w:r>
      <w:r>
        <w:rPr>
          <w:spacing w:val="-18"/>
        </w:rPr>
        <w:t> </w:t>
      </w:r>
      <w:r>
        <w:rPr/>
        <w:t>intendimento</w:t>
      </w:r>
      <w:r>
        <w:rPr>
          <w:spacing w:val="-19"/>
        </w:rPr>
        <w:t> </w:t>
      </w:r>
      <w:r>
        <w:rPr/>
        <w:t>del</w:t>
      </w:r>
      <w:r>
        <w:rPr>
          <w:spacing w:val="-17"/>
        </w:rPr>
        <w:t> </w:t>
      </w:r>
      <w:r>
        <w:rPr/>
        <w:t>Governo</w:t>
      </w:r>
      <w:r>
        <w:rPr>
          <w:spacing w:val="-17"/>
        </w:rPr>
        <w:t> </w:t>
      </w:r>
      <w:r>
        <w:rPr/>
        <w:t>procedere all’ulteriore sviluppo delle reti di trasporto transeuropee (TEN-T), concentrandosi su</w:t>
      </w:r>
      <w:r>
        <w:rPr>
          <w:spacing w:val="-18"/>
        </w:rPr>
        <w:t> </w:t>
      </w:r>
      <w:r>
        <w:rPr/>
        <w:t>progetti</w:t>
      </w:r>
      <w:r>
        <w:rPr>
          <w:spacing w:val="-19"/>
        </w:rPr>
        <w:t> </w:t>
      </w:r>
      <w:r>
        <w:rPr/>
        <w:t>transfrontalieri</w:t>
      </w:r>
      <w:r>
        <w:rPr>
          <w:spacing w:val="-16"/>
        </w:rPr>
        <w:t> </w:t>
      </w:r>
      <w:r>
        <w:rPr/>
        <w:t>ad</w:t>
      </w:r>
      <w:r>
        <w:rPr>
          <w:spacing w:val="-18"/>
        </w:rPr>
        <w:t> </w:t>
      </w:r>
      <w:r>
        <w:rPr/>
        <w:t>alto</w:t>
      </w:r>
      <w:r>
        <w:rPr>
          <w:spacing w:val="-18"/>
        </w:rPr>
        <w:t> </w:t>
      </w:r>
      <w:r>
        <w:rPr/>
        <w:t>valore</w:t>
      </w:r>
      <w:r>
        <w:rPr>
          <w:spacing w:val="-17"/>
        </w:rPr>
        <w:t> </w:t>
      </w:r>
      <w:r>
        <w:rPr/>
        <w:t>aggiunto.</w:t>
      </w:r>
      <w:r>
        <w:rPr>
          <w:spacing w:val="-16"/>
        </w:rPr>
        <w:t> </w:t>
      </w:r>
      <w:r>
        <w:rPr/>
        <w:t>In</w:t>
      </w:r>
      <w:r>
        <w:rPr>
          <w:spacing w:val="-20"/>
        </w:rPr>
        <w:t> </w:t>
      </w:r>
      <w:r>
        <w:rPr/>
        <w:t>considerazione</w:t>
      </w:r>
      <w:r>
        <w:rPr>
          <w:spacing w:val="-18"/>
        </w:rPr>
        <w:t> </w:t>
      </w:r>
      <w:r>
        <w:rPr/>
        <w:t>della</w:t>
      </w:r>
      <w:r>
        <w:rPr>
          <w:spacing w:val="-18"/>
        </w:rPr>
        <w:t> </w:t>
      </w:r>
      <w:r>
        <w:rPr/>
        <w:t>rilevanza delle sinergie tra i settori dei trasporti, energia e digitale, nonché della necessità di promuovere azioni intersettoriali che consentano l’intervento in ambiti quali la mobilità connessa e automatizzata o a favore dell’adozione di carburanti alternativi, si attuerà il Programma ‘</w:t>
      </w:r>
      <w:r>
        <w:rPr>
          <w:i/>
        </w:rPr>
        <w:t>Connecting Europe Facility</w:t>
      </w:r>
      <w:r>
        <w:rPr>
          <w:i/>
          <w:spacing w:val="-13"/>
        </w:rPr>
        <w:t> </w:t>
      </w:r>
      <w:r>
        <w:rPr/>
        <w:t>(CEF)’.</w:t>
      </w:r>
    </w:p>
    <w:p>
      <w:pPr>
        <w:pStyle w:val="BodyText"/>
        <w:spacing w:line="247" w:lineRule="auto"/>
        <w:ind w:left="1128" w:right="1411" w:firstLine="453"/>
        <w:jc w:val="both"/>
      </w:pPr>
      <w:r>
        <w:rPr/>
        <w:t>In quest’ottica, interviene anche il Programma Operativo Nazionale Infrastrutture e Reti 2014-2020, co-finanziato con risorse FESR. Il PON prevede interventi a favore dello sviluppo delle infrastrutture di trasporto delle Regioni del Sud, attraverso la destinazione di risorse a vantaggio del potenziamento delle reti ferroviarie, dei collegamenti di ultimo miglio a porti e aeroporti, della mobilità sostenibile e degli ITS. Particolare attenzione è posta ai progetti in corso, e alla realizzazione di investimenti lungo la rete TEN–T, incluse le direttrici prioritarie di sviluppo della rete centrale presenti nel Mezzogiorno, quali gli itinerari Napoli-Bari e Messina-Catania-Palermo. Il Governo, inoltre, intende massimizzare le opportunità</w:t>
      </w:r>
      <w:r>
        <w:rPr>
          <w:spacing w:val="-13"/>
        </w:rPr>
        <w:t> </w:t>
      </w:r>
      <w:r>
        <w:rPr/>
        <w:t>di</w:t>
      </w:r>
      <w:r>
        <w:rPr>
          <w:spacing w:val="-13"/>
        </w:rPr>
        <w:t> </w:t>
      </w:r>
      <w:r>
        <w:rPr/>
        <w:t>investimento</w:t>
      </w:r>
      <w:r>
        <w:rPr>
          <w:spacing w:val="-13"/>
        </w:rPr>
        <w:t> </w:t>
      </w:r>
      <w:r>
        <w:rPr/>
        <w:t>che</w:t>
      </w:r>
      <w:r>
        <w:rPr>
          <w:spacing w:val="-13"/>
        </w:rPr>
        <w:t> </w:t>
      </w:r>
      <w:r>
        <w:rPr/>
        <w:t>si</w:t>
      </w:r>
      <w:r>
        <w:rPr>
          <w:spacing w:val="-13"/>
        </w:rPr>
        <w:t> </w:t>
      </w:r>
      <w:r>
        <w:rPr/>
        <w:t>renderanno</w:t>
      </w:r>
      <w:r>
        <w:rPr>
          <w:spacing w:val="-14"/>
        </w:rPr>
        <w:t> </w:t>
      </w:r>
      <w:r>
        <w:rPr/>
        <w:t>disponibili</w:t>
      </w:r>
      <w:r>
        <w:rPr>
          <w:spacing w:val="-13"/>
        </w:rPr>
        <w:t> </w:t>
      </w:r>
      <w:r>
        <w:rPr/>
        <w:t>nell’ambito</w:t>
      </w:r>
      <w:r>
        <w:rPr>
          <w:spacing w:val="-13"/>
        </w:rPr>
        <w:t> </w:t>
      </w:r>
      <w:r>
        <w:rPr/>
        <w:t>del</w:t>
      </w:r>
      <w:r>
        <w:rPr>
          <w:spacing w:val="-10"/>
        </w:rPr>
        <w:t> </w:t>
      </w:r>
      <w:r>
        <w:rPr/>
        <w:t>periodo</w:t>
      </w:r>
      <w:r>
        <w:rPr>
          <w:spacing w:val="-14"/>
        </w:rPr>
        <w:t> </w:t>
      </w:r>
      <w:r>
        <w:rPr/>
        <w:t>di programmazione 2021-2027, attraverso l’impiego strategico dei Fondi Strutturali e di Investimento Europei (SIE) secondo le priorità di investimento nazionali, coerentemente con gli indirizzi di politica dei trasporti di matrice</w:t>
      </w:r>
      <w:r>
        <w:rPr>
          <w:spacing w:val="-21"/>
        </w:rPr>
        <w:t> </w:t>
      </w:r>
      <w:r>
        <w:rPr/>
        <w:t>europea.</w:t>
      </w:r>
    </w:p>
    <w:p>
      <w:pPr>
        <w:pStyle w:val="BodyText"/>
        <w:spacing w:line="247" w:lineRule="auto"/>
        <w:ind w:left="1128" w:right="1410" w:firstLine="453"/>
        <w:jc w:val="both"/>
      </w:pPr>
      <w:r>
        <w:rPr/>
        <w:t>Il Governo intende investire sul miglioramento della rete stradale statale in particolare per le strade di interesse nazionale, per garantire una maggiore sicurezza nella circolazione e una maggiore funzionalità delle strade, adeguandole anche all’aumentato traffico veicolare nonché al fine di costituire un valido completamento della complessiva rete stradale. Il Governo assicurerà anche gli interventi necessari a garantire la viabilità nelle aree interne e delle zone colpite dal</w:t>
      </w:r>
      <w:r>
        <w:rPr>
          <w:spacing w:val="-15"/>
        </w:rPr>
        <w:t> </w:t>
      </w:r>
      <w:r>
        <w:rPr/>
        <w:t>terremoto</w:t>
      </w:r>
      <w:r>
        <w:rPr>
          <w:spacing w:val="-15"/>
        </w:rPr>
        <w:t> </w:t>
      </w:r>
      <w:r>
        <w:rPr/>
        <w:t>del</w:t>
      </w:r>
      <w:r>
        <w:rPr>
          <w:spacing w:val="-14"/>
        </w:rPr>
        <w:t> </w:t>
      </w:r>
      <w:r>
        <w:rPr/>
        <w:t>2016,</w:t>
      </w:r>
      <w:r>
        <w:rPr>
          <w:spacing w:val="-16"/>
        </w:rPr>
        <w:t> </w:t>
      </w:r>
      <w:r>
        <w:rPr/>
        <w:t>al</w:t>
      </w:r>
      <w:r>
        <w:rPr>
          <w:spacing w:val="-14"/>
        </w:rPr>
        <w:t> </w:t>
      </w:r>
      <w:r>
        <w:rPr/>
        <w:t>fine</w:t>
      </w:r>
      <w:r>
        <w:rPr>
          <w:spacing w:val="-15"/>
        </w:rPr>
        <w:t> </w:t>
      </w:r>
      <w:r>
        <w:rPr/>
        <w:t>di</w:t>
      </w:r>
      <w:r>
        <w:rPr>
          <w:spacing w:val="-15"/>
        </w:rPr>
        <w:t> </w:t>
      </w:r>
      <w:r>
        <w:rPr/>
        <w:t>supportare</w:t>
      </w:r>
      <w:r>
        <w:rPr>
          <w:spacing w:val="-14"/>
        </w:rPr>
        <w:t> </w:t>
      </w:r>
      <w:r>
        <w:rPr/>
        <w:t>la</w:t>
      </w:r>
      <w:r>
        <w:rPr>
          <w:spacing w:val="-17"/>
        </w:rPr>
        <w:t> </w:t>
      </w:r>
      <w:r>
        <w:rPr/>
        <w:t>ripresa</w:t>
      </w:r>
      <w:r>
        <w:rPr>
          <w:spacing w:val="-14"/>
        </w:rPr>
        <w:t> </w:t>
      </w:r>
      <w:r>
        <w:rPr/>
        <w:t>economica</w:t>
      </w:r>
      <w:r>
        <w:rPr>
          <w:spacing w:val="-15"/>
        </w:rPr>
        <w:t> </w:t>
      </w:r>
      <w:r>
        <w:rPr/>
        <w:t>delle</w:t>
      </w:r>
      <w:r>
        <w:rPr>
          <w:spacing w:val="-15"/>
        </w:rPr>
        <w:t> </w:t>
      </w:r>
      <w:r>
        <w:rPr/>
        <w:t>stesse</w:t>
      </w:r>
      <w:r>
        <w:rPr>
          <w:spacing w:val="-15"/>
        </w:rPr>
        <w:t> </w:t>
      </w:r>
      <w:r>
        <w:rPr/>
        <w:t>zone. Dovrà essere assicurato un costante intervento di manutenzione ordinaria e straordinaria della rete stradale di competenza dell’ANAS che sarà soggetta a valutazione, da parte dei competenti uffici del Ministero, sulla performance organizzativa e funzionale dei servizi resi agli</w:t>
      </w:r>
      <w:r>
        <w:rPr>
          <w:spacing w:val="-8"/>
        </w:rPr>
        <w:t> </w:t>
      </w:r>
      <w:r>
        <w:rPr/>
        <w:t>utenti.</w:t>
      </w:r>
    </w:p>
    <w:p>
      <w:pPr>
        <w:pStyle w:val="BodyText"/>
        <w:spacing w:line="247" w:lineRule="auto"/>
        <w:ind w:left="1128" w:right="1414" w:firstLine="453"/>
        <w:jc w:val="both"/>
      </w:pPr>
      <w:r>
        <w:rPr/>
        <w:t>In</w:t>
      </w:r>
      <w:r>
        <w:rPr>
          <w:spacing w:val="-6"/>
        </w:rPr>
        <w:t> </w:t>
      </w:r>
      <w:r>
        <w:rPr/>
        <w:t>tale</w:t>
      </w:r>
      <w:r>
        <w:rPr>
          <w:spacing w:val="-5"/>
        </w:rPr>
        <w:t> </w:t>
      </w:r>
      <w:r>
        <w:rPr/>
        <w:t>contesto,</w:t>
      </w:r>
      <w:r>
        <w:rPr>
          <w:spacing w:val="-3"/>
        </w:rPr>
        <w:t> </w:t>
      </w:r>
      <w:r>
        <w:rPr/>
        <w:t>deve</w:t>
      </w:r>
      <w:r>
        <w:rPr>
          <w:spacing w:val="-5"/>
        </w:rPr>
        <w:t> </w:t>
      </w:r>
      <w:r>
        <w:rPr/>
        <w:t>essere</w:t>
      </w:r>
      <w:r>
        <w:rPr>
          <w:spacing w:val="-4"/>
        </w:rPr>
        <w:t> </w:t>
      </w:r>
      <w:r>
        <w:rPr/>
        <w:t>rivisto</w:t>
      </w:r>
      <w:r>
        <w:rPr>
          <w:spacing w:val="-5"/>
        </w:rPr>
        <w:t> </w:t>
      </w:r>
      <w:r>
        <w:rPr/>
        <w:t>il</w:t>
      </w:r>
      <w:r>
        <w:rPr>
          <w:spacing w:val="-5"/>
        </w:rPr>
        <w:t> </w:t>
      </w:r>
      <w:r>
        <w:rPr/>
        <w:t>sistema</w:t>
      </w:r>
      <w:r>
        <w:rPr>
          <w:spacing w:val="-5"/>
        </w:rPr>
        <w:t> </w:t>
      </w:r>
      <w:r>
        <w:rPr/>
        <w:t>delle</w:t>
      </w:r>
      <w:r>
        <w:rPr>
          <w:spacing w:val="-5"/>
        </w:rPr>
        <w:t> </w:t>
      </w:r>
      <w:r>
        <w:rPr/>
        <w:t>concessioni</w:t>
      </w:r>
      <w:r>
        <w:rPr>
          <w:spacing w:val="-5"/>
        </w:rPr>
        <w:t> </w:t>
      </w:r>
      <w:r>
        <w:rPr/>
        <w:t>autostradali</w:t>
      </w:r>
      <w:r>
        <w:rPr>
          <w:spacing w:val="-5"/>
        </w:rPr>
        <w:t> </w:t>
      </w:r>
      <w:r>
        <w:rPr/>
        <w:t>al fine di garantire la maggiore trasparenza, la competitività tra gli operatori anche al fine di perseguire il corretto equilibrio tra l’interesse pubblico e l’interesse imprenditoriale, nonché il costante miglioramento del servizio per gli utenti, alla luce anche delle delibere dell’Autorità di regolazione dei</w:t>
      </w:r>
      <w:r>
        <w:rPr>
          <w:spacing w:val="-12"/>
        </w:rPr>
        <w:t> </w:t>
      </w:r>
      <w:r>
        <w:rPr/>
        <w:t>trasporti.</w:t>
      </w:r>
    </w:p>
    <w:p>
      <w:pPr>
        <w:pStyle w:val="BodyText"/>
        <w:spacing w:line="252" w:lineRule="auto"/>
        <w:ind w:left="1128" w:right="1414" w:firstLine="453"/>
        <w:jc w:val="both"/>
      </w:pPr>
      <w:r>
        <w:rPr/>
        <w:t>La celerità e la semplificazione delle procedure, così come la riduzione degli oneri amministrativi a carico di cittadini e imprese, rappresentano una priorità anche con specifico riguardo al settore della motorizzazione. A tale fine, si darà attuazione al documento unico di circolazione, ove necessario anche reperendo le risorse, con l’obiettivo di assicurare risparmi all’utenza.</w:t>
      </w:r>
    </w:p>
    <w:p>
      <w:pPr>
        <w:pStyle w:val="BodyText"/>
        <w:spacing w:line="252" w:lineRule="auto"/>
        <w:ind w:left="1128" w:right="1411" w:firstLine="453"/>
        <w:jc w:val="both"/>
      </w:pPr>
      <w:r>
        <w:rPr/>
        <w:t>Tenuto conto dell’importanza del trasporto aereo in un Paese moderno, è fondamentale avere strutture infrastrutturali adeguate nel settore aeroportuale, per le quali è opportuno prevedere interventi specifici volti a soddisfare un flusso di passeggeri in costante aumento e trasporti cargo efficienti. Pertanto, è intenzione</w:t>
      </w:r>
      <w:r>
        <w:rPr>
          <w:spacing w:val="-13"/>
        </w:rPr>
        <w:t> </w:t>
      </w:r>
      <w:r>
        <w:rPr/>
        <w:t>del</w:t>
      </w:r>
      <w:r>
        <w:rPr>
          <w:spacing w:val="-11"/>
        </w:rPr>
        <w:t> </w:t>
      </w:r>
      <w:r>
        <w:rPr/>
        <w:t>Governo</w:t>
      </w:r>
      <w:r>
        <w:rPr>
          <w:spacing w:val="-12"/>
        </w:rPr>
        <w:t> </w:t>
      </w:r>
      <w:r>
        <w:rPr/>
        <w:t>procedere</w:t>
      </w:r>
      <w:r>
        <w:rPr>
          <w:spacing w:val="-11"/>
        </w:rPr>
        <w:t> </w:t>
      </w:r>
      <w:r>
        <w:rPr/>
        <w:t>all’aggiornamento</w:t>
      </w:r>
      <w:r>
        <w:rPr>
          <w:spacing w:val="-12"/>
        </w:rPr>
        <w:t> </w:t>
      </w:r>
      <w:r>
        <w:rPr/>
        <w:t>del</w:t>
      </w:r>
      <w:r>
        <w:rPr>
          <w:spacing w:val="-11"/>
        </w:rPr>
        <w:t> </w:t>
      </w:r>
      <w:r>
        <w:rPr/>
        <w:t>piano</w:t>
      </w:r>
      <w:r>
        <w:rPr>
          <w:spacing w:val="-12"/>
        </w:rPr>
        <w:t> </w:t>
      </w:r>
      <w:r>
        <w:rPr/>
        <w:t>nazionale</w:t>
      </w:r>
      <w:r>
        <w:rPr>
          <w:spacing w:val="-10"/>
        </w:rPr>
        <w:t> </w:t>
      </w:r>
      <w:r>
        <w:rPr/>
        <w:t>aeroporti, anche con riferimento alle azioni per il rilancio e l’implementazione del</w:t>
      </w:r>
      <w:r>
        <w:rPr>
          <w:spacing w:val="-22"/>
        </w:rPr>
        <w:t> </w:t>
      </w:r>
      <w:r>
        <w:rPr/>
        <w:t>cargo</w:t>
      </w:r>
    </w:p>
    <w:p>
      <w:pPr>
        <w:spacing w:after="0" w:line="252" w:lineRule="auto"/>
        <w:jc w:val="both"/>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278" w:right="2265"/>
        <w:jc w:val="both"/>
      </w:pPr>
      <w:r>
        <w:rPr/>
        <w:t>aereo, tenendo in ogni caso conto della sostenibilità ambientale e dei vincoli internazionali relativi alla riduzione dell’emissione in atmosfera di anidride carbonica.</w:t>
      </w:r>
    </w:p>
    <w:p>
      <w:pPr>
        <w:pStyle w:val="BodyText"/>
        <w:spacing w:line="252" w:lineRule="auto"/>
        <w:ind w:left="278" w:right="2264" w:firstLine="453"/>
        <w:jc w:val="both"/>
      </w:pPr>
      <w:r>
        <w:rPr/>
        <w:t>È</w:t>
      </w:r>
      <w:r>
        <w:rPr>
          <w:spacing w:val="-14"/>
        </w:rPr>
        <w:t> </w:t>
      </w:r>
      <w:r>
        <w:rPr/>
        <w:t>in</w:t>
      </w:r>
      <w:r>
        <w:rPr>
          <w:spacing w:val="-15"/>
        </w:rPr>
        <w:t> </w:t>
      </w:r>
      <w:r>
        <w:rPr/>
        <w:t>vigore</w:t>
      </w:r>
      <w:r>
        <w:rPr>
          <w:spacing w:val="-16"/>
        </w:rPr>
        <w:t> </w:t>
      </w:r>
      <w:r>
        <w:rPr/>
        <w:t>un</w:t>
      </w:r>
      <w:r>
        <w:rPr>
          <w:spacing w:val="-17"/>
        </w:rPr>
        <w:t> </w:t>
      </w:r>
      <w:r>
        <w:rPr/>
        <w:t>nuovo</w:t>
      </w:r>
      <w:r>
        <w:rPr>
          <w:spacing w:val="-15"/>
        </w:rPr>
        <w:t> </w:t>
      </w:r>
      <w:r>
        <w:rPr/>
        <w:t>assetto</w:t>
      </w:r>
      <w:r>
        <w:rPr>
          <w:spacing w:val="-14"/>
        </w:rPr>
        <w:t> </w:t>
      </w:r>
      <w:r>
        <w:rPr/>
        <w:t>regolatorio,</w:t>
      </w:r>
      <w:r>
        <w:rPr>
          <w:spacing w:val="-13"/>
        </w:rPr>
        <w:t> </w:t>
      </w:r>
      <w:r>
        <w:rPr/>
        <w:t>introdotto</w:t>
      </w:r>
      <w:r>
        <w:rPr>
          <w:spacing w:val="-14"/>
        </w:rPr>
        <w:t> </w:t>
      </w:r>
      <w:r>
        <w:rPr/>
        <w:t>con</w:t>
      </w:r>
      <w:r>
        <w:rPr>
          <w:spacing w:val="-17"/>
        </w:rPr>
        <w:t> </w:t>
      </w:r>
      <w:r>
        <w:rPr/>
        <w:t>la</w:t>
      </w:r>
      <w:r>
        <w:rPr>
          <w:spacing w:val="-17"/>
        </w:rPr>
        <w:t> </w:t>
      </w:r>
      <w:r>
        <w:rPr/>
        <w:t>Legge</w:t>
      </w:r>
      <w:r>
        <w:rPr>
          <w:spacing w:val="-14"/>
        </w:rPr>
        <w:t> </w:t>
      </w:r>
      <w:r>
        <w:rPr/>
        <w:t>Europea</w:t>
      </w:r>
      <w:r>
        <w:rPr>
          <w:spacing w:val="-15"/>
        </w:rPr>
        <w:t> </w:t>
      </w:r>
      <w:r>
        <w:rPr/>
        <w:t>2018</w:t>
      </w:r>
      <w:r>
        <w:rPr>
          <w:vertAlign w:val="superscript"/>
        </w:rPr>
        <w:t>6</w:t>
      </w:r>
      <w:r>
        <w:rPr>
          <w:vertAlign w:val="baseline"/>
        </w:rPr>
        <w:t>, che</w:t>
      </w:r>
      <w:r>
        <w:rPr>
          <w:spacing w:val="-15"/>
          <w:vertAlign w:val="baseline"/>
        </w:rPr>
        <w:t> </w:t>
      </w:r>
      <w:r>
        <w:rPr>
          <w:vertAlign w:val="baseline"/>
        </w:rPr>
        <w:t>prevede</w:t>
      </w:r>
      <w:r>
        <w:rPr>
          <w:spacing w:val="-19"/>
          <w:vertAlign w:val="baseline"/>
        </w:rPr>
        <w:t> </w:t>
      </w:r>
      <w:r>
        <w:rPr>
          <w:vertAlign w:val="baseline"/>
        </w:rPr>
        <w:t>che</w:t>
      </w:r>
      <w:r>
        <w:rPr>
          <w:spacing w:val="-15"/>
          <w:vertAlign w:val="baseline"/>
        </w:rPr>
        <w:t> </w:t>
      </w:r>
      <w:r>
        <w:rPr>
          <w:vertAlign w:val="baseline"/>
        </w:rPr>
        <w:t>l’Autorità</w:t>
      </w:r>
      <w:r>
        <w:rPr>
          <w:spacing w:val="-14"/>
          <w:vertAlign w:val="baseline"/>
        </w:rPr>
        <w:t> </w:t>
      </w:r>
      <w:r>
        <w:rPr>
          <w:vertAlign w:val="baseline"/>
        </w:rPr>
        <w:t>di</w:t>
      </w:r>
      <w:r>
        <w:rPr>
          <w:spacing w:val="-14"/>
          <w:vertAlign w:val="baseline"/>
        </w:rPr>
        <w:t> </w:t>
      </w:r>
      <w:r>
        <w:rPr>
          <w:vertAlign w:val="baseline"/>
        </w:rPr>
        <w:t>Regolazione</w:t>
      </w:r>
      <w:r>
        <w:rPr>
          <w:spacing w:val="-15"/>
          <w:vertAlign w:val="baseline"/>
        </w:rPr>
        <w:t> </w:t>
      </w:r>
      <w:r>
        <w:rPr>
          <w:vertAlign w:val="baseline"/>
        </w:rPr>
        <w:t>dei</w:t>
      </w:r>
      <w:r>
        <w:rPr>
          <w:spacing w:val="-16"/>
          <w:vertAlign w:val="baseline"/>
        </w:rPr>
        <w:t> </w:t>
      </w:r>
      <w:r>
        <w:rPr>
          <w:vertAlign w:val="baseline"/>
        </w:rPr>
        <w:t>Trasporti</w:t>
      </w:r>
      <w:r>
        <w:rPr>
          <w:spacing w:val="-15"/>
          <w:vertAlign w:val="baseline"/>
        </w:rPr>
        <w:t> </w:t>
      </w:r>
      <w:r>
        <w:rPr>
          <w:vertAlign w:val="baseline"/>
        </w:rPr>
        <w:t>svolga</w:t>
      </w:r>
      <w:r>
        <w:rPr>
          <w:spacing w:val="-14"/>
          <w:vertAlign w:val="baseline"/>
        </w:rPr>
        <w:t> </w:t>
      </w:r>
      <w:r>
        <w:rPr>
          <w:vertAlign w:val="baseline"/>
        </w:rPr>
        <w:t>le</w:t>
      </w:r>
      <w:r>
        <w:rPr>
          <w:spacing w:val="-14"/>
          <w:vertAlign w:val="baseline"/>
        </w:rPr>
        <w:t> </w:t>
      </w:r>
      <w:r>
        <w:rPr>
          <w:vertAlign w:val="baseline"/>
        </w:rPr>
        <w:t>funzioni</w:t>
      </w:r>
      <w:r>
        <w:rPr>
          <w:spacing w:val="-17"/>
          <w:vertAlign w:val="baseline"/>
        </w:rPr>
        <w:t> </w:t>
      </w:r>
      <w:r>
        <w:rPr>
          <w:vertAlign w:val="baseline"/>
        </w:rPr>
        <w:t>di</w:t>
      </w:r>
      <w:r>
        <w:rPr>
          <w:spacing w:val="-15"/>
          <w:vertAlign w:val="baseline"/>
        </w:rPr>
        <w:t> </w:t>
      </w:r>
      <w:r>
        <w:rPr>
          <w:vertAlign w:val="baseline"/>
        </w:rPr>
        <w:t>autorità nazionale di vigilanza anche con riferimento ai contratti di programma in base ai quali sono determinati i diritti aeroportuali negli scali di Roma Fiumicino, Roma Ciampino,</w:t>
      </w:r>
      <w:r>
        <w:rPr>
          <w:spacing w:val="-9"/>
          <w:vertAlign w:val="baseline"/>
        </w:rPr>
        <w:t> </w:t>
      </w:r>
      <w:r>
        <w:rPr>
          <w:vertAlign w:val="baseline"/>
        </w:rPr>
        <w:t>Milano</w:t>
      </w:r>
      <w:r>
        <w:rPr>
          <w:spacing w:val="-11"/>
          <w:vertAlign w:val="baseline"/>
        </w:rPr>
        <w:t> </w:t>
      </w:r>
      <w:r>
        <w:rPr>
          <w:vertAlign w:val="baseline"/>
        </w:rPr>
        <w:t>Linate,</w:t>
      </w:r>
      <w:r>
        <w:rPr>
          <w:spacing w:val="-7"/>
          <w:vertAlign w:val="baseline"/>
        </w:rPr>
        <w:t> </w:t>
      </w:r>
      <w:r>
        <w:rPr>
          <w:vertAlign w:val="baseline"/>
        </w:rPr>
        <w:t>Milano</w:t>
      </w:r>
      <w:r>
        <w:rPr>
          <w:spacing w:val="-11"/>
          <w:vertAlign w:val="baseline"/>
        </w:rPr>
        <w:t> </w:t>
      </w:r>
      <w:r>
        <w:rPr>
          <w:vertAlign w:val="baseline"/>
        </w:rPr>
        <w:t>Malpensa</w:t>
      </w:r>
      <w:r>
        <w:rPr>
          <w:spacing w:val="-11"/>
          <w:vertAlign w:val="baseline"/>
        </w:rPr>
        <w:t> </w:t>
      </w:r>
      <w:r>
        <w:rPr>
          <w:vertAlign w:val="baseline"/>
        </w:rPr>
        <w:t>e</w:t>
      </w:r>
      <w:r>
        <w:rPr>
          <w:spacing w:val="-10"/>
          <w:vertAlign w:val="baseline"/>
        </w:rPr>
        <w:t> </w:t>
      </w:r>
      <w:r>
        <w:rPr>
          <w:vertAlign w:val="baseline"/>
        </w:rPr>
        <w:t>Venezia</w:t>
      </w:r>
      <w:r>
        <w:rPr>
          <w:spacing w:val="-10"/>
          <w:vertAlign w:val="baseline"/>
        </w:rPr>
        <w:t> </w:t>
      </w:r>
      <w:r>
        <w:rPr>
          <w:vertAlign w:val="baseline"/>
        </w:rPr>
        <w:t>(c.d.</w:t>
      </w:r>
      <w:r>
        <w:rPr>
          <w:spacing w:val="-9"/>
          <w:vertAlign w:val="baseline"/>
        </w:rPr>
        <w:t> </w:t>
      </w:r>
      <w:r>
        <w:rPr>
          <w:vertAlign w:val="baseline"/>
        </w:rPr>
        <w:t>aeroporti</w:t>
      </w:r>
      <w:r>
        <w:rPr>
          <w:spacing w:val="-11"/>
          <w:vertAlign w:val="baseline"/>
        </w:rPr>
        <w:t> </w:t>
      </w:r>
      <w:r>
        <w:rPr>
          <w:vertAlign w:val="baseline"/>
        </w:rPr>
        <w:t>con</w:t>
      </w:r>
      <w:r>
        <w:rPr>
          <w:spacing w:val="-11"/>
          <w:vertAlign w:val="baseline"/>
        </w:rPr>
        <w:t> </w:t>
      </w:r>
      <w:r>
        <w:rPr>
          <w:vertAlign w:val="baseline"/>
        </w:rPr>
        <w:t>contratti</w:t>
      </w:r>
      <w:r>
        <w:rPr>
          <w:spacing w:val="-10"/>
          <w:vertAlign w:val="baseline"/>
        </w:rPr>
        <w:t> </w:t>
      </w:r>
      <w:r>
        <w:rPr>
          <w:vertAlign w:val="baseline"/>
        </w:rPr>
        <w:t>di programma ‘in deroga’). Anche in questi aeroporti, pertanto, i diritti aeroportuali saranno determinati secondo i modelli tariffari adottati dall’Autorità e improntati ai principi di trasparenza, stabilità ed efficienza, dei quali è attualmente in corso la</w:t>
      </w:r>
      <w:r>
        <w:rPr>
          <w:spacing w:val="-2"/>
          <w:vertAlign w:val="baseline"/>
        </w:rPr>
        <w:t> </w:t>
      </w:r>
      <w:r>
        <w:rPr>
          <w:vertAlign w:val="baseline"/>
        </w:rPr>
        <w:t>revisione.</w:t>
      </w:r>
    </w:p>
    <w:p>
      <w:pPr>
        <w:pStyle w:val="BodyText"/>
        <w:spacing w:line="252" w:lineRule="auto"/>
        <w:ind w:left="278" w:right="2263" w:firstLine="453"/>
        <w:jc w:val="both"/>
      </w:pPr>
      <w:r>
        <w:rPr/>
        <w:t>È inoltre opportuno potenziare il concetto di continuità territoriale al fine di sviluppare</w:t>
      </w:r>
      <w:r>
        <w:rPr>
          <w:spacing w:val="-10"/>
        </w:rPr>
        <w:t> </w:t>
      </w:r>
      <w:r>
        <w:rPr/>
        <w:t>le</w:t>
      </w:r>
      <w:r>
        <w:rPr>
          <w:spacing w:val="-10"/>
        </w:rPr>
        <w:t> </w:t>
      </w:r>
      <w:r>
        <w:rPr/>
        <w:t>necessarie</w:t>
      </w:r>
      <w:r>
        <w:rPr>
          <w:spacing w:val="-14"/>
        </w:rPr>
        <w:t> </w:t>
      </w:r>
      <w:r>
        <w:rPr/>
        <w:t>interconnessioni,</w:t>
      </w:r>
      <w:r>
        <w:rPr>
          <w:spacing w:val="-10"/>
        </w:rPr>
        <w:t> </w:t>
      </w:r>
      <w:r>
        <w:rPr/>
        <w:t>come</w:t>
      </w:r>
      <w:r>
        <w:rPr>
          <w:spacing w:val="-10"/>
        </w:rPr>
        <w:t> </w:t>
      </w:r>
      <w:r>
        <w:rPr/>
        <w:t>ultimo</w:t>
      </w:r>
      <w:r>
        <w:rPr>
          <w:spacing w:val="-11"/>
        </w:rPr>
        <w:t> </w:t>
      </w:r>
      <w:r>
        <w:rPr/>
        <w:t>miglio,</w:t>
      </w:r>
      <w:r>
        <w:rPr>
          <w:spacing w:val="-9"/>
        </w:rPr>
        <w:t> </w:t>
      </w:r>
      <w:r>
        <w:rPr/>
        <w:t>con</w:t>
      </w:r>
      <w:r>
        <w:rPr>
          <w:spacing w:val="-11"/>
        </w:rPr>
        <w:t> </w:t>
      </w:r>
      <w:r>
        <w:rPr/>
        <w:t>le</w:t>
      </w:r>
      <w:r>
        <w:rPr>
          <w:spacing w:val="-13"/>
        </w:rPr>
        <w:t> </w:t>
      </w:r>
      <w:r>
        <w:rPr/>
        <w:t>altre</w:t>
      </w:r>
      <w:r>
        <w:rPr>
          <w:spacing w:val="-9"/>
        </w:rPr>
        <w:t> </w:t>
      </w:r>
      <w:r>
        <w:rPr/>
        <w:t>modalità di trasporto proprio al fine di migliorare la connettività del Paese ed abbassare i tempi necessari per poter usufruire nella maniera più rapida e qualitativamente valida degli</w:t>
      </w:r>
      <w:r>
        <w:rPr>
          <w:spacing w:val="-2"/>
        </w:rPr>
        <w:t> </w:t>
      </w:r>
      <w:r>
        <w:rPr/>
        <w:t>aeroporti.</w:t>
      </w:r>
    </w:p>
    <w:p>
      <w:pPr>
        <w:pStyle w:val="BodyText"/>
        <w:spacing w:line="252" w:lineRule="auto" w:before="1"/>
        <w:ind w:left="278" w:right="2263" w:firstLine="453"/>
        <w:jc w:val="both"/>
      </w:pPr>
      <w:r>
        <w:rPr/>
        <w:t>Il</w:t>
      </w:r>
      <w:r>
        <w:rPr>
          <w:spacing w:val="-9"/>
        </w:rPr>
        <w:t> </w:t>
      </w:r>
      <w:r>
        <w:rPr/>
        <w:t>Governo</w:t>
      </w:r>
      <w:r>
        <w:rPr>
          <w:spacing w:val="-10"/>
        </w:rPr>
        <w:t> </w:t>
      </w:r>
      <w:r>
        <w:rPr/>
        <w:t>intende</w:t>
      </w:r>
      <w:r>
        <w:rPr>
          <w:spacing w:val="-9"/>
        </w:rPr>
        <w:t> </w:t>
      </w:r>
      <w:r>
        <w:rPr/>
        <w:t>altresì</w:t>
      </w:r>
      <w:r>
        <w:rPr>
          <w:spacing w:val="-10"/>
        </w:rPr>
        <w:t> </w:t>
      </w:r>
      <w:r>
        <w:rPr/>
        <w:t>attuare</w:t>
      </w:r>
      <w:r>
        <w:rPr>
          <w:spacing w:val="-9"/>
        </w:rPr>
        <w:t> </w:t>
      </w:r>
      <w:r>
        <w:rPr/>
        <w:t>la</w:t>
      </w:r>
      <w:r>
        <w:rPr>
          <w:spacing w:val="-9"/>
        </w:rPr>
        <w:t> </w:t>
      </w:r>
      <w:r>
        <w:rPr/>
        <w:t>riforma</w:t>
      </w:r>
      <w:r>
        <w:rPr>
          <w:spacing w:val="-10"/>
        </w:rPr>
        <w:t> </w:t>
      </w:r>
      <w:r>
        <w:rPr/>
        <w:t>delle</w:t>
      </w:r>
      <w:r>
        <w:rPr>
          <w:spacing w:val="-9"/>
        </w:rPr>
        <w:t> </w:t>
      </w:r>
      <w:r>
        <w:rPr/>
        <w:t>Autorità</w:t>
      </w:r>
      <w:r>
        <w:rPr>
          <w:spacing w:val="-8"/>
        </w:rPr>
        <w:t> </w:t>
      </w:r>
      <w:r>
        <w:rPr/>
        <w:t>di</w:t>
      </w:r>
      <w:r>
        <w:rPr>
          <w:spacing w:val="-10"/>
        </w:rPr>
        <w:t> </w:t>
      </w:r>
      <w:r>
        <w:rPr/>
        <w:t>sistema</w:t>
      </w:r>
      <w:r>
        <w:rPr>
          <w:spacing w:val="-9"/>
        </w:rPr>
        <w:t> </w:t>
      </w:r>
      <w:r>
        <w:rPr/>
        <w:t>portuale, prevedendo strumenti operativi di coordinamento tra le stesse Autorità di sistema al fine di rafforzare le sinergie per lo sviluppo imprenditoriale ed economico del settore. Al tempo stesso è necessario disciplinare il sistema delle concessioni portuali per garantire la massima trasparenza e</w:t>
      </w:r>
      <w:r>
        <w:rPr>
          <w:spacing w:val="-9"/>
        </w:rPr>
        <w:t> </w:t>
      </w:r>
      <w:r>
        <w:rPr/>
        <w:t>competitività.</w:t>
      </w:r>
    </w:p>
    <w:p>
      <w:pPr>
        <w:pStyle w:val="BodyText"/>
        <w:spacing w:line="252" w:lineRule="auto" w:before="1"/>
        <w:ind w:left="278" w:right="2261" w:firstLine="453"/>
        <w:jc w:val="both"/>
      </w:pPr>
      <w:r>
        <w:rPr/>
        <w:t>Per quanto riguarda il Trasporto pubblico locale, il Governo consapevole dell’impatto che il sistema pubblico di mobilità ha sulla qualità della vita dei cittadini e sull’ambiente delle città, intende sostenere la mobilità locale e urbana attraverso</w:t>
      </w:r>
      <w:r>
        <w:rPr>
          <w:spacing w:val="-12"/>
        </w:rPr>
        <w:t> </w:t>
      </w:r>
      <w:r>
        <w:rPr/>
        <w:t>adeguati</w:t>
      </w:r>
      <w:r>
        <w:rPr>
          <w:spacing w:val="-9"/>
        </w:rPr>
        <w:t> </w:t>
      </w:r>
      <w:r>
        <w:rPr/>
        <w:t>investimenti</w:t>
      </w:r>
      <w:r>
        <w:rPr>
          <w:spacing w:val="-11"/>
        </w:rPr>
        <w:t> </w:t>
      </w:r>
      <w:r>
        <w:rPr/>
        <w:t>per</w:t>
      </w:r>
      <w:r>
        <w:rPr>
          <w:spacing w:val="-11"/>
        </w:rPr>
        <w:t> </w:t>
      </w:r>
      <w:r>
        <w:rPr/>
        <w:t>il</w:t>
      </w:r>
      <w:r>
        <w:rPr>
          <w:spacing w:val="-11"/>
        </w:rPr>
        <w:t> </w:t>
      </w:r>
      <w:r>
        <w:rPr/>
        <w:t>trasporto</w:t>
      </w:r>
      <w:r>
        <w:rPr>
          <w:spacing w:val="-10"/>
        </w:rPr>
        <w:t> </w:t>
      </w:r>
      <w:r>
        <w:rPr/>
        <w:t>rapido</w:t>
      </w:r>
      <w:r>
        <w:rPr>
          <w:spacing w:val="-11"/>
        </w:rPr>
        <w:t> </w:t>
      </w:r>
      <w:r>
        <w:rPr/>
        <w:t>di</w:t>
      </w:r>
      <w:r>
        <w:rPr>
          <w:spacing w:val="-12"/>
        </w:rPr>
        <w:t> </w:t>
      </w:r>
      <w:r>
        <w:rPr/>
        <w:t>massa</w:t>
      </w:r>
      <w:r>
        <w:rPr>
          <w:spacing w:val="-11"/>
        </w:rPr>
        <w:t> </w:t>
      </w:r>
      <w:r>
        <w:rPr/>
        <w:t>e</w:t>
      </w:r>
      <w:r>
        <w:rPr>
          <w:spacing w:val="-12"/>
        </w:rPr>
        <w:t> </w:t>
      </w:r>
      <w:r>
        <w:rPr/>
        <w:t>per</w:t>
      </w:r>
      <w:r>
        <w:rPr>
          <w:spacing w:val="-10"/>
        </w:rPr>
        <w:t> </w:t>
      </w:r>
      <w:r>
        <w:rPr/>
        <w:t>il</w:t>
      </w:r>
      <w:r>
        <w:rPr>
          <w:spacing w:val="-12"/>
        </w:rPr>
        <w:t> </w:t>
      </w:r>
      <w:r>
        <w:rPr/>
        <w:t>rinnovo</w:t>
      </w:r>
      <w:r>
        <w:rPr>
          <w:spacing w:val="-11"/>
        </w:rPr>
        <w:t> </w:t>
      </w:r>
      <w:r>
        <w:rPr/>
        <w:t>del parco</w:t>
      </w:r>
      <w:r>
        <w:rPr>
          <w:spacing w:val="-8"/>
        </w:rPr>
        <w:t> </w:t>
      </w:r>
      <w:r>
        <w:rPr/>
        <w:t>autobus.</w:t>
      </w:r>
      <w:r>
        <w:rPr>
          <w:spacing w:val="-8"/>
        </w:rPr>
        <w:t> </w:t>
      </w:r>
      <w:r>
        <w:rPr/>
        <w:t>Saranno</w:t>
      </w:r>
      <w:r>
        <w:rPr>
          <w:spacing w:val="-8"/>
        </w:rPr>
        <w:t> </w:t>
      </w:r>
      <w:r>
        <w:rPr/>
        <w:t>destinate</w:t>
      </w:r>
      <w:r>
        <w:rPr>
          <w:spacing w:val="-8"/>
        </w:rPr>
        <w:t> </w:t>
      </w:r>
      <w:r>
        <w:rPr/>
        <w:t>risorse</w:t>
      </w:r>
      <w:r>
        <w:rPr>
          <w:spacing w:val="-8"/>
        </w:rPr>
        <w:t> </w:t>
      </w:r>
      <w:r>
        <w:rPr/>
        <w:t>per</w:t>
      </w:r>
      <w:r>
        <w:rPr>
          <w:spacing w:val="-6"/>
        </w:rPr>
        <w:t> </w:t>
      </w:r>
      <w:r>
        <w:rPr/>
        <w:t>contribuire</w:t>
      </w:r>
      <w:r>
        <w:rPr>
          <w:spacing w:val="-8"/>
        </w:rPr>
        <w:t> </w:t>
      </w:r>
      <w:r>
        <w:rPr/>
        <w:t>alla</w:t>
      </w:r>
      <w:r>
        <w:rPr>
          <w:spacing w:val="-8"/>
        </w:rPr>
        <w:t> </w:t>
      </w:r>
      <w:r>
        <w:rPr/>
        <w:t>sostituzione</w:t>
      </w:r>
      <w:r>
        <w:rPr>
          <w:spacing w:val="-5"/>
        </w:rPr>
        <w:t> </w:t>
      </w:r>
      <w:r>
        <w:rPr/>
        <w:t>dei</w:t>
      </w:r>
      <w:r>
        <w:rPr>
          <w:spacing w:val="-8"/>
        </w:rPr>
        <w:t> </w:t>
      </w:r>
      <w:r>
        <w:rPr/>
        <w:t>mezzi pubblici allo scopo di incentivare la sicurezza dei trasporti e diminuire le emissioni di CO</w:t>
      </w:r>
      <w:r>
        <w:rPr>
          <w:sz w:val="20"/>
        </w:rPr>
        <w:t>2</w:t>
      </w:r>
      <w:r>
        <w:rPr/>
        <w:t>.</w:t>
      </w:r>
    </w:p>
    <w:p>
      <w:pPr>
        <w:pStyle w:val="BodyText"/>
        <w:spacing w:line="252" w:lineRule="auto"/>
        <w:ind w:left="278" w:right="2262" w:firstLine="453"/>
        <w:jc w:val="both"/>
      </w:pPr>
      <w:r>
        <w:rPr/>
        <w:t>Il</w:t>
      </w:r>
      <w:r>
        <w:rPr>
          <w:spacing w:val="-14"/>
        </w:rPr>
        <w:t> </w:t>
      </w:r>
      <w:r>
        <w:rPr/>
        <w:t>Governo</w:t>
      </w:r>
      <w:r>
        <w:rPr>
          <w:spacing w:val="-13"/>
        </w:rPr>
        <w:t> </w:t>
      </w:r>
      <w:r>
        <w:rPr/>
        <w:t>inoltre</w:t>
      </w:r>
      <w:r>
        <w:rPr>
          <w:spacing w:val="-14"/>
        </w:rPr>
        <w:t> </w:t>
      </w:r>
      <w:r>
        <w:rPr/>
        <w:t>intende</w:t>
      </w:r>
      <w:r>
        <w:rPr>
          <w:spacing w:val="-14"/>
        </w:rPr>
        <w:t> </w:t>
      </w:r>
      <w:r>
        <w:rPr/>
        <w:t>investire</w:t>
      </w:r>
      <w:r>
        <w:rPr>
          <w:spacing w:val="-13"/>
        </w:rPr>
        <w:t> </w:t>
      </w:r>
      <w:r>
        <w:rPr/>
        <w:t>nella</w:t>
      </w:r>
      <w:r>
        <w:rPr>
          <w:spacing w:val="-15"/>
        </w:rPr>
        <w:t> </w:t>
      </w:r>
      <w:r>
        <w:rPr/>
        <w:t>riqualificazione</w:t>
      </w:r>
      <w:r>
        <w:rPr>
          <w:spacing w:val="-14"/>
        </w:rPr>
        <w:t> </w:t>
      </w:r>
      <w:r>
        <w:rPr/>
        <w:t>urbana</w:t>
      </w:r>
      <w:r>
        <w:rPr>
          <w:spacing w:val="-14"/>
        </w:rPr>
        <w:t> </w:t>
      </w:r>
      <w:r>
        <w:rPr/>
        <w:t>e</w:t>
      </w:r>
      <w:r>
        <w:rPr>
          <w:spacing w:val="-15"/>
        </w:rPr>
        <w:t> </w:t>
      </w:r>
      <w:r>
        <w:rPr/>
        <w:t>nel</w:t>
      </w:r>
      <w:r>
        <w:rPr>
          <w:spacing w:val="-15"/>
        </w:rPr>
        <w:t> </w:t>
      </w:r>
      <w:r>
        <w:rPr/>
        <w:t>recupero del patrimonio immobiliare esistente intervenendo a sostegno delle categorie sociali più svantaggiate nell’accesso</w:t>
      </w:r>
      <w:r>
        <w:rPr>
          <w:spacing w:val="-2"/>
        </w:rPr>
        <w:t> </w:t>
      </w:r>
      <w:r>
        <w:rPr/>
        <w:t>all’abitazione.</w:t>
      </w:r>
    </w:p>
    <w:p>
      <w:pPr>
        <w:pStyle w:val="BodyText"/>
        <w:spacing w:line="252" w:lineRule="auto"/>
        <w:ind w:left="278" w:right="2263" w:firstLine="453"/>
        <w:jc w:val="both"/>
      </w:pPr>
      <w:r>
        <w:rPr/>
        <w:t>In considerazione della funzione sociale della casa, quale misura di contrasto alla</w:t>
      </w:r>
      <w:r>
        <w:rPr>
          <w:spacing w:val="-16"/>
        </w:rPr>
        <w:t> </w:t>
      </w:r>
      <w:r>
        <w:rPr/>
        <w:t>disuguaglianza,</w:t>
      </w:r>
      <w:r>
        <w:rPr>
          <w:spacing w:val="-15"/>
        </w:rPr>
        <w:t> </w:t>
      </w:r>
      <w:r>
        <w:rPr/>
        <w:t>nonché</w:t>
      </w:r>
      <w:r>
        <w:rPr>
          <w:spacing w:val="-16"/>
        </w:rPr>
        <w:t> </w:t>
      </w:r>
      <w:r>
        <w:rPr/>
        <w:t>di</w:t>
      </w:r>
      <w:r>
        <w:rPr>
          <w:spacing w:val="-16"/>
        </w:rPr>
        <w:t> </w:t>
      </w:r>
      <w:r>
        <w:rPr/>
        <w:t>sostegno</w:t>
      </w:r>
      <w:r>
        <w:rPr>
          <w:spacing w:val="-17"/>
        </w:rPr>
        <w:t> </w:t>
      </w:r>
      <w:r>
        <w:rPr/>
        <w:t>al</w:t>
      </w:r>
      <w:r>
        <w:rPr>
          <w:spacing w:val="-15"/>
        </w:rPr>
        <w:t> </w:t>
      </w:r>
      <w:r>
        <w:rPr/>
        <w:t>welfare,</w:t>
      </w:r>
      <w:r>
        <w:rPr>
          <w:spacing w:val="-14"/>
        </w:rPr>
        <w:t> </w:t>
      </w:r>
      <w:r>
        <w:rPr/>
        <w:t>è</w:t>
      </w:r>
      <w:r>
        <w:rPr>
          <w:spacing w:val="-17"/>
        </w:rPr>
        <w:t> </w:t>
      </w:r>
      <w:r>
        <w:rPr/>
        <w:t>intenzione</w:t>
      </w:r>
      <w:r>
        <w:rPr>
          <w:spacing w:val="-16"/>
        </w:rPr>
        <w:t> </w:t>
      </w:r>
      <w:r>
        <w:rPr/>
        <w:t>del</w:t>
      </w:r>
      <w:r>
        <w:rPr>
          <w:spacing w:val="-16"/>
        </w:rPr>
        <w:t> </w:t>
      </w:r>
      <w:r>
        <w:rPr/>
        <w:t>Governo</w:t>
      </w:r>
      <w:r>
        <w:rPr>
          <w:spacing w:val="-16"/>
        </w:rPr>
        <w:t> </w:t>
      </w:r>
      <w:r>
        <w:rPr/>
        <w:t>avviare un piano per il recupero, l’ammodernamento e la ristrutturazione ordinaria e straordinaria di immobili di edilizia residenziale pubblica, individuando risorse da trasferire agli enti territoriali competenti sulla base di puntuali criteri di assegnazione e di successiva verifica delle modalità e dei tempi di attuazione degli interventi.</w:t>
      </w:r>
    </w:p>
    <w:p>
      <w:pPr>
        <w:pStyle w:val="BodyText"/>
        <w:spacing w:line="252" w:lineRule="auto"/>
        <w:ind w:left="278" w:right="2261" w:firstLine="453"/>
        <w:jc w:val="both"/>
      </w:pPr>
      <w:r>
        <w:rPr/>
        <w:t>Il Governo intende poi contrastare incisivamente il fenomeno dell’abusivismo edilizio,</w:t>
      </w:r>
      <w:r>
        <w:rPr>
          <w:spacing w:val="-8"/>
        </w:rPr>
        <w:t> </w:t>
      </w:r>
      <w:r>
        <w:rPr/>
        <w:t>predisponendo</w:t>
      </w:r>
      <w:r>
        <w:rPr>
          <w:spacing w:val="-9"/>
        </w:rPr>
        <w:t> </w:t>
      </w:r>
      <w:r>
        <w:rPr/>
        <w:t>un’apposita</w:t>
      </w:r>
      <w:r>
        <w:rPr>
          <w:spacing w:val="-9"/>
        </w:rPr>
        <w:t> </w:t>
      </w:r>
      <w:r>
        <w:rPr/>
        <w:t>banca</w:t>
      </w:r>
      <w:r>
        <w:rPr>
          <w:spacing w:val="-9"/>
        </w:rPr>
        <w:t> </w:t>
      </w:r>
      <w:r>
        <w:rPr/>
        <w:t>dati</w:t>
      </w:r>
      <w:r>
        <w:rPr>
          <w:spacing w:val="-9"/>
        </w:rPr>
        <w:t> </w:t>
      </w:r>
      <w:r>
        <w:rPr/>
        <w:t>nazionale</w:t>
      </w:r>
      <w:r>
        <w:rPr>
          <w:spacing w:val="-9"/>
        </w:rPr>
        <w:t> </w:t>
      </w:r>
      <w:r>
        <w:rPr/>
        <w:t>e</w:t>
      </w:r>
      <w:r>
        <w:rPr>
          <w:spacing w:val="-9"/>
        </w:rPr>
        <w:t> </w:t>
      </w:r>
      <w:r>
        <w:rPr/>
        <w:t>al</w:t>
      </w:r>
      <w:r>
        <w:rPr>
          <w:spacing w:val="-9"/>
        </w:rPr>
        <w:t> </w:t>
      </w:r>
      <w:r>
        <w:rPr/>
        <w:t>tempo</w:t>
      </w:r>
      <w:r>
        <w:rPr>
          <w:spacing w:val="-10"/>
        </w:rPr>
        <w:t> </w:t>
      </w:r>
      <w:r>
        <w:rPr/>
        <w:t>stesso</w:t>
      </w:r>
      <w:r>
        <w:rPr>
          <w:spacing w:val="-10"/>
        </w:rPr>
        <w:t> </w:t>
      </w:r>
      <w:r>
        <w:rPr/>
        <w:t>porre</w:t>
      </w:r>
      <w:r>
        <w:rPr>
          <w:spacing w:val="-8"/>
        </w:rPr>
        <w:t> </w:t>
      </w:r>
      <w:r>
        <w:rPr/>
        <w:t>in essere ogni utile attività di supporto e di collaborazione, anche tramite accordi tra le</w:t>
      </w:r>
      <w:r>
        <w:rPr>
          <w:spacing w:val="-10"/>
        </w:rPr>
        <w:t> </w:t>
      </w:r>
      <w:r>
        <w:rPr/>
        <w:t>amministrazioni</w:t>
      </w:r>
      <w:r>
        <w:rPr>
          <w:spacing w:val="-10"/>
        </w:rPr>
        <w:t> </w:t>
      </w:r>
      <w:r>
        <w:rPr/>
        <w:t>centrali</w:t>
      </w:r>
      <w:r>
        <w:rPr>
          <w:spacing w:val="-10"/>
        </w:rPr>
        <w:t> </w:t>
      </w:r>
      <w:r>
        <w:rPr/>
        <w:t>e</w:t>
      </w:r>
      <w:r>
        <w:rPr>
          <w:spacing w:val="-9"/>
        </w:rPr>
        <w:t> </w:t>
      </w:r>
      <w:r>
        <w:rPr/>
        <w:t>territoriali,</w:t>
      </w:r>
      <w:r>
        <w:rPr>
          <w:spacing w:val="-8"/>
        </w:rPr>
        <w:t> </w:t>
      </w:r>
      <w:r>
        <w:rPr/>
        <w:t>a</w:t>
      </w:r>
      <w:r>
        <w:rPr>
          <w:spacing w:val="-12"/>
        </w:rPr>
        <w:t> </w:t>
      </w:r>
      <w:r>
        <w:rPr/>
        <w:t>favore</w:t>
      </w:r>
      <w:r>
        <w:rPr>
          <w:spacing w:val="-9"/>
        </w:rPr>
        <w:t> </w:t>
      </w:r>
      <w:r>
        <w:rPr/>
        <w:t>degli</w:t>
      </w:r>
      <w:r>
        <w:rPr>
          <w:spacing w:val="-9"/>
        </w:rPr>
        <w:t> </w:t>
      </w:r>
      <w:r>
        <w:rPr/>
        <w:t>enti</w:t>
      </w:r>
      <w:r>
        <w:rPr>
          <w:spacing w:val="-9"/>
        </w:rPr>
        <w:t> </w:t>
      </w:r>
      <w:r>
        <w:rPr/>
        <w:t>locali,</w:t>
      </w:r>
      <w:r>
        <w:rPr>
          <w:spacing w:val="-12"/>
        </w:rPr>
        <w:t> </w:t>
      </w:r>
      <w:r>
        <w:rPr/>
        <w:t>operando,</w:t>
      </w:r>
      <w:r>
        <w:rPr>
          <w:spacing w:val="-8"/>
        </w:rPr>
        <w:t> </w:t>
      </w:r>
      <w:r>
        <w:rPr/>
        <w:t>fra</w:t>
      </w:r>
      <w:r>
        <w:rPr>
          <w:spacing w:val="-9"/>
        </w:rPr>
        <w:t> </w:t>
      </w:r>
      <w:r>
        <w:rPr/>
        <w:t>gli Enti stessi interessati, una ripartizione di risorse atte a finanziare la demolizione delle opere</w:t>
      </w:r>
      <w:r>
        <w:rPr>
          <w:spacing w:val="-1"/>
        </w:rPr>
        <w:t> </w:t>
      </w:r>
      <w:r>
        <w:rPr/>
        <w:t>abusive.</w:t>
      </w:r>
    </w:p>
    <w:p>
      <w:pPr>
        <w:pStyle w:val="BodyText"/>
        <w:rPr>
          <w:sz w:val="20"/>
        </w:rPr>
      </w:pPr>
    </w:p>
    <w:p>
      <w:pPr>
        <w:pStyle w:val="BodyText"/>
        <w:rPr>
          <w:sz w:val="26"/>
        </w:rPr>
      </w:pPr>
      <w:r>
        <w:rPr/>
        <w:pict>
          <v:group style="position:absolute;margin-left:93.599998pt;margin-top:17.103077pt;width:21.4pt;height:2.15pt;mso-position-horizontal-relative:page;mso-position-vertical-relative:paragraph;z-index:-251445248;mso-wrap-distance-left:0;mso-wrap-distance-right:0" coordorigin="1872,342" coordsize="428,43">
            <v:line style="position:absolute" from="1872,363" to="2299,363" stroked="true" strokeweight="2.050pt" strokecolor="#aaaaaa">
              <v:stroke dashstyle="solid"/>
            </v:line>
            <v:rect style="position:absolute;left:1872;top:343;width:5;height:5" filled="true" fillcolor="#9f9f9f" stroked="false">
              <v:fill type="solid"/>
            </v:rect>
            <v:rect style="position:absolute;left:1872;top:343;width:5;height:5" filled="true" fillcolor="#9f9f9f" stroked="false">
              <v:fill type="solid"/>
            </v:rect>
            <v:line style="position:absolute" from="1877,346" to="2295,346" stroked="true" strokeweight=".23999pt" strokecolor="#9f9f9f">
              <v:stroke dashstyle="solid"/>
            </v:line>
            <v:rect style="position:absolute;left:2294;top:343;width:5;height:5" filled="true" fillcolor="#e2e2e2" stroked="false">
              <v:fill type="solid"/>
            </v:rect>
            <v:rect style="position:absolute;left:2294;top:343;width:5;height:5" filled="true" fillcolor="#9f9f9f" stroked="false">
              <v:fill type="solid"/>
            </v:rect>
            <v:rect style="position:absolute;left:1872;top:348;width:5;height:32" filled="true" fillcolor="#9f9f9f" stroked="false">
              <v:fill type="solid"/>
            </v:rect>
            <v:rect style="position:absolute;left:2294;top:348;width:5;height:32" filled="true" fillcolor="#e2e2e2" stroked="false">
              <v:fill type="solid"/>
            </v:rect>
            <v:rect style="position:absolute;left:1872;top:379;width:5;height:5" filled="true" fillcolor="#9f9f9f" stroked="false">
              <v:fill type="solid"/>
            </v:rect>
            <v:rect style="position:absolute;left:1872;top:379;width:5;height:5" filled="true" fillcolor="#e2e2e2" stroked="false">
              <v:fill type="solid"/>
            </v:rect>
            <v:line style="position:absolute" from="1877,382" to="2295,382" stroked="true" strokeweight=".23999pt" strokecolor="#e2e2e2">
              <v:stroke dashstyle="solid"/>
            </v:line>
            <v:rect style="position:absolute;left:2294;top:379;width:5;height:5" filled="true" fillcolor="#e2e2e2" stroked="false">
              <v:fill type="solid"/>
            </v:rect>
            <v:rect style="position:absolute;left:2294;top:379;width:5;height:5" filled="true" fillcolor="#e2e2e2" stroked="false">
              <v:fill type="solid"/>
            </v:rect>
            <w10:wrap type="topAndBottom"/>
          </v:group>
        </w:pict>
      </w:r>
    </w:p>
    <w:p>
      <w:pPr>
        <w:spacing w:before="20"/>
        <w:ind w:left="732" w:right="0" w:firstLine="0"/>
        <w:jc w:val="left"/>
        <w:rPr>
          <w:sz w:val="16"/>
        </w:rPr>
      </w:pPr>
      <w:r>
        <w:rPr>
          <w:position w:val="6"/>
          <w:sz w:val="10"/>
        </w:rPr>
        <w:t>6 </w:t>
      </w:r>
      <w:r>
        <w:rPr>
          <w:sz w:val="16"/>
        </w:rPr>
        <w:t>Legge 3 maggio 2019, n. 37, articolo 10</w:t>
      </w:r>
    </w:p>
    <w:p>
      <w:pPr>
        <w:spacing w:after="0"/>
        <w:jc w:val="left"/>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6"/>
        <w:rPr>
          <w:sz w:val="24"/>
        </w:rPr>
      </w:pPr>
    </w:p>
    <w:p>
      <w:pPr>
        <w:pStyle w:val="Heading5"/>
        <w:spacing w:before="101"/>
        <w:jc w:val="left"/>
      </w:pPr>
      <w:r>
        <w:rPr/>
        <w:t>Innovazione</w:t>
      </w:r>
    </w:p>
    <w:p>
      <w:pPr>
        <w:spacing w:line="232" w:lineRule="auto" w:before="159"/>
        <w:ind w:left="1128" w:right="1414" w:firstLine="0"/>
        <w:jc w:val="both"/>
        <w:rPr>
          <w:rFonts w:ascii="Franklin Gothic Book" w:hAnsi="Franklin Gothic Book"/>
          <w:sz w:val="20"/>
        </w:rPr>
      </w:pPr>
      <w:r>
        <w:rPr>
          <w:rFonts w:ascii="Franklin Gothic Heavy" w:hAnsi="Franklin Gothic Heavy"/>
          <w:b/>
          <w:color w:val="006247"/>
          <w:sz w:val="20"/>
        </w:rPr>
        <w:t>LINEE PROGRAMMATICHE: </w:t>
      </w:r>
      <w:r>
        <w:rPr>
          <w:rFonts w:ascii="Franklin Gothic Book" w:hAnsi="Franklin Gothic Book"/>
          <w:sz w:val="20"/>
        </w:rPr>
        <w:t>l’innovazione tecnologica va incoraggiata favorendo l’aumento degli investimenti privati, ancora troppo lontani dalla media europea, in start up e PMI innovative. L’obiettivo è quello di unire l’innovazione alla transizione del nostro sistema industriale in chiave di sostenibilità ambientale, alla piena attuazione dell’economia circolare e alla sfida della ‘quarta rivoluzione industriale’: digitalizzazione,  robotizzazione  e  intelligenza artificiale. Il</w:t>
      </w:r>
      <w:r>
        <w:rPr>
          <w:rFonts w:ascii="Franklin Gothic Book" w:hAnsi="Franklin Gothic Book"/>
          <w:spacing w:val="-11"/>
          <w:sz w:val="20"/>
        </w:rPr>
        <w:t> </w:t>
      </w:r>
      <w:r>
        <w:rPr>
          <w:rFonts w:ascii="Franklin Gothic Book" w:hAnsi="Franklin Gothic Book"/>
          <w:sz w:val="20"/>
        </w:rPr>
        <w:t>piano Impresa</w:t>
      </w:r>
    </w:p>
    <w:p>
      <w:pPr>
        <w:spacing w:line="218" w:lineRule="exact" w:before="0"/>
        <w:ind w:left="1128" w:right="0" w:firstLine="0"/>
        <w:jc w:val="both"/>
        <w:rPr>
          <w:rFonts w:ascii="Franklin Gothic Book" w:hAnsi="Franklin Gothic Book"/>
          <w:sz w:val="20"/>
        </w:rPr>
      </w:pPr>
      <w:r>
        <w:rPr>
          <w:rFonts w:ascii="Franklin Gothic Book" w:hAnsi="Franklin Gothic Book"/>
          <w:sz w:val="20"/>
        </w:rPr>
        <w:t>4.0 </w:t>
      </w:r>
      <w:r>
        <w:rPr>
          <w:rFonts w:ascii="Franklin Gothic Book" w:hAnsi="Franklin Gothic Book"/>
          <w:spacing w:val="22"/>
          <w:sz w:val="20"/>
        </w:rPr>
        <w:t> </w:t>
      </w:r>
      <w:r>
        <w:rPr>
          <w:rFonts w:ascii="Franklin Gothic Book" w:hAnsi="Franklin Gothic Book"/>
          <w:sz w:val="20"/>
        </w:rPr>
        <w:t>verrà </w:t>
      </w:r>
      <w:r>
        <w:rPr>
          <w:rFonts w:ascii="Franklin Gothic Book" w:hAnsi="Franklin Gothic Book"/>
          <w:spacing w:val="21"/>
          <w:sz w:val="20"/>
        </w:rPr>
        <w:t> </w:t>
      </w:r>
      <w:r>
        <w:rPr>
          <w:rFonts w:ascii="Franklin Gothic Book" w:hAnsi="Franklin Gothic Book"/>
          <w:sz w:val="20"/>
        </w:rPr>
        <w:t>aggiornato </w:t>
      </w:r>
      <w:r>
        <w:rPr>
          <w:rFonts w:ascii="Franklin Gothic Book" w:hAnsi="Franklin Gothic Book"/>
          <w:spacing w:val="22"/>
          <w:sz w:val="20"/>
        </w:rPr>
        <w:t> </w:t>
      </w:r>
      <w:r>
        <w:rPr>
          <w:rFonts w:ascii="Franklin Gothic Book" w:hAnsi="Franklin Gothic Book"/>
          <w:sz w:val="20"/>
        </w:rPr>
        <w:t>nell’ambito </w:t>
      </w:r>
      <w:r>
        <w:rPr>
          <w:rFonts w:ascii="Franklin Gothic Book" w:hAnsi="Franklin Gothic Book"/>
          <w:spacing w:val="20"/>
          <w:sz w:val="20"/>
        </w:rPr>
        <w:t> </w:t>
      </w:r>
      <w:r>
        <w:rPr>
          <w:rFonts w:ascii="Franklin Gothic Book" w:hAnsi="Franklin Gothic Book"/>
          <w:sz w:val="20"/>
        </w:rPr>
        <w:t>di </w:t>
      </w:r>
      <w:r>
        <w:rPr>
          <w:rFonts w:ascii="Franklin Gothic Book" w:hAnsi="Franklin Gothic Book"/>
          <w:spacing w:val="21"/>
          <w:sz w:val="20"/>
        </w:rPr>
        <w:t> </w:t>
      </w:r>
      <w:r>
        <w:rPr>
          <w:rFonts w:ascii="Franklin Gothic Book" w:hAnsi="Franklin Gothic Book"/>
          <w:sz w:val="20"/>
        </w:rPr>
        <w:t>una </w:t>
      </w:r>
      <w:r>
        <w:rPr>
          <w:rFonts w:ascii="Franklin Gothic Book" w:hAnsi="Franklin Gothic Book"/>
          <w:spacing w:val="18"/>
          <w:sz w:val="20"/>
        </w:rPr>
        <w:t> </w:t>
      </w:r>
      <w:r>
        <w:rPr>
          <w:rFonts w:ascii="Franklin Gothic Book" w:hAnsi="Franklin Gothic Book"/>
          <w:sz w:val="20"/>
        </w:rPr>
        <w:t>nuova </w:t>
      </w:r>
      <w:r>
        <w:rPr>
          <w:rFonts w:ascii="Franklin Gothic Book" w:hAnsi="Franklin Gothic Book"/>
          <w:spacing w:val="20"/>
          <w:sz w:val="20"/>
        </w:rPr>
        <w:t> </w:t>
      </w:r>
      <w:r>
        <w:rPr>
          <w:rFonts w:ascii="Franklin Gothic Book" w:hAnsi="Franklin Gothic Book"/>
          <w:sz w:val="20"/>
        </w:rPr>
        <w:t>strategia </w:t>
      </w:r>
      <w:r>
        <w:rPr>
          <w:rFonts w:ascii="Franklin Gothic Book" w:hAnsi="Franklin Gothic Book"/>
          <w:spacing w:val="22"/>
          <w:sz w:val="20"/>
        </w:rPr>
        <w:t> </w:t>
      </w:r>
      <w:r>
        <w:rPr>
          <w:rFonts w:ascii="Franklin Gothic Book" w:hAnsi="Franklin Gothic Book"/>
          <w:sz w:val="20"/>
        </w:rPr>
        <w:t>nazionale </w:t>
      </w:r>
      <w:r>
        <w:rPr>
          <w:rFonts w:ascii="Franklin Gothic Book" w:hAnsi="Franklin Gothic Book"/>
          <w:spacing w:val="20"/>
          <w:sz w:val="20"/>
        </w:rPr>
        <w:t> </w:t>
      </w:r>
      <w:r>
        <w:rPr>
          <w:rFonts w:ascii="Franklin Gothic Book" w:hAnsi="Franklin Gothic Book"/>
          <w:sz w:val="20"/>
        </w:rPr>
        <w:t>dell’innovazione </w:t>
      </w:r>
      <w:r>
        <w:rPr>
          <w:rFonts w:ascii="Franklin Gothic Book" w:hAnsi="Franklin Gothic Book"/>
          <w:spacing w:val="25"/>
          <w:sz w:val="20"/>
        </w:rPr>
        <w:t> </w:t>
      </w:r>
      <w:r>
        <w:rPr>
          <w:rFonts w:ascii="Franklin Gothic Book" w:hAnsi="Franklin Gothic Book"/>
          <w:sz w:val="20"/>
        </w:rPr>
        <w:t>anche</w:t>
      </w:r>
    </w:p>
    <w:p>
      <w:pPr>
        <w:spacing w:line="224" w:lineRule="exact" w:before="0"/>
        <w:ind w:left="1128" w:right="0" w:firstLine="0"/>
        <w:jc w:val="both"/>
        <w:rPr>
          <w:rFonts w:ascii="Franklin Gothic Book" w:hAnsi="Franklin Gothic Book"/>
          <w:sz w:val="20"/>
        </w:rPr>
      </w:pPr>
      <w:r>
        <w:rPr/>
        <w:pict>
          <v:line style="position:absolute;mso-position-horizontal-relative:page;mso-position-vertical-relative:paragraph;z-index:-251444224;mso-wrap-distance-left:0;mso-wrap-distance-right:0" from="111.980003pt,16.816103pt" to="525.930003pt,16.816103pt" stroked="true" strokeweight="1.44pt" strokecolor="#006247">
            <v:stroke dashstyle="solid"/>
            <w10:wrap type="topAndBottom"/>
          </v:line>
        </w:pict>
      </w:r>
      <w:r>
        <w:rPr>
          <w:rFonts w:ascii="Franklin Gothic Book" w:hAnsi="Franklin Gothic Book"/>
          <w:sz w:val="20"/>
        </w:rPr>
        <w:t>nell’ottica di uno sviluppo delle politiche sostenibili e </w:t>
      </w:r>
      <w:r>
        <w:rPr>
          <w:rFonts w:ascii="Franklin Gothic Book" w:hAnsi="Franklin Gothic Book"/>
          <w:i/>
          <w:sz w:val="20"/>
        </w:rPr>
        <w:t>green</w:t>
      </w:r>
      <w:r>
        <w:rPr>
          <w:rFonts w:ascii="Franklin Gothic Book" w:hAnsi="Franklin Gothic Book"/>
          <w:sz w:val="20"/>
        </w:rPr>
        <w:t>.</w:t>
      </w:r>
    </w:p>
    <w:p>
      <w:pPr>
        <w:pStyle w:val="BodyText"/>
        <w:spacing w:before="6"/>
        <w:rPr>
          <w:rFonts w:ascii="Franklin Gothic Book"/>
          <w:sz w:val="11"/>
        </w:rPr>
      </w:pPr>
    </w:p>
    <w:p>
      <w:pPr>
        <w:pStyle w:val="BodyText"/>
        <w:spacing w:line="252" w:lineRule="auto" w:before="101"/>
        <w:ind w:left="1128" w:right="1413" w:firstLine="453"/>
        <w:jc w:val="both"/>
      </w:pPr>
      <w:r>
        <w:rPr/>
        <w:t>È necessario accelerare la digitalizzazione del Paese, con l’obiettivo di far risalire</w:t>
      </w:r>
      <w:r>
        <w:rPr>
          <w:spacing w:val="-7"/>
        </w:rPr>
        <w:t> </w:t>
      </w:r>
      <w:r>
        <w:rPr/>
        <w:t>l’Italia</w:t>
      </w:r>
      <w:r>
        <w:rPr>
          <w:spacing w:val="-7"/>
        </w:rPr>
        <w:t> </w:t>
      </w:r>
      <w:r>
        <w:rPr/>
        <w:t>nell’indice</w:t>
      </w:r>
      <w:r>
        <w:rPr>
          <w:spacing w:val="-7"/>
        </w:rPr>
        <w:t> </w:t>
      </w:r>
      <w:r>
        <w:rPr/>
        <w:t>Desi</w:t>
      </w:r>
      <w:r>
        <w:rPr>
          <w:vertAlign w:val="superscript"/>
        </w:rPr>
        <w:t>7</w:t>
      </w:r>
      <w:r>
        <w:rPr>
          <w:vertAlign w:val="baseline"/>
        </w:rPr>
        <w:t>,</w:t>
      </w:r>
      <w:r>
        <w:rPr>
          <w:spacing w:val="-8"/>
          <w:vertAlign w:val="baseline"/>
        </w:rPr>
        <w:t> </w:t>
      </w:r>
      <w:r>
        <w:rPr>
          <w:vertAlign w:val="baseline"/>
        </w:rPr>
        <w:t>che</w:t>
      </w:r>
      <w:r>
        <w:rPr>
          <w:spacing w:val="-10"/>
          <w:vertAlign w:val="baseline"/>
        </w:rPr>
        <w:t> </w:t>
      </w:r>
      <w:r>
        <w:rPr>
          <w:vertAlign w:val="baseline"/>
        </w:rPr>
        <w:t>rileva</w:t>
      </w:r>
      <w:r>
        <w:rPr>
          <w:spacing w:val="-7"/>
          <w:vertAlign w:val="baseline"/>
        </w:rPr>
        <w:t> </w:t>
      </w:r>
      <w:r>
        <w:rPr>
          <w:vertAlign w:val="baseline"/>
        </w:rPr>
        <w:t>i</w:t>
      </w:r>
      <w:r>
        <w:rPr>
          <w:spacing w:val="-9"/>
          <w:vertAlign w:val="baseline"/>
        </w:rPr>
        <w:t> </w:t>
      </w:r>
      <w:r>
        <w:rPr>
          <w:vertAlign w:val="baseline"/>
        </w:rPr>
        <w:t>progressi</w:t>
      </w:r>
      <w:r>
        <w:rPr>
          <w:spacing w:val="-7"/>
          <w:vertAlign w:val="baseline"/>
        </w:rPr>
        <w:t> </w:t>
      </w:r>
      <w:r>
        <w:rPr>
          <w:vertAlign w:val="baseline"/>
        </w:rPr>
        <w:t>compiuti</w:t>
      </w:r>
      <w:r>
        <w:rPr>
          <w:spacing w:val="-7"/>
          <w:vertAlign w:val="baseline"/>
        </w:rPr>
        <w:t> </w:t>
      </w:r>
      <w:r>
        <w:rPr>
          <w:vertAlign w:val="baseline"/>
        </w:rPr>
        <w:t>dagli</w:t>
      </w:r>
      <w:r>
        <w:rPr>
          <w:spacing w:val="-8"/>
          <w:vertAlign w:val="baseline"/>
        </w:rPr>
        <w:t> </w:t>
      </w:r>
      <w:r>
        <w:rPr>
          <w:vertAlign w:val="baseline"/>
        </w:rPr>
        <w:t>Stati</w:t>
      </w:r>
      <w:r>
        <w:rPr>
          <w:spacing w:val="-7"/>
          <w:vertAlign w:val="baseline"/>
        </w:rPr>
        <w:t> </w:t>
      </w:r>
      <w:r>
        <w:rPr>
          <w:vertAlign w:val="baseline"/>
        </w:rPr>
        <w:t>UE</w:t>
      </w:r>
      <w:r>
        <w:rPr>
          <w:spacing w:val="-7"/>
          <w:vertAlign w:val="baseline"/>
        </w:rPr>
        <w:t> </w:t>
      </w:r>
      <w:r>
        <w:rPr>
          <w:vertAlign w:val="baseline"/>
        </w:rPr>
        <w:t>in</w:t>
      </w:r>
      <w:r>
        <w:rPr>
          <w:spacing w:val="-10"/>
          <w:vertAlign w:val="baseline"/>
        </w:rPr>
        <w:t> </w:t>
      </w:r>
      <w:r>
        <w:rPr>
          <w:vertAlign w:val="baseline"/>
        </w:rPr>
        <w:t>tale ambito, non solo sul fronte delle infrastrutture ma anche in relazione ai servizi digitali per cittadini e</w:t>
      </w:r>
      <w:r>
        <w:rPr>
          <w:spacing w:val="-2"/>
          <w:vertAlign w:val="baseline"/>
        </w:rPr>
        <w:t> </w:t>
      </w:r>
      <w:r>
        <w:rPr>
          <w:vertAlign w:val="baseline"/>
        </w:rPr>
        <w:t>imprese.</w:t>
      </w:r>
    </w:p>
    <w:p>
      <w:pPr>
        <w:pStyle w:val="BodyText"/>
        <w:spacing w:line="252" w:lineRule="auto"/>
        <w:ind w:left="1128" w:right="1410" w:firstLine="453"/>
        <w:jc w:val="both"/>
      </w:pPr>
      <w:r>
        <w:rPr/>
        <w:t>Tra le misure che favoriranno la trasformazione digitale del Paese rientra la piena</w:t>
      </w:r>
      <w:r>
        <w:rPr>
          <w:spacing w:val="-6"/>
        </w:rPr>
        <w:t> </w:t>
      </w:r>
      <w:r>
        <w:rPr/>
        <w:t>attuazione</w:t>
      </w:r>
      <w:r>
        <w:rPr>
          <w:spacing w:val="-4"/>
        </w:rPr>
        <w:t> </w:t>
      </w:r>
      <w:r>
        <w:rPr/>
        <w:t>del</w:t>
      </w:r>
      <w:r>
        <w:rPr>
          <w:spacing w:val="-5"/>
        </w:rPr>
        <w:t> </w:t>
      </w:r>
      <w:r>
        <w:rPr/>
        <w:t>Piano</w:t>
      </w:r>
      <w:r>
        <w:rPr>
          <w:spacing w:val="-6"/>
        </w:rPr>
        <w:t> </w:t>
      </w:r>
      <w:r>
        <w:rPr/>
        <w:t>Banda</w:t>
      </w:r>
      <w:r>
        <w:rPr>
          <w:spacing w:val="-5"/>
        </w:rPr>
        <w:t> </w:t>
      </w:r>
      <w:r>
        <w:rPr/>
        <w:t>Larga.</w:t>
      </w:r>
      <w:r>
        <w:rPr>
          <w:spacing w:val="-7"/>
        </w:rPr>
        <w:t> </w:t>
      </w:r>
      <w:r>
        <w:rPr/>
        <w:t>A</w:t>
      </w:r>
      <w:r>
        <w:rPr>
          <w:spacing w:val="-5"/>
        </w:rPr>
        <w:t> </w:t>
      </w:r>
      <w:r>
        <w:rPr/>
        <w:t>tal</w:t>
      </w:r>
      <w:r>
        <w:rPr>
          <w:spacing w:val="-4"/>
        </w:rPr>
        <w:t> </w:t>
      </w:r>
      <w:r>
        <w:rPr/>
        <w:t>fine</w:t>
      </w:r>
      <w:r>
        <w:rPr>
          <w:spacing w:val="-5"/>
        </w:rPr>
        <w:t> </w:t>
      </w:r>
      <w:r>
        <w:rPr/>
        <w:t>il</w:t>
      </w:r>
      <w:r>
        <w:rPr>
          <w:spacing w:val="-5"/>
        </w:rPr>
        <w:t> </w:t>
      </w:r>
      <w:r>
        <w:rPr/>
        <w:t>Comitato</w:t>
      </w:r>
      <w:r>
        <w:rPr>
          <w:spacing w:val="-5"/>
        </w:rPr>
        <w:t> </w:t>
      </w:r>
      <w:r>
        <w:rPr/>
        <w:t>Banda</w:t>
      </w:r>
      <w:r>
        <w:rPr>
          <w:spacing w:val="-8"/>
        </w:rPr>
        <w:t> </w:t>
      </w:r>
      <w:r>
        <w:rPr/>
        <w:t>Ultra</w:t>
      </w:r>
      <w:r>
        <w:rPr>
          <w:spacing w:val="-3"/>
        </w:rPr>
        <w:t> </w:t>
      </w:r>
      <w:r>
        <w:rPr/>
        <w:t>Larga</w:t>
      </w:r>
      <w:r>
        <w:rPr>
          <w:spacing w:val="-7"/>
        </w:rPr>
        <w:t> </w:t>
      </w:r>
      <w:r>
        <w:rPr/>
        <w:t>ha approvato il lancio della seconda fase del Piano per intervenire nelle ‘aree grigie’ del Paese e sostenere la domanda di servizi ultraveloci attraverso i </w:t>
      </w:r>
      <w:r>
        <w:rPr>
          <w:i/>
        </w:rPr>
        <w:t>voucher </w:t>
      </w:r>
      <w:r>
        <w:rPr/>
        <w:t>per la connettività. Nelle Regioni dove Infratel ha realizzato le infrastrutture di accesso alla rete pubblica in fibra ottica la stessa società ha siglato un accordo con la TIM, che prevede un programma di attivazioni da parte dell’operatore privato, conseguenti alla consegna della fibra ottica da parte di Infratel, con date certe riguardo l’attivazione dei servizi ai cittadini, alla pubblica amministrazione ed alle aziende</w:t>
      </w:r>
      <w:r>
        <w:rPr>
          <w:spacing w:val="-7"/>
        </w:rPr>
        <w:t> </w:t>
      </w:r>
      <w:r>
        <w:rPr/>
        <w:t>di</w:t>
      </w:r>
      <w:r>
        <w:rPr>
          <w:spacing w:val="-7"/>
        </w:rPr>
        <w:t> </w:t>
      </w:r>
      <w:r>
        <w:rPr/>
        <w:t>quei</w:t>
      </w:r>
      <w:r>
        <w:rPr>
          <w:spacing w:val="-6"/>
        </w:rPr>
        <w:t> </w:t>
      </w:r>
      <w:r>
        <w:rPr/>
        <w:t>territori.</w:t>
      </w:r>
      <w:r>
        <w:rPr>
          <w:spacing w:val="-5"/>
        </w:rPr>
        <w:t> </w:t>
      </w:r>
      <w:r>
        <w:rPr/>
        <w:t>In</w:t>
      </w:r>
      <w:r>
        <w:rPr>
          <w:spacing w:val="-6"/>
        </w:rPr>
        <w:t> </w:t>
      </w:r>
      <w:r>
        <w:rPr/>
        <w:t>tal</w:t>
      </w:r>
      <w:r>
        <w:rPr>
          <w:spacing w:val="-7"/>
        </w:rPr>
        <w:t> </w:t>
      </w:r>
      <w:r>
        <w:rPr/>
        <w:t>modo</w:t>
      </w:r>
      <w:r>
        <w:rPr>
          <w:spacing w:val="-8"/>
        </w:rPr>
        <w:t> </w:t>
      </w:r>
      <w:r>
        <w:rPr/>
        <w:t>verrà</w:t>
      </w:r>
      <w:r>
        <w:rPr>
          <w:spacing w:val="-5"/>
        </w:rPr>
        <w:t> </w:t>
      </w:r>
      <w:r>
        <w:rPr/>
        <w:t>accelerato</w:t>
      </w:r>
      <w:r>
        <w:rPr>
          <w:spacing w:val="-8"/>
        </w:rPr>
        <w:t> </w:t>
      </w:r>
      <w:r>
        <w:rPr/>
        <w:t>lo</w:t>
      </w:r>
      <w:r>
        <w:rPr>
          <w:spacing w:val="-7"/>
        </w:rPr>
        <w:t> </w:t>
      </w:r>
      <w:r>
        <w:rPr/>
        <w:t>sviluppo</w:t>
      </w:r>
      <w:r>
        <w:rPr>
          <w:spacing w:val="-8"/>
        </w:rPr>
        <w:t> </w:t>
      </w:r>
      <w:r>
        <w:rPr/>
        <w:t>delle</w:t>
      </w:r>
      <w:r>
        <w:rPr>
          <w:spacing w:val="-6"/>
        </w:rPr>
        <w:t> </w:t>
      </w:r>
      <w:r>
        <w:rPr/>
        <w:t>reti</w:t>
      </w:r>
      <w:r>
        <w:rPr>
          <w:spacing w:val="-6"/>
        </w:rPr>
        <w:t> </w:t>
      </w:r>
      <w:r>
        <w:rPr/>
        <w:t>a</w:t>
      </w:r>
      <w:r>
        <w:rPr>
          <w:spacing w:val="-7"/>
        </w:rPr>
        <w:t> </w:t>
      </w:r>
      <w:r>
        <w:rPr/>
        <w:t>banda ultra larga nelle aree ‘a fallimento di mercato’ non oggetto di bandi</w:t>
      </w:r>
      <w:r>
        <w:rPr>
          <w:spacing w:val="-26"/>
        </w:rPr>
        <w:t> </w:t>
      </w:r>
      <w:r>
        <w:rPr/>
        <w:t>precedenti.</w:t>
      </w:r>
    </w:p>
    <w:p>
      <w:pPr>
        <w:pStyle w:val="BodyText"/>
        <w:spacing w:line="252" w:lineRule="auto" w:before="2"/>
        <w:ind w:left="1128" w:right="1412" w:firstLine="453"/>
        <w:jc w:val="both"/>
      </w:pPr>
      <w:r>
        <w:rPr/>
        <w:t>Per favorire l’innovazione e lo sviluppo delle tecnologie e delle applicazioni di Intelligenza</w:t>
      </w:r>
      <w:r>
        <w:rPr>
          <w:spacing w:val="-10"/>
        </w:rPr>
        <w:t> </w:t>
      </w:r>
      <w:r>
        <w:rPr/>
        <w:t>Artificiale,</w:t>
      </w:r>
      <w:r>
        <w:rPr>
          <w:spacing w:val="-11"/>
        </w:rPr>
        <w:t> </w:t>
      </w:r>
      <w:r>
        <w:rPr>
          <w:i/>
        </w:rPr>
        <w:t>Blockchain</w:t>
      </w:r>
      <w:r>
        <w:rPr>
          <w:i/>
          <w:spacing w:val="-10"/>
        </w:rPr>
        <w:t> </w:t>
      </w:r>
      <w:r>
        <w:rPr/>
        <w:t>e</w:t>
      </w:r>
      <w:r>
        <w:rPr>
          <w:spacing w:val="-9"/>
        </w:rPr>
        <w:t> </w:t>
      </w:r>
      <w:r>
        <w:rPr>
          <w:i/>
        </w:rPr>
        <w:t>Internet</w:t>
      </w:r>
      <w:r>
        <w:rPr>
          <w:i/>
          <w:spacing w:val="-11"/>
        </w:rPr>
        <w:t> </w:t>
      </w:r>
      <w:r>
        <w:rPr>
          <w:i/>
        </w:rPr>
        <w:t>of</w:t>
      </w:r>
      <w:r>
        <w:rPr>
          <w:i/>
          <w:spacing w:val="-9"/>
        </w:rPr>
        <w:t> </w:t>
      </w:r>
      <w:r>
        <w:rPr>
          <w:i/>
        </w:rPr>
        <w:t>Things</w:t>
      </w:r>
      <w:r>
        <w:rPr/>
        <w:t>,</w:t>
      </w:r>
      <w:r>
        <w:rPr>
          <w:spacing w:val="-9"/>
        </w:rPr>
        <w:t> </w:t>
      </w:r>
      <w:r>
        <w:rPr/>
        <w:t>con</w:t>
      </w:r>
      <w:r>
        <w:rPr>
          <w:spacing w:val="-10"/>
        </w:rPr>
        <w:t> </w:t>
      </w:r>
      <w:r>
        <w:rPr/>
        <w:t>la</w:t>
      </w:r>
      <w:r>
        <w:rPr>
          <w:spacing w:val="-13"/>
        </w:rPr>
        <w:t> </w:t>
      </w:r>
      <w:r>
        <w:rPr/>
        <w:t>Legge</w:t>
      </w:r>
      <w:r>
        <w:rPr>
          <w:spacing w:val="-12"/>
        </w:rPr>
        <w:t> </w:t>
      </w:r>
      <w:r>
        <w:rPr/>
        <w:t>di</w:t>
      </w:r>
      <w:r>
        <w:rPr>
          <w:spacing w:val="-10"/>
        </w:rPr>
        <w:t> </w:t>
      </w:r>
      <w:r>
        <w:rPr/>
        <w:t>Bilancio</w:t>
      </w:r>
      <w:r>
        <w:rPr>
          <w:spacing w:val="-10"/>
        </w:rPr>
        <w:t> </w:t>
      </w:r>
      <w:r>
        <w:rPr/>
        <w:t>per il 2019 è stato istituito un apposito fondo con una dotazione di 15 milioni annui dal 2019 al 2021. La Strategia nazionale per l’Intelligenza Artificiale, elaborata dal Ministero dello Sviluppo Economico con il supporto del gruppo di esperti incaricati di formulare proposte di </w:t>
      </w:r>
      <w:r>
        <w:rPr>
          <w:i/>
        </w:rPr>
        <w:t>policy </w:t>
      </w:r>
      <w:r>
        <w:rPr/>
        <w:t>per favorire lo sviluppo del settore, è stata sottoposta</w:t>
      </w:r>
      <w:r>
        <w:rPr>
          <w:spacing w:val="-8"/>
        </w:rPr>
        <w:t> </w:t>
      </w:r>
      <w:r>
        <w:rPr/>
        <w:t>a</w:t>
      </w:r>
      <w:r>
        <w:rPr>
          <w:spacing w:val="-7"/>
        </w:rPr>
        <w:t> </w:t>
      </w:r>
      <w:r>
        <w:rPr/>
        <w:t>consultazione</w:t>
      </w:r>
      <w:r>
        <w:rPr>
          <w:spacing w:val="-7"/>
        </w:rPr>
        <w:t> </w:t>
      </w:r>
      <w:r>
        <w:rPr/>
        <w:t>pubblica.</w:t>
      </w:r>
      <w:r>
        <w:rPr>
          <w:spacing w:val="-4"/>
        </w:rPr>
        <w:t> </w:t>
      </w:r>
      <w:r>
        <w:rPr/>
        <w:t>È</w:t>
      </w:r>
      <w:r>
        <w:rPr>
          <w:spacing w:val="-7"/>
        </w:rPr>
        <w:t> </w:t>
      </w:r>
      <w:r>
        <w:rPr/>
        <w:t>anche</w:t>
      </w:r>
      <w:r>
        <w:rPr>
          <w:spacing w:val="-7"/>
        </w:rPr>
        <w:t> </w:t>
      </w:r>
      <w:r>
        <w:rPr/>
        <w:t>in</w:t>
      </w:r>
      <w:r>
        <w:rPr>
          <w:spacing w:val="-10"/>
        </w:rPr>
        <w:t> </w:t>
      </w:r>
      <w:r>
        <w:rPr/>
        <w:t>corso</w:t>
      </w:r>
      <w:r>
        <w:rPr>
          <w:spacing w:val="-7"/>
        </w:rPr>
        <w:t> </w:t>
      </w:r>
      <w:r>
        <w:rPr/>
        <w:t>il</w:t>
      </w:r>
      <w:r>
        <w:rPr>
          <w:spacing w:val="-7"/>
        </w:rPr>
        <w:t> </w:t>
      </w:r>
      <w:r>
        <w:rPr/>
        <w:t>lavoro</w:t>
      </w:r>
      <w:r>
        <w:rPr>
          <w:spacing w:val="-7"/>
        </w:rPr>
        <w:t> </w:t>
      </w:r>
      <w:r>
        <w:rPr/>
        <w:t>del</w:t>
      </w:r>
      <w:r>
        <w:rPr>
          <w:spacing w:val="-7"/>
        </w:rPr>
        <w:t> </w:t>
      </w:r>
      <w:r>
        <w:rPr/>
        <w:t>gruppo</w:t>
      </w:r>
      <w:r>
        <w:rPr>
          <w:spacing w:val="-7"/>
        </w:rPr>
        <w:t> </w:t>
      </w:r>
      <w:r>
        <w:rPr/>
        <w:t>di</w:t>
      </w:r>
      <w:r>
        <w:rPr>
          <w:spacing w:val="-7"/>
        </w:rPr>
        <w:t> </w:t>
      </w:r>
      <w:r>
        <w:rPr/>
        <w:t>esperti selezionati dal Ministero dello Sviluppo Economico incaricato di redigere una Strategia nazionale per la</w:t>
      </w:r>
      <w:r>
        <w:rPr>
          <w:spacing w:val="-2"/>
        </w:rPr>
        <w:t> </w:t>
      </w:r>
      <w:r>
        <w:rPr>
          <w:i/>
        </w:rPr>
        <w:t>Blockchain</w:t>
      </w:r>
      <w:r>
        <w:rPr/>
        <w:t>.</w:t>
      </w:r>
    </w:p>
    <w:p>
      <w:pPr>
        <w:pStyle w:val="BodyText"/>
        <w:spacing w:line="252" w:lineRule="auto" w:before="1"/>
        <w:ind w:left="1128" w:right="1413" w:firstLine="453"/>
        <w:jc w:val="both"/>
      </w:pPr>
      <w:r>
        <w:rPr/>
        <w:t>È inoltre in via di completamento l’iter per rendere operativo il Fondo Nazionale</w:t>
      </w:r>
      <w:r>
        <w:rPr>
          <w:spacing w:val="-12"/>
        </w:rPr>
        <w:t> </w:t>
      </w:r>
      <w:r>
        <w:rPr/>
        <w:t>per</w:t>
      </w:r>
      <w:r>
        <w:rPr>
          <w:spacing w:val="-13"/>
        </w:rPr>
        <w:t> </w:t>
      </w:r>
      <w:r>
        <w:rPr/>
        <w:t>l’Innovazione</w:t>
      </w:r>
      <w:r>
        <w:rPr>
          <w:spacing w:val="-12"/>
        </w:rPr>
        <w:t> </w:t>
      </w:r>
      <w:r>
        <w:rPr/>
        <w:t>gestito</w:t>
      </w:r>
      <w:r>
        <w:rPr>
          <w:spacing w:val="-12"/>
        </w:rPr>
        <w:t> </w:t>
      </w:r>
      <w:r>
        <w:rPr/>
        <w:t>attraverso</w:t>
      </w:r>
      <w:r>
        <w:rPr>
          <w:spacing w:val="-12"/>
        </w:rPr>
        <w:t> </w:t>
      </w:r>
      <w:r>
        <w:rPr/>
        <w:t>una</w:t>
      </w:r>
      <w:r>
        <w:rPr>
          <w:spacing w:val="-12"/>
        </w:rPr>
        <w:t> </w:t>
      </w:r>
      <w:r>
        <w:rPr/>
        <w:t>cabina</w:t>
      </w:r>
      <w:r>
        <w:rPr>
          <w:spacing w:val="-13"/>
        </w:rPr>
        <w:t> </w:t>
      </w:r>
      <w:r>
        <w:rPr/>
        <w:t>di</w:t>
      </w:r>
      <w:r>
        <w:rPr>
          <w:spacing w:val="-15"/>
        </w:rPr>
        <w:t> </w:t>
      </w:r>
      <w:r>
        <w:rPr/>
        <w:t>regia</w:t>
      </w:r>
      <w:r>
        <w:rPr>
          <w:spacing w:val="-12"/>
        </w:rPr>
        <w:t> </w:t>
      </w:r>
      <w:r>
        <w:rPr/>
        <w:t>in</w:t>
      </w:r>
      <w:r>
        <w:rPr>
          <w:spacing w:val="-15"/>
        </w:rPr>
        <w:t> </w:t>
      </w:r>
      <w:r>
        <w:rPr/>
        <w:t>grado</w:t>
      </w:r>
      <w:r>
        <w:rPr>
          <w:spacing w:val="-14"/>
        </w:rPr>
        <w:t> </w:t>
      </w:r>
      <w:r>
        <w:rPr/>
        <w:t>di</w:t>
      </w:r>
      <w:r>
        <w:rPr>
          <w:spacing w:val="-15"/>
        </w:rPr>
        <w:t> </w:t>
      </w:r>
      <w:r>
        <w:rPr/>
        <w:t>riunire le risorse pubbliche e private dedicate a questo tema strategico. Il Fondo Innovazione opererà come fondo di fondi attraverso investimenti diretti in </w:t>
      </w:r>
      <w:r>
        <w:rPr>
          <w:i/>
        </w:rPr>
        <w:t>start </w:t>
      </w:r>
      <w:r>
        <w:rPr>
          <w:i/>
          <w:spacing w:val="-3"/>
        </w:rPr>
        <w:t>up </w:t>
      </w:r>
      <w:r>
        <w:rPr/>
        <w:t>e PMI</w:t>
      </w:r>
      <w:r>
        <w:rPr>
          <w:spacing w:val="-1"/>
        </w:rPr>
        <w:t> </w:t>
      </w:r>
      <w:r>
        <w:rPr/>
        <w:t>innovative.</w:t>
      </w:r>
    </w:p>
    <w:p>
      <w:pPr>
        <w:pStyle w:val="BodyText"/>
        <w:spacing w:line="252" w:lineRule="auto"/>
        <w:ind w:left="1128" w:right="1411" w:firstLine="453"/>
        <w:jc w:val="both"/>
      </w:pPr>
      <w:r>
        <w:rPr/>
        <w:t>Per favorire l’accesso all’innovazione e alle nuove tecnologie va rafforzata la collaborazione tra istituzioni, università e imprese. È in corso di completamento il lavoro</w:t>
      </w:r>
      <w:r>
        <w:rPr>
          <w:spacing w:val="-10"/>
        </w:rPr>
        <w:t> </w:t>
      </w:r>
      <w:r>
        <w:rPr/>
        <w:t>di</w:t>
      </w:r>
      <w:r>
        <w:rPr>
          <w:spacing w:val="-11"/>
        </w:rPr>
        <w:t> </w:t>
      </w:r>
      <w:r>
        <w:rPr/>
        <w:t>mappatura</w:t>
      </w:r>
      <w:r>
        <w:rPr>
          <w:spacing w:val="-9"/>
        </w:rPr>
        <w:t> </w:t>
      </w:r>
      <w:r>
        <w:rPr/>
        <w:t>dei</w:t>
      </w:r>
      <w:r>
        <w:rPr>
          <w:spacing w:val="-13"/>
        </w:rPr>
        <w:t> </w:t>
      </w:r>
      <w:r>
        <w:rPr/>
        <w:t>centri</w:t>
      </w:r>
      <w:r>
        <w:rPr>
          <w:spacing w:val="-10"/>
        </w:rPr>
        <w:t> </w:t>
      </w:r>
      <w:r>
        <w:rPr/>
        <w:t>di</w:t>
      </w:r>
      <w:r>
        <w:rPr>
          <w:spacing w:val="-12"/>
        </w:rPr>
        <w:t> </w:t>
      </w:r>
      <w:r>
        <w:rPr/>
        <w:t>trasferimento</w:t>
      </w:r>
      <w:r>
        <w:rPr>
          <w:spacing w:val="-11"/>
        </w:rPr>
        <w:t> </w:t>
      </w:r>
      <w:r>
        <w:rPr/>
        <w:t>tecnologico</w:t>
      </w:r>
      <w:r>
        <w:rPr>
          <w:spacing w:val="-10"/>
        </w:rPr>
        <w:t> </w:t>
      </w:r>
      <w:r>
        <w:rPr/>
        <w:t>in</w:t>
      </w:r>
      <w:r>
        <w:rPr>
          <w:spacing w:val="-13"/>
        </w:rPr>
        <w:t> </w:t>
      </w:r>
      <w:r>
        <w:rPr/>
        <w:t>Italia,</w:t>
      </w:r>
      <w:r>
        <w:rPr>
          <w:spacing w:val="-9"/>
        </w:rPr>
        <w:t> </w:t>
      </w:r>
      <w:r>
        <w:rPr/>
        <w:t>che</w:t>
      </w:r>
      <w:r>
        <w:rPr>
          <w:spacing w:val="-13"/>
        </w:rPr>
        <w:t> </w:t>
      </w:r>
      <w:r>
        <w:rPr/>
        <w:t>consentirà una più efficace azione di coordinamento e di indirizzo per il trasferimento tecnologico alle imprese, anche attraverso il potenziamento delle strutture esistenti. Sarà inoltre indispensabile proseguire il sostegno alla domanda pubblica intelligente</w:t>
      </w:r>
      <w:r>
        <w:rPr>
          <w:spacing w:val="-13"/>
        </w:rPr>
        <w:t> </w:t>
      </w:r>
      <w:r>
        <w:rPr/>
        <w:t>e</w:t>
      </w:r>
      <w:r>
        <w:rPr>
          <w:spacing w:val="-12"/>
        </w:rPr>
        <w:t> </w:t>
      </w:r>
      <w:r>
        <w:rPr/>
        <w:t>favorire</w:t>
      </w:r>
      <w:r>
        <w:rPr>
          <w:spacing w:val="-12"/>
        </w:rPr>
        <w:t> </w:t>
      </w:r>
      <w:r>
        <w:rPr/>
        <w:t>l’accesso</w:t>
      </w:r>
      <w:r>
        <w:rPr>
          <w:spacing w:val="-13"/>
        </w:rPr>
        <w:t> </w:t>
      </w:r>
      <w:r>
        <w:rPr/>
        <w:t>delle</w:t>
      </w:r>
      <w:r>
        <w:rPr>
          <w:spacing w:val="-14"/>
        </w:rPr>
        <w:t> </w:t>
      </w:r>
      <w:r>
        <w:rPr>
          <w:i/>
        </w:rPr>
        <w:t>start</w:t>
      </w:r>
      <w:r>
        <w:rPr>
          <w:i/>
          <w:spacing w:val="-13"/>
        </w:rPr>
        <w:t> </w:t>
      </w:r>
      <w:r>
        <w:rPr>
          <w:i/>
        </w:rPr>
        <w:t>up</w:t>
      </w:r>
      <w:r>
        <w:rPr>
          <w:i/>
          <w:spacing w:val="-12"/>
        </w:rPr>
        <w:t> </w:t>
      </w:r>
      <w:r>
        <w:rPr/>
        <w:t>e</w:t>
      </w:r>
      <w:r>
        <w:rPr>
          <w:spacing w:val="-16"/>
        </w:rPr>
        <w:t> </w:t>
      </w:r>
      <w:r>
        <w:rPr/>
        <w:t>PMI</w:t>
      </w:r>
      <w:r>
        <w:rPr>
          <w:spacing w:val="-12"/>
        </w:rPr>
        <w:t> </w:t>
      </w:r>
      <w:r>
        <w:rPr/>
        <w:t>innovative</w:t>
      </w:r>
      <w:r>
        <w:rPr>
          <w:spacing w:val="-12"/>
        </w:rPr>
        <w:t> </w:t>
      </w:r>
      <w:r>
        <w:rPr/>
        <w:t>agli</w:t>
      </w:r>
      <w:r>
        <w:rPr>
          <w:spacing w:val="-13"/>
        </w:rPr>
        <w:t> </w:t>
      </w:r>
      <w:r>
        <w:rPr/>
        <w:t>appalti</w:t>
      </w:r>
      <w:r>
        <w:rPr>
          <w:spacing w:val="-12"/>
        </w:rPr>
        <w:t> </w:t>
      </w:r>
      <w:r>
        <w:rPr/>
        <w:t>pubblici.</w:t>
      </w:r>
    </w:p>
    <w:p>
      <w:pPr>
        <w:pStyle w:val="BodyText"/>
        <w:rPr>
          <w:sz w:val="20"/>
        </w:rPr>
      </w:pPr>
    </w:p>
    <w:p>
      <w:pPr>
        <w:pStyle w:val="BodyText"/>
        <w:rPr>
          <w:sz w:val="20"/>
        </w:rPr>
      </w:pPr>
    </w:p>
    <w:p>
      <w:pPr>
        <w:pStyle w:val="BodyText"/>
        <w:spacing w:before="3"/>
        <w:rPr>
          <w:sz w:val="12"/>
        </w:rPr>
      </w:pPr>
      <w:r>
        <w:rPr/>
        <w:pict>
          <v:group style="position:absolute;margin-left:136.100006pt;margin-top:9.11248pt;width:21.4pt;height:2.15pt;mso-position-horizontal-relative:page;mso-position-vertical-relative:paragraph;z-index:-251443200;mso-wrap-distance-left:0;mso-wrap-distance-right:0" coordorigin="2722,182" coordsize="428,43">
            <v:line style="position:absolute" from="2722,203" to="3149,203" stroked="true" strokeweight="2.050pt" strokecolor="#aaaaaa">
              <v:stroke dashstyle="solid"/>
            </v:line>
            <v:rect style="position:absolute;left:2722;top:184;width:5;height:5" filled="true" fillcolor="#9f9f9f" stroked="false">
              <v:fill type="solid"/>
            </v:rect>
            <v:rect style="position:absolute;left:2722;top:184;width:5;height:5" filled="true" fillcolor="#9f9f9f" stroked="false">
              <v:fill type="solid"/>
            </v:rect>
            <v:line style="position:absolute" from="2727,186" to="3144,186" stroked="true" strokeweight=".23999pt" strokecolor="#9f9f9f">
              <v:stroke dashstyle="solid"/>
            </v:line>
            <v:rect style="position:absolute;left:3144;top:184;width:5;height:5" filled="true" fillcolor="#e2e2e2" stroked="false">
              <v:fill type="solid"/>
            </v:rect>
            <v:rect style="position:absolute;left:3144;top:184;width:5;height:5" filled="true" fillcolor="#9f9f9f" stroked="false">
              <v:fill type="solid"/>
            </v:rect>
            <v:rect style="position:absolute;left:2722;top:188;width:5;height:32" filled="true" fillcolor="#9f9f9f" stroked="false">
              <v:fill type="solid"/>
            </v:rect>
            <v:rect style="position:absolute;left:3144;top:188;width:5;height:32" filled="true" fillcolor="#e2e2e2" stroked="false">
              <v:fill type="solid"/>
            </v:rect>
            <v:rect style="position:absolute;left:2722;top:220;width:5;height:5" filled="true" fillcolor="#9f9f9f" stroked="false">
              <v:fill type="solid"/>
            </v:rect>
            <v:rect style="position:absolute;left:2722;top:220;width:5;height:5" filled="true" fillcolor="#e2e2e2" stroked="false">
              <v:fill type="solid"/>
            </v:rect>
            <v:line style="position:absolute" from="2727,222" to="3144,222" stroked="true" strokeweight=".23999pt" strokecolor="#e2e2e2">
              <v:stroke dashstyle="solid"/>
            </v:line>
            <v:rect style="position:absolute;left:3144;top:220;width:5;height:5" filled="true" fillcolor="#e2e2e2" stroked="false">
              <v:fill type="solid"/>
            </v:rect>
            <v:rect style="position:absolute;left:3144;top:220;width:5;height:5" filled="true" fillcolor="#e2e2e2" stroked="false">
              <v:fill type="solid"/>
            </v:rect>
            <w10:wrap type="topAndBottom"/>
          </v:group>
        </w:pict>
      </w:r>
    </w:p>
    <w:p>
      <w:pPr>
        <w:spacing w:before="20"/>
        <w:ind w:left="1582" w:right="0" w:firstLine="0"/>
        <w:jc w:val="left"/>
        <w:rPr>
          <w:sz w:val="16"/>
        </w:rPr>
      </w:pPr>
      <w:r>
        <w:rPr>
          <w:position w:val="6"/>
          <w:sz w:val="10"/>
        </w:rPr>
        <w:t>7 </w:t>
      </w:r>
      <w:r>
        <w:rPr>
          <w:sz w:val="16"/>
        </w:rPr>
        <w:t>Cfr. </w:t>
      </w:r>
      <w:hyperlink r:id="rId83">
        <w:r>
          <w:rPr>
            <w:color w:val="006247"/>
            <w:sz w:val="16"/>
            <w:u w:val="single" w:color="006247"/>
          </w:rPr>
          <w:t>https://ec.europa.eu/digital-single-market/en/desi</w:t>
        </w:r>
      </w:hyperlink>
    </w:p>
    <w:p>
      <w:pPr>
        <w:spacing w:after="0"/>
        <w:jc w:val="left"/>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rPr>
          <w:sz w:val="24"/>
        </w:rPr>
      </w:pPr>
    </w:p>
    <w:p>
      <w:pPr>
        <w:pStyle w:val="BodyText"/>
        <w:spacing w:line="252" w:lineRule="auto" w:before="116"/>
        <w:ind w:left="278" w:right="2263" w:firstLine="453"/>
        <w:jc w:val="both"/>
      </w:pPr>
      <w:r>
        <w:rPr/>
        <w:t>È stato approvato</w:t>
      </w:r>
      <w:r>
        <w:rPr>
          <w:vertAlign w:val="superscript"/>
        </w:rPr>
        <w:t>8</w:t>
      </w:r>
      <w:r>
        <w:rPr>
          <w:vertAlign w:val="baseline"/>
        </w:rPr>
        <w:t> un decreto-legge in materia di perimetro di sicurezza nazionale cibernetica per garantire un livello elevato di sicurezza delle reti, dei sistemi informativi e dei servizi informatici delle amministrazioni pubbliche, degli enti e degli operatori nazionali, pubblici e privati che forniscono un servizio essenziale</w:t>
      </w:r>
      <w:r>
        <w:rPr>
          <w:spacing w:val="-8"/>
          <w:vertAlign w:val="baseline"/>
        </w:rPr>
        <w:t> </w:t>
      </w:r>
      <w:r>
        <w:rPr>
          <w:vertAlign w:val="baseline"/>
        </w:rPr>
        <w:t>per</w:t>
      </w:r>
      <w:r>
        <w:rPr>
          <w:spacing w:val="-8"/>
          <w:vertAlign w:val="baseline"/>
        </w:rPr>
        <w:t> </w:t>
      </w:r>
      <w:r>
        <w:rPr>
          <w:vertAlign w:val="baseline"/>
        </w:rPr>
        <w:t>il</w:t>
      </w:r>
      <w:r>
        <w:rPr>
          <w:spacing w:val="-7"/>
          <w:vertAlign w:val="baseline"/>
        </w:rPr>
        <w:t> </w:t>
      </w:r>
      <w:r>
        <w:rPr>
          <w:vertAlign w:val="baseline"/>
        </w:rPr>
        <w:t>mantenimento</w:t>
      </w:r>
      <w:r>
        <w:rPr>
          <w:spacing w:val="-7"/>
          <w:vertAlign w:val="baseline"/>
        </w:rPr>
        <w:t> </w:t>
      </w:r>
      <w:r>
        <w:rPr>
          <w:vertAlign w:val="baseline"/>
        </w:rPr>
        <w:t>di</w:t>
      </w:r>
      <w:r>
        <w:rPr>
          <w:spacing w:val="-7"/>
          <w:vertAlign w:val="baseline"/>
        </w:rPr>
        <w:t> </w:t>
      </w:r>
      <w:r>
        <w:rPr>
          <w:vertAlign w:val="baseline"/>
        </w:rPr>
        <w:t>attività</w:t>
      </w:r>
      <w:r>
        <w:rPr>
          <w:spacing w:val="-7"/>
          <w:vertAlign w:val="baseline"/>
        </w:rPr>
        <w:t> </w:t>
      </w:r>
      <w:r>
        <w:rPr>
          <w:vertAlign w:val="baseline"/>
        </w:rPr>
        <w:t>civili,</w:t>
      </w:r>
      <w:r>
        <w:rPr>
          <w:spacing w:val="-8"/>
          <w:vertAlign w:val="baseline"/>
        </w:rPr>
        <w:t> </w:t>
      </w:r>
      <w:r>
        <w:rPr>
          <w:vertAlign w:val="baseline"/>
        </w:rPr>
        <w:t>sociali</w:t>
      </w:r>
      <w:r>
        <w:rPr>
          <w:spacing w:val="-7"/>
          <w:vertAlign w:val="baseline"/>
        </w:rPr>
        <w:t> </w:t>
      </w:r>
      <w:r>
        <w:rPr>
          <w:vertAlign w:val="baseline"/>
        </w:rPr>
        <w:t>o</w:t>
      </w:r>
      <w:r>
        <w:rPr>
          <w:spacing w:val="-7"/>
          <w:vertAlign w:val="baseline"/>
        </w:rPr>
        <w:t> </w:t>
      </w:r>
      <w:r>
        <w:rPr>
          <w:vertAlign w:val="baseline"/>
        </w:rPr>
        <w:t>economiche</w:t>
      </w:r>
      <w:r>
        <w:rPr>
          <w:spacing w:val="-9"/>
          <w:vertAlign w:val="baseline"/>
        </w:rPr>
        <w:t> </w:t>
      </w:r>
      <w:r>
        <w:rPr>
          <w:vertAlign w:val="baseline"/>
        </w:rPr>
        <w:t>fondamentali per gli interessi dello Stato e dal cui malfunzionamento, interruzione o utilizzo improprio</w:t>
      </w:r>
      <w:r>
        <w:rPr>
          <w:spacing w:val="-11"/>
          <w:vertAlign w:val="baseline"/>
        </w:rPr>
        <w:t> </w:t>
      </w:r>
      <w:r>
        <w:rPr>
          <w:vertAlign w:val="baseline"/>
        </w:rPr>
        <w:t>possa</w:t>
      </w:r>
      <w:r>
        <w:rPr>
          <w:spacing w:val="-10"/>
          <w:vertAlign w:val="baseline"/>
        </w:rPr>
        <w:t> </w:t>
      </w:r>
      <w:r>
        <w:rPr>
          <w:vertAlign w:val="baseline"/>
        </w:rPr>
        <w:t>derivare</w:t>
      </w:r>
      <w:r>
        <w:rPr>
          <w:spacing w:val="-9"/>
          <w:vertAlign w:val="baseline"/>
        </w:rPr>
        <w:t> </w:t>
      </w:r>
      <w:r>
        <w:rPr>
          <w:vertAlign w:val="baseline"/>
        </w:rPr>
        <w:t>un</w:t>
      </w:r>
      <w:r>
        <w:rPr>
          <w:spacing w:val="-11"/>
          <w:vertAlign w:val="baseline"/>
        </w:rPr>
        <w:t> </w:t>
      </w:r>
      <w:r>
        <w:rPr>
          <w:vertAlign w:val="baseline"/>
        </w:rPr>
        <w:t>pregiudizio</w:t>
      </w:r>
      <w:r>
        <w:rPr>
          <w:spacing w:val="-10"/>
          <w:vertAlign w:val="baseline"/>
        </w:rPr>
        <w:t> </w:t>
      </w:r>
      <w:r>
        <w:rPr>
          <w:vertAlign w:val="baseline"/>
        </w:rPr>
        <w:t>per</w:t>
      </w:r>
      <w:r>
        <w:rPr>
          <w:spacing w:val="-12"/>
          <w:vertAlign w:val="baseline"/>
        </w:rPr>
        <w:t> </w:t>
      </w:r>
      <w:r>
        <w:rPr>
          <w:vertAlign w:val="baseline"/>
        </w:rPr>
        <w:t>la</w:t>
      </w:r>
      <w:r>
        <w:rPr>
          <w:spacing w:val="-11"/>
          <w:vertAlign w:val="baseline"/>
        </w:rPr>
        <w:t> </w:t>
      </w:r>
      <w:r>
        <w:rPr>
          <w:vertAlign w:val="baseline"/>
        </w:rPr>
        <w:t>sicurezza</w:t>
      </w:r>
      <w:r>
        <w:rPr>
          <w:spacing w:val="-12"/>
          <w:vertAlign w:val="baseline"/>
        </w:rPr>
        <w:t> </w:t>
      </w:r>
      <w:r>
        <w:rPr>
          <w:vertAlign w:val="baseline"/>
        </w:rPr>
        <w:t>nazionale.</w:t>
      </w:r>
      <w:r>
        <w:rPr>
          <w:spacing w:val="-9"/>
          <w:vertAlign w:val="baseline"/>
        </w:rPr>
        <w:t> </w:t>
      </w:r>
      <w:r>
        <w:rPr>
          <w:vertAlign w:val="baseline"/>
        </w:rPr>
        <w:t>Una</w:t>
      </w:r>
      <w:r>
        <w:rPr>
          <w:spacing w:val="-14"/>
          <w:vertAlign w:val="baseline"/>
        </w:rPr>
        <w:t> </w:t>
      </w:r>
      <w:r>
        <w:rPr>
          <w:vertAlign w:val="baseline"/>
        </w:rPr>
        <w:t>delle</w:t>
      </w:r>
      <w:r>
        <w:rPr>
          <w:spacing w:val="-10"/>
          <w:vertAlign w:val="baseline"/>
        </w:rPr>
        <w:t> </w:t>
      </w:r>
      <w:r>
        <w:rPr>
          <w:vertAlign w:val="baseline"/>
        </w:rPr>
        <w:t>novità principali riguarda l’istituzione di un meccanismo teso ad assicurare un </w:t>
      </w:r>
      <w:r>
        <w:rPr>
          <w:i/>
          <w:vertAlign w:val="baseline"/>
        </w:rPr>
        <w:t>procurement</w:t>
      </w:r>
      <w:r>
        <w:rPr>
          <w:i/>
          <w:spacing w:val="-12"/>
          <w:vertAlign w:val="baseline"/>
        </w:rPr>
        <w:t> </w:t>
      </w:r>
      <w:r>
        <w:rPr>
          <w:vertAlign w:val="baseline"/>
        </w:rPr>
        <w:t>più</w:t>
      </w:r>
      <w:r>
        <w:rPr>
          <w:spacing w:val="-13"/>
          <w:vertAlign w:val="baseline"/>
        </w:rPr>
        <w:t> </w:t>
      </w:r>
      <w:r>
        <w:rPr>
          <w:vertAlign w:val="baseline"/>
        </w:rPr>
        <w:t>sicuro</w:t>
      </w:r>
      <w:r>
        <w:rPr>
          <w:spacing w:val="-15"/>
          <w:vertAlign w:val="baseline"/>
        </w:rPr>
        <w:t> </w:t>
      </w:r>
      <w:r>
        <w:rPr>
          <w:vertAlign w:val="baseline"/>
        </w:rPr>
        <w:t>per</w:t>
      </w:r>
      <w:r>
        <w:rPr>
          <w:spacing w:val="-12"/>
          <w:vertAlign w:val="baseline"/>
        </w:rPr>
        <w:t> </w:t>
      </w:r>
      <w:r>
        <w:rPr>
          <w:vertAlign w:val="baseline"/>
        </w:rPr>
        <w:t>i</w:t>
      </w:r>
      <w:r>
        <w:rPr>
          <w:spacing w:val="-13"/>
          <w:vertAlign w:val="baseline"/>
        </w:rPr>
        <w:t> </w:t>
      </w:r>
      <w:r>
        <w:rPr>
          <w:vertAlign w:val="baseline"/>
        </w:rPr>
        <w:t>soggetti</w:t>
      </w:r>
      <w:r>
        <w:rPr>
          <w:spacing w:val="-13"/>
          <w:vertAlign w:val="baseline"/>
        </w:rPr>
        <w:t> </w:t>
      </w:r>
      <w:r>
        <w:rPr>
          <w:vertAlign w:val="baseline"/>
        </w:rPr>
        <w:t>inclusi</w:t>
      </w:r>
      <w:r>
        <w:rPr>
          <w:spacing w:val="-12"/>
          <w:vertAlign w:val="baseline"/>
        </w:rPr>
        <w:t> </w:t>
      </w:r>
      <w:r>
        <w:rPr>
          <w:vertAlign w:val="baseline"/>
        </w:rPr>
        <w:t>nel</w:t>
      </w:r>
      <w:r>
        <w:rPr>
          <w:spacing w:val="-17"/>
          <w:vertAlign w:val="baseline"/>
        </w:rPr>
        <w:t> </w:t>
      </w:r>
      <w:r>
        <w:rPr>
          <w:vertAlign w:val="baseline"/>
        </w:rPr>
        <w:t>perimetro</w:t>
      </w:r>
      <w:r>
        <w:rPr>
          <w:spacing w:val="-11"/>
          <w:vertAlign w:val="baseline"/>
        </w:rPr>
        <w:t> </w:t>
      </w:r>
      <w:r>
        <w:rPr>
          <w:vertAlign w:val="baseline"/>
        </w:rPr>
        <w:t>che</w:t>
      </w:r>
      <w:r>
        <w:rPr>
          <w:spacing w:val="-16"/>
          <w:vertAlign w:val="baseline"/>
        </w:rPr>
        <w:t> </w:t>
      </w:r>
      <w:r>
        <w:rPr>
          <w:vertAlign w:val="baseline"/>
        </w:rPr>
        <w:t>intendano</w:t>
      </w:r>
      <w:r>
        <w:rPr>
          <w:spacing w:val="-12"/>
          <w:vertAlign w:val="baseline"/>
        </w:rPr>
        <w:t> </w:t>
      </w:r>
      <w:r>
        <w:rPr>
          <w:vertAlign w:val="baseline"/>
        </w:rPr>
        <w:t>procedere all’affidamento di forniture di beni e servizi ICT destinati a essere impiegati sulle reti, sui sistemi e per i servizi rilevanti. Si modifica inoltre la normativa sull’esercizio dei poteri speciali (</w:t>
      </w:r>
      <w:r>
        <w:rPr>
          <w:i/>
          <w:vertAlign w:val="baseline"/>
        </w:rPr>
        <w:t>Golden Power</w:t>
      </w:r>
      <w:r>
        <w:rPr>
          <w:vertAlign w:val="baseline"/>
        </w:rPr>
        <w:t>) in relazione alle reti</w:t>
      </w:r>
      <w:r>
        <w:rPr>
          <w:spacing w:val="-16"/>
          <w:vertAlign w:val="baseline"/>
        </w:rPr>
        <w:t> </w:t>
      </w:r>
      <w:r>
        <w:rPr>
          <w:vertAlign w:val="baseline"/>
        </w:rPr>
        <w:t>5G.</w:t>
      </w:r>
    </w:p>
    <w:p>
      <w:pPr>
        <w:pStyle w:val="BodyText"/>
        <w:spacing w:line="252" w:lineRule="auto"/>
        <w:ind w:left="278" w:right="2262" w:firstLine="453"/>
        <w:jc w:val="both"/>
      </w:pPr>
      <w:r>
        <w:rPr/>
        <w:t>Il piano impresa 4.0 verrà rafforzato, nell’ambito di una nuova strategia nazionale per l’innovazione, attraverso una revisione organica delle misure esistenti, per favorire la più ampia partecipazione delle piccole e medie imprese, delle filiere produttive e stimolare l’attrazione di grandi investimenti strategici. Il Governo continuerà ad investire sulle competenze potenziando il sistema ITS, confermando il contributo per i manager dell’innovazione - introdotto nella legge di bilancio per il 2019 – ed estendendo le spese ammissibili al credito d’imposta formazione 4.0 compatibilmente e nei limiti del Regolamento sugli aiuti di Stato.</w:t>
      </w:r>
    </w:p>
    <w:p>
      <w:pPr>
        <w:pStyle w:val="BodyText"/>
        <w:spacing w:line="252" w:lineRule="auto"/>
        <w:ind w:left="278" w:right="2261" w:firstLine="453"/>
        <w:jc w:val="both"/>
      </w:pPr>
      <w:r>
        <w:rPr/>
        <w:t>Per ulteriori misure in materia di investimenti si rimanda al Capitolo III paragrafo 5.</w:t>
      </w:r>
    </w:p>
    <w:p>
      <w:pPr>
        <w:pStyle w:val="BodyText"/>
        <w:spacing w:before="10"/>
        <w:rPr>
          <w:sz w:val="33"/>
        </w:rPr>
      </w:pPr>
    </w:p>
    <w:p>
      <w:pPr>
        <w:pStyle w:val="Heading5"/>
        <w:ind w:left="278"/>
      </w:pPr>
      <w:r>
        <w:rPr/>
        <w:t>Divari territoriali e politiche di coesione</w:t>
      </w:r>
    </w:p>
    <w:p>
      <w:pPr>
        <w:spacing w:line="232" w:lineRule="auto" w:before="156"/>
        <w:ind w:left="278" w:right="2267" w:firstLine="0"/>
        <w:jc w:val="both"/>
        <w:rPr>
          <w:rFonts w:ascii="Franklin Gothic Book" w:hAnsi="Franklin Gothic Book"/>
          <w:sz w:val="20"/>
        </w:rPr>
      </w:pPr>
      <w:r>
        <w:rPr/>
        <w:pict>
          <v:line style="position:absolute;mso-position-horizontal-relative:page;mso-position-vertical-relative:paragraph;z-index:-251442176;mso-wrap-distance-left:0;mso-wrap-distance-right:0" from="69.503998pt,68.550079pt" to="483.453998pt,68.550079pt" stroked="true" strokeweight="1.44pt" strokecolor="#006247">
            <v:stroke dashstyle="solid"/>
            <w10:wrap type="topAndBottom"/>
          </v:line>
        </w:pict>
      </w:r>
      <w:r>
        <w:rPr>
          <w:rFonts w:ascii="Franklin Gothic Heavy" w:hAnsi="Franklin Gothic Heavy"/>
          <w:b/>
          <w:color w:val="006247"/>
          <w:sz w:val="20"/>
        </w:rPr>
        <w:t>LINEE PROGRAMMATICHE: </w:t>
      </w:r>
      <w:r>
        <w:rPr>
          <w:rFonts w:ascii="Franklin Gothic Book" w:hAnsi="Franklin Gothic Book"/>
          <w:sz w:val="20"/>
        </w:rPr>
        <w:t>lo sviluppo del Sud e la coesione territoriale rappresentano priorità strategiche del Governo, da realizzare attraverso l’attuazione di un piano strutturale che rilanci gli investimenti e gli interventi in grado di attivare il potenziale di crescita inespresso, rafforzando il capitale</w:t>
      </w:r>
      <w:r>
        <w:rPr>
          <w:rFonts w:ascii="Franklin Gothic Book" w:hAnsi="Franklin Gothic Book"/>
          <w:spacing w:val="-12"/>
          <w:sz w:val="20"/>
        </w:rPr>
        <w:t> </w:t>
      </w:r>
      <w:r>
        <w:rPr>
          <w:rFonts w:ascii="Franklin Gothic Book" w:hAnsi="Franklin Gothic Book"/>
          <w:sz w:val="20"/>
        </w:rPr>
        <w:t>fisico,</w:t>
      </w:r>
      <w:r>
        <w:rPr>
          <w:rFonts w:ascii="Franklin Gothic Book" w:hAnsi="Franklin Gothic Book"/>
          <w:spacing w:val="-11"/>
          <w:sz w:val="20"/>
        </w:rPr>
        <w:t> </w:t>
      </w:r>
      <w:r>
        <w:rPr>
          <w:rFonts w:ascii="Franklin Gothic Book" w:hAnsi="Franklin Gothic Book"/>
          <w:sz w:val="20"/>
        </w:rPr>
        <w:t>umano,</w:t>
      </w:r>
      <w:r>
        <w:rPr>
          <w:rFonts w:ascii="Franklin Gothic Book" w:hAnsi="Franklin Gothic Book"/>
          <w:spacing w:val="-10"/>
          <w:sz w:val="20"/>
        </w:rPr>
        <w:t> </w:t>
      </w:r>
      <w:r>
        <w:rPr>
          <w:rFonts w:ascii="Franklin Gothic Book" w:hAnsi="Franklin Gothic Book"/>
          <w:sz w:val="20"/>
        </w:rPr>
        <w:t>sociale</w:t>
      </w:r>
      <w:r>
        <w:rPr>
          <w:rFonts w:ascii="Franklin Gothic Book" w:hAnsi="Franklin Gothic Book"/>
          <w:spacing w:val="-12"/>
          <w:sz w:val="20"/>
        </w:rPr>
        <w:t> </w:t>
      </w:r>
      <w:r>
        <w:rPr>
          <w:rFonts w:ascii="Franklin Gothic Book" w:hAnsi="Franklin Gothic Book"/>
          <w:sz w:val="20"/>
        </w:rPr>
        <w:t>e</w:t>
      </w:r>
      <w:r>
        <w:rPr>
          <w:rFonts w:ascii="Franklin Gothic Book" w:hAnsi="Franklin Gothic Book"/>
          <w:spacing w:val="-12"/>
          <w:sz w:val="20"/>
        </w:rPr>
        <w:t> </w:t>
      </w:r>
      <w:r>
        <w:rPr>
          <w:rFonts w:ascii="Franklin Gothic Book" w:hAnsi="Franklin Gothic Book"/>
          <w:sz w:val="20"/>
        </w:rPr>
        <w:t>naturale.</w:t>
      </w:r>
      <w:r>
        <w:rPr>
          <w:rFonts w:ascii="Franklin Gothic Book" w:hAnsi="Franklin Gothic Book"/>
          <w:spacing w:val="-11"/>
          <w:sz w:val="20"/>
        </w:rPr>
        <w:t> </w:t>
      </w:r>
      <w:r>
        <w:rPr>
          <w:rFonts w:ascii="Franklin Gothic Book" w:hAnsi="Franklin Gothic Book"/>
          <w:sz w:val="20"/>
        </w:rPr>
        <w:t>L’obiettivo</w:t>
      </w:r>
      <w:r>
        <w:rPr>
          <w:rFonts w:ascii="Franklin Gothic Book" w:hAnsi="Franklin Gothic Book"/>
          <w:spacing w:val="-12"/>
          <w:sz w:val="20"/>
        </w:rPr>
        <w:t> </w:t>
      </w:r>
      <w:r>
        <w:rPr>
          <w:rFonts w:ascii="Franklin Gothic Book" w:hAnsi="Franklin Gothic Book"/>
          <w:sz w:val="20"/>
        </w:rPr>
        <w:t>è</w:t>
      </w:r>
      <w:r>
        <w:rPr>
          <w:rFonts w:ascii="Franklin Gothic Book" w:hAnsi="Franklin Gothic Book"/>
          <w:spacing w:val="-10"/>
          <w:sz w:val="20"/>
        </w:rPr>
        <w:t> </w:t>
      </w:r>
      <w:r>
        <w:rPr>
          <w:rFonts w:ascii="Franklin Gothic Book" w:hAnsi="Franklin Gothic Book"/>
          <w:sz w:val="20"/>
        </w:rPr>
        <w:t>rendere</w:t>
      </w:r>
      <w:r>
        <w:rPr>
          <w:rFonts w:ascii="Franklin Gothic Book" w:hAnsi="Franklin Gothic Book"/>
          <w:spacing w:val="-9"/>
          <w:sz w:val="20"/>
        </w:rPr>
        <w:t> </w:t>
      </w:r>
      <w:r>
        <w:rPr>
          <w:rFonts w:ascii="Franklin Gothic Book" w:hAnsi="Franklin Gothic Book"/>
          <w:sz w:val="20"/>
        </w:rPr>
        <w:t>più</w:t>
      </w:r>
      <w:r>
        <w:rPr>
          <w:rFonts w:ascii="Franklin Gothic Book" w:hAnsi="Franklin Gothic Book"/>
          <w:spacing w:val="-12"/>
          <w:sz w:val="20"/>
        </w:rPr>
        <w:t> </w:t>
      </w:r>
      <w:r>
        <w:rPr>
          <w:rFonts w:ascii="Franklin Gothic Book" w:hAnsi="Franklin Gothic Book"/>
          <w:sz w:val="20"/>
        </w:rPr>
        <w:t>attrattivi</w:t>
      </w:r>
      <w:r>
        <w:rPr>
          <w:rFonts w:ascii="Franklin Gothic Book" w:hAnsi="Franklin Gothic Book"/>
          <w:spacing w:val="-9"/>
          <w:sz w:val="20"/>
        </w:rPr>
        <w:t> </w:t>
      </w:r>
      <w:r>
        <w:rPr>
          <w:rFonts w:ascii="Franklin Gothic Book" w:hAnsi="Franklin Gothic Book"/>
          <w:sz w:val="20"/>
        </w:rPr>
        <w:t>il</w:t>
      </w:r>
      <w:r>
        <w:rPr>
          <w:rFonts w:ascii="Franklin Gothic Book" w:hAnsi="Franklin Gothic Book"/>
          <w:spacing w:val="-11"/>
          <w:sz w:val="20"/>
        </w:rPr>
        <w:t> </w:t>
      </w:r>
      <w:r>
        <w:rPr>
          <w:rFonts w:ascii="Franklin Gothic Book" w:hAnsi="Franklin Gothic Book"/>
          <w:sz w:val="20"/>
        </w:rPr>
        <w:t>Sud</w:t>
      </w:r>
      <w:r>
        <w:rPr>
          <w:rFonts w:ascii="Franklin Gothic Book" w:hAnsi="Franklin Gothic Book"/>
          <w:spacing w:val="-9"/>
          <w:sz w:val="20"/>
        </w:rPr>
        <w:t> </w:t>
      </w:r>
      <w:r>
        <w:rPr>
          <w:rFonts w:ascii="Franklin Gothic Book" w:hAnsi="Franklin Gothic Book"/>
          <w:sz w:val="20"/>
        </w:rPr>
        <w:t>e</w:t>
      </w:r>
      <w:r>
        <w:rPr>
          <w:rFonts w:ascii="Franklin Gothic Book" w:hAnsi="Franklin Gothic Book"/>
          <w:spacing w:val="-12"/>
          <w:sz w:val="20"/>
        </w:rPr>
        <w:t> </w:t>
      </w:r>
      <w:r>
        <w:rPr>
          <w:rFonts w:ascii="Franklin Gothic Book" w:hAnsi="Franklin Gothic Book"/>
          <w:sz w:val="20"/>
        </w:rPr>
        <w:t>le</w:t>
      </w:r>
      <w:r>
        <w:rPr>
          <w:rFonts w:ascii="Franklin Gothic Book" w:hAnsi="Franklin Gothic Book"/>
          <w:spacing w:val="-11"/>
          <w:sz w:val="20"/>
        </w:rPr>
        <w:t> </w:t>
      </w:r>
      <w:r>
        <w:rPr>
          <w:rFonts w:ascii="Franklin Gothic Book" w:hAnsi="Franklin Gothic Book"/>
          <w:sz w:val="20"/>
        </w:rPr>
        <w:t>Aree</w:t>
      </w:r>
      <w:r>
        <w:rPr>
          <w:rFonts w:ascii="Franklin Gothic Book" w:hAnsi="Franklin Gothic Book"/>
          <w:spacing w:val="-10"/>
          <w:sz w:val="20"/>
        </w:rPr>
        <w:t> </w:t>
      </w:r>
      <w:r>
        <w:rPr>
          <w:rFonts w:ascii="Franklin Gothic Book" w:hAnsi="Franklin Gothic Book"/>
          <w:sz w:val="20"/>
        </w:rPr>
        <w:t>interne, offrendo nuove opportunità occupazionali in particolare a giovani e donne.</w:t>
      </w:r>
    </w:p>
    <w:p>
      <w:pPr>
        <w:pStyle w:val="BodyText"/>
        <w:spacing w:before="6"/>
        <w:rPr>
          <w:rFonts w:ascii="Franklin Gothic Book"/>
          <w:sz w:val="11"/>
        </w:rPr>
      </w:pPr>
    </w:p>
    <w:p>
      <w:pPr>
        <w:pStyle w:val="BodyText"/>
        <w:spacing w:line="244" w:lineRule="auto" w:before="101"/>
        <w:ind w:left="278" w:right="2265" w:firstLine="453"/>
        <w:jc w:val="both"/>
      </w:pPr>
      <w:r>
        <w:rPr/>
        <w:t>La riduzione dei divari territoriali è fondamentale per lo sviluppo e la competitività. La principale leva d’azione sarà l’utilizzo dei Fondi europei e nazionali di sviluppo e coesione. A tale riguardo è urgente mettere in sicurezza la programmazione europea 2014-2020, per evitare ogni rischio di disimpegno e migliorare l’efficacia degli interventi a valere sui Fondi SIE.</w:t>
      </w:r>
    </w:p>
    <w:p>
      <w:pPr>
        <w:pStyle w:val="BodyText"/>
        <w:spacing w:line="244" w:lineRule="auto" w:before="3"/>
        <w:ind w:left="278" w:right="2261" w:firstLine="707"/>
        <w:jc w:val="both"/>
      </w:pPr>
      <w:r>
        <w:rPr/>
        <w:t>La nuova politica di coesione sarà riorganizzata, ove possibile a partire dall’attuale ciclo di programmazione e in vista della chiusura del negoziato sull’Accordo di Partenariato sul post 2020, concentrando gli interventi su grandi “missioni”</w:t>
      </w:r>
      <w:r>
        <w:rPr>
          <w:vertAlign w:val="superscript"/>
        </w:rPr>
        <w:t>9</w:t>
      </w:r>
      <w:r>
        <w:rPr>
          <w:vertAlign w:val="baseline"/>
        </w:rPr>
        <w:t> quali: </w:t>
      </w:r>
      <w:r>
        <w:rPr>
          <w:i/>
          <w:vertAlign w:val="baseline"/>
        </w:rPr>
        <w:t>i</w:t>
      </w:r>
      <w:r>
        <w:rPr>
          <w:vertAlign w:val="baseline"/>
        </w:rPr>
        <w:t>) la lotta alla povertà educativa minorile, per ridurre le disuguaglianze e rafforzare e riattivare la mobilità sociale; </w:t>
      </w:r>
      <w:r>
        <w:rPr>
          <w:i/>
          <w:vertAlign w:val="baseline"/>
        </w:rPr>
        <w:t>ii) </w:t>
      </w:r>
      <w:r>
        <w:rPr>
          <w:vertAlign w:val="baseline"/>
        </w:rPr>
        <w:t>il sostegno alle</w:t>
      </w:r>
    </w:p>
    <w:p>
      <w:pPr>
        <w:pStyle w:val="BodyText"/>
        <w:rPr>
          <w:sz w:val="20"/>
        </w:rPr>
      </w:pPr>
    </w:p>
    <w:p>
      <w:pPr>
        <w:pStyle w:val="BodyText"/>
        <w:rPr>
          <w:sz w:val="20"/>
        </w:rPr>
      </w:pPr>
    </w:p>
    <w:p>
      <w:pPr>
        <w:pStyle w:val="BodyText"/>
        <w:rPr>
          <w:sz w:val="20"/>
        </w:rPr>
      </w:pPr>
    </w:p>
    <w:p>
      <w:pPr>
        <w:pStyle w:val="BodyText"/>
        <w:spacing w:before="7"/>
        <w:rPr>
          <w:sz w:val="14"/>
        </w:rPr>
      </w:pPr>
      <w:r>
        <w:rPr/>
        <w:pict>
          <v:group style="position:absolute;margin-left:93.599998pt;margin-top:10.481074pt;width:21.4pt;height:2.15pt;mso-position-horizontal-relative:page;mso-position-vertical-relative:paragraph;z-index:-251441152;mso-wrap-distance-left:0;mso-wrap-distance-right:0" coordorigin="1872,210" coordsize="428,43">
            <v:line style="position:absolute" from="1872,230" to="2299,230" stroked="true" strokeweight="2.050pt" strokecolor="#aaaaaa">
              <v:stroke dashstyle="solid"/>
            </v:line>
            <v:rect style="position:absolute;left:1872;top:211;width:5;height:5" filled="true" fillcolor="#9f9f9f" stroked="false">
              <v:fill type="solid"/>
            </v:rect>
            <v:rect style="position:absolute;left:1872;top:211;width:5;height:5" filled="true" fillcolor="#9f9f9f" stroked="false">
              <v:fill type="solid"/>
            </v:rect>
            <v:line style="position:absolute" from="1877,214" to="2295,214" stroked="true" strokeweight=".24005pt" strokecolor="#9f9f9f">
              <v:stroke dashstyle="solid"/>
            </v:line>
            <v:rect style="position:absolute;left:2294;top:211;width:5;height:5" filled="true" fillcolor="#e2e2e2" stroked="false">
              <v:fill type="solid"/>
            </v:rect>
            <v:rect style="position:absolute;left:2294;top:211;width:5;height:5" filled="true" fillcolor="#9f9f9f" stroked="false">
              <v:fill type="solid"/>
            </v:rect>
            <v:rect style="position:absolute;left:1872;top:216;width:5;height:32" filled="true" fillcolor="#9f9f9f" stroked="false">
              <v:fill type="solid"/>
            </v:rect>
            <v:rect style="position:absolute;left:2294;top:216;width:5;height:32" filled="true" fillcolor="#e2e2e2" stroked="false">
              <v:fill type="solid"/>
            </v:rect>
            <v:rect style="position:absolute;left:1872;top:247;width:5;height:5" filled="true" fillcolor="#9f9f9f" stroked="false">
              <v:fill type="solid"/>
            </v:rect>
            <v:rect style="position:absolute;left:1872;top:247;width:5;height:5" filled="true" fillcolor="#e2e2e2" stroked="false">
              <v:fill type="solid"/>
            </v:rect>
            <v:line style="position:absolute" from="1877,250" to="2295,250" stroked="true" strokeweight=".23999pt" strokecolor="#e2e2e2">
              <v:stroke dashstyle="solid"/>
            </v:line>
            <v:rect style="position:absolute;left:2294;top:247;width:5;height:5" filled="true" fillcolor="#e2e2e2" stroked="false">
              <v:fill type="solid"/>
            </v:rect>
            <v:rect style="position:absolute;left:2294;top:247;width:5;height:5" filled="true" fillcolor="#e2e2e2" stroked="false">
              <v:fill type="solid"/>
            </v:rect>
            <w10:wrap type="topAndBottom"/>
          </v:group>
        </w:pict>
      </w:r>
    </w:p>
    <w:p>
      <w:pPr>
        <w:spacing w:line="187" w:lineRule="exact" w:before="20"/>
        <w:ind w:left="732" w:right="0" w:firstLine="0"/>
        <w:jc w:val="both"/>
        <w:rPr>
          <w:sz w:val="16"/>
        </w:rPr>
      </w:pPr>
      <w:r>
        <w:rPr>
          <w:position w:val="6"/>
          <w:sz w:val="10"/>
        </w:rPr>
        <w:t>8 </w:t>
      </w:r>
      <w:r>
        <w:rPr>
          <w:sz w:val="16"/>
        </w:rPr>
        <w:t>Consiglio dei Ministri del 19 settembre 2019.</w:t>
      </w:r>
    </w:p>
    <w:p>
      <w:pPr>
        <w:spacing w:line="240" w:lineRule="auto" w:before="0"/>
        <w:ind w:left="278" w:right="2262" w:firstLine="453"/>
        <w:jc w:val="both"/>
        <w:rPr>
          <w:sz w:val="16"/>
        </w:rPr>
      </w:pPr>
      <w:r>
        <w:rPr>
          <w:position w:val="6"/>
          <w:sz w:val="10"/>
        </w:rPr>
        <w:t>9 </w:t>
      </w:r>
      <w:r>
        <w:rPr>
          <w:sz w:val="16"/>
        </w:rPr>
        <w:t>La coerenza della destinazione delle risorse della coesione con gli obiettivi enunciati potrà essere assicurata,</w:t>
      </w:r>
      <w:r>
        <w:rPr>
          <w:spacing w:val="-8"/>
          <w:sz w:val="16"/>
        </w:rPr>
        <w:t> </w:t>
      </w:r>
      <w:r>
        <w:rPr>
          <w:sz w:val="16"/>
        </w:rPr>
        <w:t>oltre</w:t>
      </w:r>
      <w:r>
        <w:rPr>
          <w:spacing w:val="-7"/>
          <w:sz w:val="16"/>
        </w:rPr>
        <w:t> </w:t>
      </w:r>
      <w:r>
        <w:rPr>
          <w:sz w:val="16"/>
        </w:rPr>
        <w:t>che</w:t>
      </w:r>
      <w:r>
        <w:rPr>
          <w:spacing w:val="-7"/>
          <w:sz w:val="16"/>
        </w:rPr>
        <w:t> </w:t>
      </w:r>
      <w:r>
        <w:rPr>
          <w:sz w:val="16"/>
        </w:rPr>
        <w:t>dalle</w:t>
      </w:r>
      <w:r>
        <w:rPr>
          <w:spacing w:val="-9"/>
          <w:sz w:val="16"/>
        </w:rPr>
        <w:t> </w:t>
      </w:r>
      <w:r>
        <w:rPr>
          <w:sz w:val="16"/>
        </w:rPr>
        <w:t>assegnazioni</w:t>
      </w:r>
      <w:r>
        <w:rPr>
          <w:spacing w:val="-8"/>
          <w:sz w:val="16"/>
        </w:rPr>
        <w:t> </w:t>
      </w:r>
      <w:r>
        <w:rPr>
          <w:sz w:val="16"/>
        </w:rPr>
        <w:t>a</w:t>
      </w:r>
      <w:r>
        <w:rPr>
          <w:spacing w:val="-10"/>
          <w:sz w:val="16"/>
        </w:rPr>
        <w:t> </w:t>
      </w:r>
      <w:r>
        <w:rPr>
          <w:sz w:val="16"/>
        </w:rPr>
        <w:t>favore</w:t>
      </w:r>
      <w:r>
        <w:rPr>
          <w:spacing w:val="-8"/>
          <w:sz w:val="16"/>
        </w:rPr>
        <w:t> </w:t>
      </w:r>
      <w:r>
        <w:rPr>
          <w:sz w:val="16"/>
        </w:rPr>
        <w:t>del</w:t>
      </w:r>
      <w:r>
        <w:rPr>
          <w:spacing w:val="-3"/>
          <w:sz w:val="16"/>
        </w:rPr>
        <w:t> </w:t>
      </w:r>
      <w:r>
        <w:rPr>
          <w:sz w:val="16"/>
        </w:rPr>
        <w:t>Fondo</w:t>
      </w:r>
      <w:r>
        <w:rPr>
          <w:spacing w:val="-7"/>
          <w:sz w:val="16"/>
        </w:rPr>
        <w:t> </w:t>
      </w:r>
      <w:r>
        <w:rPr>
          <w:sz w:val="16"/>
        </w:rPr>
        <w:t>per</w:t>
      </w:r>
      <w:r>
        <w:rPr>
          <w:spacing w:val="-10"/>
          <w:sz w:val="16"/>
        </w:rPr>
        <w:t> </w:t>
      </w:r>
      <w:r>
        <w:rPr>
          <w:sz w:val="16"/>
        </w:rPr>
        <w:t>lo</w:t>
      </w:r>
      <w:r>
        <w:rPr>
          <w:spacing w:val="-7"/>
          <w:sz w:val="16"/>
        </w:rPr>
        <w:t> </w:t>
      </w:r>
      <w:r>
        <w:rPr>
          <w:sz w:val="16"/>
        </w:rPr>
        <w:t>Sviluppo</w:t>
      </w:r>
      <w:r>
        <w:rPr>
          <w:spacing w:val="-10"/>
          <w:sz w:val="16"/>
        </w:rPr>
        <w:t> </w:t>
      </w:r>
      <w:r>
        <w:rPr>
          <w:sz w:val="16"/>
        </w:rPr>
        <w:t>e</w:t>
      </w:r>
      <w:r>
        <w:rPr>
          <w:spacing w:val="-8"/>
          <w:sz w:val="16"/>
        </w:rPr>
        <w:t> </w:t>
      </w:r>
      <w:r>
        <w:rPr>
          <w:sz w:val="16"/>
        </w:rPr>
        <w:t>la</w:t>
      </w:r>
      <w:r>
        <w:rPr>
          <w:spacing w:val="-10"/>
          <w:sz w:val="16"/>
        </w:rPr>
        <w:t> </w:t>
      </w:r>
      <w:r>
        <w:rPr>
          <w:sz w:val="16"/>
        </w:rPr>
        <w:t>Coesione</w:t>
      </w:r>
      <w:r>
        <w:rPr>
          <w:spacing w:val="-6"/>
          <w:sz w:val="16"/>
        </w:rPr>
        <w:t> </w:t>
      </w:r>
      <w:r>
        <w:rPr>
          <w:sz w:val="16"/>
        </w:rPr>
        <w:t>2021-2027</w:t>
      </w:r>
      <w:r>
        <w:rPr>
          <w:spacing w:val="-8"/>
          <w:sz w:val="16"/>
        </w:rPr>
        <w:t> </w:t>
      </w:r>
      <w:r>
        <w:rPr>
          <w:sz w:val="16"/>
        </w:rPr>
        <w:t>da</w:t>
      </w:r>
      <w:r>
        <w:rPr>
          <w:spacing w:val="-10"/>
          <w:sz w:val="16"/>
        </w:rPr>
        <w:t> </w:t>
      </w:r>
      <w:r>
        <w:rPr>
          <w:sz w:val="16"/>
        </w:rPr>
        <w:t>inserire</w:t>
      </w:r>
      <w:r>
        <w:rPr>
          <w:spacing w:val="-9"/>
          <w:sz w:val="16"/>
        </w:rPr>
        <w:t> </w:t>
      </w:r>
      <w:r>
        <w:rPr>
          <w:sz w:val="16"/>
        </w:rPr>
        <w:t>nella prossima</w:t>
      </w:r>
      <w:r>
        <w:rPr>
          <w:spacing w:val="-11"/>
          <w:sz w:val="16"/>
        </w:rPr>
        <w:t> </w:t>
      </w:r>
      <w:r>
        <w:rPr>
          <w:sz w:val="16"/>
        </w:rPr>
        <w:t>legge</w:t>
      </w:r>
      <w:r>
        <w:rPr>
          <w:spacing w:val="-9"/>
          <w:sz w:val="16"/>
        </w:rPr>
        <w:t> </w:t>
      </w:r>
      <w:r>
        <w:rPr>
          <w:sz w:val="16"/>
        </w:rPr>
        <w:t>di</w:t>
      </w:r>
      <w:r>
        <w:rPr>
          <w:spacing w:val="-10"/>
          <w:sz w:val="16"/>
        </w:rPr>
        <w:t> </w:t>
      </w:r>
      <w:r>
        <w:rPr>
          <w:sz w:val="16"/>
        </w:rPr>
        <w:t>bilancio,</w:t>
      </w:r>
      <w:r>
        <w:rPr>
          <w:spacing w:val="-9"/>
          <w:sz w:val="16"/>
        </w:rPr>
        <w:t> </w:t>
      </w:r>
      <w:r>
        <w:rPr>
          <w:sz w:val="16"/>
        </w:rPr>
        <w:t>anche</w:t>
      </w:r>
      <w:r>
        <w:rPr>
          <w:spacing w:val="-11"/>
          <w:sz w:val="16"/>
        </w:rPr>
        <w:t> </w:t>
      </w:r>
      <w:r>
        <w:rPr>
          <w:sz w:val="16"/>
        </w:rPr>
        <w:t>da</w:t>
      </w:r>
      <w:r>
        <w:rPr>
          <w:spacing w:val="-8"/>
          <w:sz w:val="16"/>
        </w:rPr>
        <w:t> </w:t>
      </w:r>
      <w:r>
        <w:rPr>
          <w:sz w:val="16"/>
        </w:rPr>
        <w:t>una</w:t>
      </w:r>
      <w:r>
        <w:rPr>
          <w:spacing w:val="-13"/>
          <w:sz w:val="16"/>
        </w:rPr>
        <w:t> </w:t>
      </w:r>
      <w:r>
        <w:rPr>
          <w:sz w:val="16"/>
        </w:rPr>
        <w:t>riprogrammazione</w:t>
      </w:r>
      <w:r>
        <w:rPr>
          <w:spacing w:val="-11"/>
          <w:sz w:val="16"/>
        </w:rPr>
        <w:t> </w:t>
      </w:r>
      <w:r>
        <w:rPr>
          <w:sz w:val="16"/>
        </w:rPr>
        <w:t>del</w:t>
      </w:r>
      <w:r>
        <w:rPr>
          <w:spacing w:val="-11"/>
          <w:sz w:val="16"/>
        </w:rPr>
        <w:t> </w:t>
      </w:r>
      <w:r>
        <w:rPr>
          <w:sz w:val="16"/>
        </w:rPr>
        <w:t>Fondo</w:t>
      </w:r>
      <w:r>
        <w:rPr>
          <w:spacing w:val="-10"/>
          <w:sz w:val="16"/>
        </w:rPr>
        <w:t> </w:t>
      </w:r>
      <w:r>
        <w:rPr>
          <w:sz w:val="16"/>
        </w:rPr>
        <w:t>per</w:t>
      </w:r>
      <w:r>
        <w:rPr>
          <w:spacing w:val="-12"/>
          <w:sz w:val="16"/>
        </w:rPr>
        <w:t> </w:t>
      </w:r>
      <w:r>
        <w:rPr>
          <w:sz w:val="16"/>
        </w:rPr>
        <w:t>lo</w:t>
      </w:r>
      <w:r>
        <w:rPr>
          <w:spacing w:val="-11"/>
          <w:sz w:val="16"/>
        </w:rPr>
        <w:t> </w:t>
      </w:r>
      <w:r>
        <w:rPr>
          <w:sz w:val="16"/>
        </w:rPr>
        <w:t>Sviluppo</w:t>
      </w:r>
      <w:r>
        <w:rPr>
          <w:spacing w:val="-12"/>
          <w:sz w:val="16"/>
        </w:rPr>
        <w:t> </w:t>
      </w:r>
      <w:r>
        <w:rPr>
          <w:sz w:val="16"/>
        </w:rPr>
        <w:t>e</w:t>
      </w:r>
      <w:r>
        <w:rPr>
          <w:spacing w:val="-11"/>
          <w:sz w:val="16"/>
        </w:rPr>
        <w:t> </w:t>
      </w:r>
      <w:r>
        <w:rPr>
          <w:sz w:val="16"/>
        </w:rPr>
        <w:t>la</w:t>
      </w:r>
      <w:r>
        <w:rPr>
          <w:spacing w:val="-10"/>
          <w:sz w:val="16"/>
        </w:rPr>
        <w:t> </w:t>
      </w:r>
      <w:r>
        <w:rPr>
          <w:sz w:val="16"/>
        </w:rPr>
        <w:t>Coesione,</w:t>
      </w:r>
      <w:r>
        <w:rPr>
          <w:spacing w:val="-9"/>
          <w:sz w:val="16"/>
        </w:rPr>
        <w:t> </w:t>
      </w:r>
      <w:r>
        <w:rPr>
          <w:sz w:val="16"/>
        </w:rPr>
        <w:t>dando</w:t>
      </w:r>
      <w:r>
        <w:rPr>
          <w:spacing w:val="-12"/>
          <w:sz w:val="16"/>
        </w:rPr>
        <w:t> </w:t>
      </w:r>
      <w:r>
        <w:rPr>
          <w:sz w:val="16"/>
        </w:rPr>
        <w:t>effettiva attuazione dell’art.44 del decreto-legge n. 34/2019, condivisa con le Autorità regionali, e con un rinnovato coinvolgimento degli Enti</w:t>
      </w:r>
      <w:r>
        <w:rPr>
          <w:spacing w:val="-5"/>
          <w:sz w:val="16"/>
        </w:rPr>
        <w:t> </w:t>
      </w:r>
      <w:r>
        <w:rPr>
          <w:sz w:val="16"/>
        </w:rPr>
        <w:t>locali.</w:t>
      </w:r>
    </w:p>
    <w:p>
      <w:pPr>
        <w:spacing w:after="0" w:line="240" w:lineRule="auto"/>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rPr>
          <w:sz w:val="24"/>
        </w:rPr>
      </w:pPr>
    </w:p>
    <w:p>
      <w:pPr>
        <w:pStyle w:val="BodyText"/>
        <w:spacing w:line="244" w:lineRule="auto" w:before="116"/>
        <w:ind w:left="1128" w:right="1411"/>
        <w:jc w:val="both"/>
      </w:pPr>
      <w:r>
        <w:rPr/>
        <w:t>infrastrutture come fattore di connessione e di inclusione</w:t>
      </w:r>
      <w:r>
        <w:rPr>
          <w:vertAlign w:val="superscript"/>
        </w:rPr>
        <w:t>10</w:t>
      </w:r>
      <w:r>
        <w:rPr>
          <w:vertAlign w:val="baseline"/>
        </w:rPr>
        <w:t>; iii) l’attuazione del </w:t>
      </w:r>
      <w:r>
        <w:rPr>
          <w:i/>
          <w:vertAlign w:val="baseline"/>
        </w:rPr>
        <w:t>Green New Deal </w:t>
      </w:r>
      <w:r>
        <w:rPr>
          <w:vertAlign w:val="baseline"/>
        </w:rPr>
        <w:t>al Sud e nelle aree interne, per realizzare gli obiettivi di sviluppo sostenibile dell’Agenda ONU 2030 e mitigare i rischi connessi ai cambiamenti climatici (tra cui il rischio idrogeologico); </w:t>
      </w:r>
      <w:r>
        <w:rPr>
          <w:i/>
          <w:vertAlign w:val="baseline"/>
        </w:rPr>
        <w:t>iv) </w:t>
      </w:r>
      <w:r>
        <w:rPr>
          <w:vertAlign w:val="baseline"/>
        </w:rPr>
        <w:t>il trasferimento tecnologico e il rafforzamento delle reti tra ricerca e impresa; </w:t>
      </w:r>
      <w:r>
        <w:rPr>
          <w:i/>
          <w:vertAlign w:val="baseline"/>
        </w:rPr>
        <w:t>v) </w:t>
      </w:r>
      <w:r>
        <w:rPr>
          <w:vertAlign w:val="baseline"/>
        </w:rPr>
        <w:t>il </w:t>
      </w:r>
      <w:r>
        <w:rPr>
          <w:i/>
          <w:vertAlign w:val="baseline"/>
        </w:rPr>
        <w:t>pivot </w:t>
      </w:r>
      <w:r>
        <w:rPr>
          <w:vertAlign w:val="baseline"/>
        </w:rPr>
        <w:t>mediterraneo, attraverso gli</w:t>
      </w:r>
      <w:r>
        <w:rPr>
          <w:spacing w:val="-8"/>
          <w:vertAlign w:val="baseline"/>
        </w:rPr>
        <w:t> </w:t>
      </w:r>
      <w:r>
        <w:rPr>
          <w:vertAlign w:val="baseline"/>
        </w:rPr>
        <w:t>investimenti</w:t>
      </w:r>
      <w:r>
        <w:rPr>
          <w:spacing w:val="-8"/>
          <w:vertAlign w:val="baseline"/>
        </w:rPr>
        <w:t> </w:t>
      </w:r>
      <w:r>
        <w:rPr>
          <w:vertAlign w:val="baseline"/>
        </w:rPr>
        <w:t>sulla</w:t>
      </w:r>
      <w:r>
        <w:rPr>
          <w:spacing w:val="-8"/>
          <w:vertAlign w:val="baseline"/>
        </w:rPr>
        <w:t> </w:t>
      </w:r>
      <w:r>
        <w:rPr>
          <w:vertAlign w:val="baseline"/>
        </w:rPr>
        <w:t>logistica</w:t>
      </w:r>
      <w:r>
        <w:rPr>
          <w:spacing w:val="-8"/>
          <w:vertAlign w:val="baseline"/>
        </w:rPr>
        <w:t> </w:t>
      </w:r>
      <w:r>
        <w:rPr>
          <w:vertAlign w:val="baseline"/>
        </w:rPr>
        <w:t>marittima</w:t>
      </w:r>
      <w:r>
        <w:rPr>
          <w:spacing w:val="-8"/>
          <w:vertAlign w:val="baseline"/>
        </w:rPr>
        <w:t> </w:t>
      </w:r>
      <w:r>
        <w:rPr>
          <w:vertAlign w:val="baseline"/>
        </w:rPr>
        <w:t>e</w:t>
      </w:r>
      <w:r>
        <w:rPr>
          <w:spacing w:val="-8"/>
          <w:vertAlign w:val="baseline"/>
        </w:rPr>
        <w:t> </w:t>
      </w:r>
      <w:r>
        <w:rPr>
          <w:vertAlign w:val="baseline"/>
        </w:rPr>
        <w:t>gli</w:t>
      </w:r>
      <w:r>
        <w:rPr>
          <w:spacing w:val="-8"/>
          <w:vertAlign w:val="baseline"/>
        </w:rPr>
        <w:t> </w:t>
      </w:r>
      <w:r>
        <w:rPr>
          <w:vertAlign w:val="baseline"/>
        </w:rPr>
        <w:t>ecosistemi</w:t>
      </w:r>
      <w:r>
        <w:rPr>
          <w:spacing w:val="-8"/>
          <w:vertAlign w:val="baseline"/>
        </w:rPr>
        <w:t> </w:t>
      </w:r>
      <w:r>
        <w:rPr>
          <w:vertAlign w:val="baseline"/>
        </w:rPr>
        <w:t>imprenditoriali,</w:t>
      </w:r>
      <w:r>
        <w:rPr>
          <w:spacing w:val="-7"/>
          <w:vertAlign w:val="baseline"/>
        </w:rPr>
        <w:t> </w:t>
      </w:r>
      <w:r>
        <w:rPr>
          <w:vertAlign w:val="baseline"/>
        </w:rPr>
        <w:t>anche</w:t>
      </w:r>
      <w:r>
        <w:rPr>
          <w:spacing w:val="-8"/>
          <w:vertAlign w:val="baseline"/>
        </w:rPr>
        <w:t> </w:t>
      </w:r>
      <w:r>
        <w:rPr>
          <w:vertAlign w:val="baseline"/>
        </w:rPr>
        <w:t>con il</w:t>
      </w:r>
      <w:r>
        <w:rPr>
          <w:spacing w:val="-10"/>
          <w:vertAlign w:val="baseline"/>
        </w:rPr>
        <w:t> </w:t>
      </w:r>
      <w:r>
        <w:rPr>
          <w:vertAlign w:val="baseline"/>
        </w:rPr>
        <w:t>rafforzamento</w:t>
      </w:r>
      <w:r>
        <w:rPr>
          <w:spacing w:val="-10"/>
          <w:vertAlign w:val="baseline"/>
        </w:rPr>
        <w:t> </w:t>
      </w:r>
      <w:r>
        <w:rPr>
          <w:vertAlign w:val="baseline"/>
        </w:rPr>
        <w:t>delle</w:t>
      </w:r>
      <w:r>
        <w:rPr>
          <w:spacing w:val="-9"/>
          <w:vertAlign w:val="baseline"/>
        </w:rPr>
        <w:t> </w:t>
      </w:r>
      <w:r>
        <w:rPr>
          <w:vertAlign w:val="baseline"/>
        </w:rPr>
        <w:t>Zone</w:t>
      </w:r>
      <w:r>
        <w:rPr>
          <w:spacing w:val="-10"/>
          <w:vertAlign w:val="baseline"/>
        </w:rPr>
        <w:t> </w:t>
      </w:r>
      <w:r>
        <w:rPr>
          <w:vertAlign w:val="baseline"/>
        </w:rPr>
        <w:t>Economiche</w:t>
      </w:r>
      <w:r>
        <w:rPr>
          <w:spacing w:val="-9"/>
          <w:vertAlign w:val="baseline"/>
        </w:rPr>
        <w:t> </w:t>
      </w:r>
      <w:r>
        <w:rPr>
          <w:vertAlign w:val="baseline"/>
        </w:rPr>
        <w:t>Speciali</w:t>
      </w:r>
      <w:r>
        <w:rPr>
          <w:spacing w:val="-10"/>
          <w:vertAlign w:val="baseline"/>
        </w:rPr>
        <w:t> </w:t>
      </w:r>
      <w:r>
        <w:rPr>
          <w:vertAlign w:val="baseline"/>
        </w:rPr>
        <w:t>(ZES),</w:t>
      </w:r>
      <w:r>
        <w:rPr>
          <w:spacing w:val="-8"/>
          <w:vertAlign w:val="baseline"/>
        </w:rPr>
        <w:t> </w:t>
      </w:r>
      <w:r>
        <w:rPr>
          <w:vertAlign w:val="baseline"/>
        </w:rPr>
        <w:t>nonché</w:t>
      </w:r>
      <w:r>
        <w:rPr>
          <w:spacing w:val="-9"/>
          <w:vertAlign w:val="baseline"/>
        </w:rPr>
        <w:t> </w:t>
      </w:r>
      <w:r>
        <w:rPr>
          <w:vertAlign w:val="baseline"/>
        </w:rPr>
        <w:t>tramite</w:t>
      </w:r>
      <w:r>
        <w:rPr>
          <w:spacing w:val="-9"/>
          <w:vertAlign w:val="baseline"/>
        </w:rPr>
        <w:t> </w:t>
      </w:r>
      <w:r>
        <w:rPr>
          <w:vertAlign w:val="baseline"/>
        </w:rPr>
        <w:t>i</w:t>
      </w:r>
      <w:r>
        <w:rPr>
          <w:spacing w:val="-9"/>
          <w:vertAlign w:val="baseline"/>
        </w:rPr>
        <w:t> </w:t>
      </w:r>
      <w:r>
        <w:rPr>
          <w:vertAlign w:val="baseline"/>
        </w:rPr>
        <w:t>programmi europei di cooperazione transfrontaliera con la sponda Sud del Mediterraneo. Queste misure si affiancheranno alle politiche ordinarie volte a migliorare i fattori di competitività in particolare dando piena attuazione alla cd. clausola del 34 per cento che riserva parte del totale degli investimenti nazionali al</w:t>
      </w:r>
      <w:r>
        <w:rPr>
          <w:spacing w:val="-22"/>
          <w:vertAlign w:val="baseline"/>
        </w:rPr>
        <w:t> </w:t>
      </w:r>
      <w:r>
        <w:rPr>
          <w:vertAlign w:val="baseline"/>
        </w:rPr>
        <w:t>Mezzogiorno.</w:t>
      </w:r>
    </w:p>
    <w:p>
      <w:pPr>
        <w:pStyle w:val="BodyText"/>
        <w:spacing w:line="244" w:lineRule="auto" w:before="2"/>
        <w:ind w:left="1128" w:right="1412" w:firstLine="453"/>
        <w:jc w:val="both"/>
      </w:pPr>
      <w:r>
        <w:rPr/>
        <w:t>La Strategia nazionale per le Aree interne, varata nel contesto della programmazione</w:t>
      </w:r>
      <w:r>
        <w:rPr>
          <w:spacing w:val="-12"/>
        </w:rPr>
        <w:t> </w:t>
      </w:r>
      <w:r>
        <w:rPr/>
        <w:t>2014/2020,</w:t>
      </w:r>
      <w:r>
        <w:rPr>
          <w:spacing w:val="-11"/>
        </w:rPr>
        <w:t> </w:t>
      </w:r>
      <w:r>
        <w:rPr/>
        <w:t>sarà</w:t>
      </w:r>
      <w:r>
        <w:rPr>
          <w:spacing w:val="-10"/>
        </w:rPr>
        <w:t> </w:t>
      </w:r>
      <w:r>
        <w:rPr/>
        <w:t>rilanciata</w:t>
      </w:r>
      <w:r>
        <w:rPr>
          <w:spacing w:val="-11"/>
        </w:rPr>
        <w:t> </w:t>
      </w:r>
      <w:r>
        <w:rPr/>
        <w:t>al</w:t>
      </w:r>
      <w:r>
        <w:rPr>
          <w:spacing w:val="-11"/>
        </w:rPr>
        <w:t> </w:t>
      </w:r>
      <w:r>
        <w:rPr/>
        <w:t>fine</w:t>
      </w:r>
      <w:r>
        <w:rPr>
          <w:spacing w:val="-10"/>
        </w:rPr>
        <w:t> </w:t>
      </w:r>
      <w:r>
        <w:rPr/>
        <w:t>di</w:t>
      </w:r>
      <w:r>
        <w:rPr>
          <w:spacing w:val="-12"/>
        </w:rPr>
        <w:t> </w:t>
      </w:r>
      <w:r>
        <w:rPr/>
        <w:t>aumentare</w:t>
      </w:r>
      <w:r>
        <w:rPr>
          <w:spacing w:val="-10"/>
        </w:rPr>
        <w:t> </w:t>
      </w:r>
      <w:r>
        <w:rPr/>
        <w:t>i</w:t>
      </w:r>
      <w:r>
        <w:rPr>
          <w:spacing w:val="-10"/>
        </w:rPr>
        <w:t> </w:t>
      </w:r>
      <w:r>
        <w:rPr/>
        <w:t>territori</w:t>
      </w:r>
      <w:r>
        <w:rPr>
          <w:spacing w:val="-11"/>
        </w:rPr>
        <w:t> </w:t>
      </w:r>
      <w:r>
        <w:rPr/>
        <w:t>coinvolti e l’impatto sul miglioramento dei servizi di istruzione, salute e mobilità. Per i giovani</w:t>
      </w:r>
      <w:r>
        <w:rPr>
          <w:spacing w:val="-12"/>
        </w:rPr>
        <w:t> </w:t>
      </w:r>
      <w:r>
        <w:rPr/>
        <w:t>del</w:t>
      </w:r>
      <w:r>
        <w:rPr>
          <w:spacing w:val="-11"/>
        </w:rPr>
        <w:t> </w:t>
      </w:r>
      <w:r>
        <w:rPr/>
        <w:t>Sud</w:t>
      </w:r>
      <w:r>
        <w:rPr>
          <w:spacing w:val="-12"/>
        </w:rPr>
        <w:t> </w:t>
      </w:r>
      <w:r>
        <w:rPr/>
        <w:t>e</w:t>
      </w:r>
      <w:r>
        <w:rPr>
          <w:spacing w:val="-11"/>
        </w:rPr>
        <w:t> </w:t>
      </w:r>
      <w:r>
        <w:rPr/>
        <w:t>delle</w:t>
      </w:r>
      <w:r>
        <w:rPr>
          <w:spacing w:val="-12"/>
        </w:rPr>
        <w:t> </w:t>
      </w:r>
      <w:r>
        <w:rPr/>
        <w:t>Aree</w:t>
      </w:r>
      <w:r>
        <w:rPr>
          <w:spacing w:val="-10"/>
        </w:rPr>
        <w:t> </w:t>
      </w:r>
      <w:r>
        <w:rPr/>
        <w:t>interne</w:t>
      </w:r>
      <w:r>
        <w:rPr>
          <w:spacing w:val="-12"/>
        </w:rPr>
        <w:t> </w:t>
      </w:r>
      <w:r>
        <w:rPr/>
        <w:t>saranno</w:t>
      </w:r>
      <w:r>
        <w:rPr>
          <w:spacing w:val="-12"/>
        </w:rPr>
        <w:t> </w:t>
      </w:r>
      <w:r>
        <w:rPr/>
        <w:t>perseguite</w:t>
      </w:r>
      <w:r>
        <w:rPr>
          <w:spacing w:val="-12"/>
        </w:rPr>
        <w:t> </w:t>
      </w:r>
      <w:r>
        <w:rPr/>
        <w:t>azioni</w:t>
      </w:r>
      <w:r>
        <w:rPr>
          <w:spacing w:val="-11"/>
        </w:rPr>
        <w:t> </w:t>
      </w:r>
      <w:r>
        <w:rPr/>
        <w:t>specifiche</w:t>
      </w:r>
      <w:r>
        <w:rPr>
          <w:spacing w:val="-11"/>
        </w:rPr>
        <w:t> </w:t>
      </w:r>
      <w:r>
        <w:rPr/>
        <w:t>per</w:t>
      </w:r>
      <w:r>
        <w:rPr>
          <w:spacing w:val="-11"/>
        </w:rPr>
        <w:t> </w:t>
      </w:r>
      <w:r>
        <w:rPr/>
        <w:t>ridurre il fenomeno dell’emigrazione, potenziando gli strumenti di incentivo all’imprenditorialità giovanile e</w:t>
      </w:r>
      <w:r>
        <w:rPr>
          <w:spacing w:val="-4"/>
        </w:rPr>
        <w:t> </w:t>
      </w:r>
      <w:r>
        <w:rPr/>
        <w:t>all’innovazione.</w:t>
      </w:r>
    </w:p>
    <w:p>
      <w:pPr>
        <w:pStyle w:val="BodyText"/>
        <w:spacing w:line="244" w:lineRule="auto" w:before="2"/>
        <w:ind w:left="1128" w:right="1414" w:firstLine="453"/>
        <w:jc w:val="both"/>
      </w:pPr>
      <w:r>
        <w:rPr/>
        <w:t>Particolare</w:t>
      </w:r>
      <w:r>
        <w:rPr>
          <w:spacing w:val="-17"/>
        </w:rPr>
        <w:t> </w:t>
      </w:r>
      <w:r>
        <w:rPr/>
        <w:t>impulso</w:t>
      </w:r>
      <w:r>
        <w:rPr>
          <w:spacing w:val="-17"/>
        </w:rPr>
        <w:t> </w:t>
      </w:r>
      <w:r>
        <w:rPr/>
        <w:t>sarà</w:t>
      </w:r>
      <w:r>
        <w:rPr>
          <w:spacing w:val="-20"/>
        </w:rPr>
        <w:t> </w:t>
      </w:r>
      <w:r>
        <w:rPr/>
        <w:t>dato</w:t>
      </w:r>
      <w:r>
        <w:rPr>
          <w:spacing w:val="-17"/>
        </w:rPr>
        <w:t> </w:t>
      </w:r>
      <w:r>
        <w:rPr/>
        <w:t>al</w:t>
      </w:r>
      <w:r>
        <w:rPr>
          <w:spacing w:val="-17"/>
        </w:rPr>
        <w:t> </w:t>
      </w:r>
      <w:r>
        <w:rPr/>
        <w:t>sostegno</w:t>
      </w:r>
      <w:r>
        <w:rPr>
          <w:spacing w:val="-19"/>
        </w:rPr>
        <w:t> </w:t>
      </w:r>
      <w:r>
        <w:rPr/>
        <w:t>al</w:t>
      </w:r>
      <w:r>
        <w:rPr>
          <w:spacing w:val="-16"/>
        </w:rPr>
        <w:t> </w:t>
      </w:r>
      <w:r>
        <w:rPr/>
        <w:t>credito</w:t>
      </w:r>
      <w:r>
        <w:rPr>
          <w:spacing w:val="-16"/>
        </w:rPr>
        <w:t> </w:t>
      </w:r>
      <w:r>
        <w:rPr/>
        <w:t>e</w:t>
      </w:r>
      <w:r>
        <w:rPr>
          <w:spacing w:val="-17"/>
        </w:rPr>
        <w:t> </w:t>
      </w:r>
      <w:r>
        <w:rPr/>
        <w:t>al</w:t>
      </w:r>
      <w:r>
        <w:rPr>
          <w:spacing w:val="-16"/>
        </w:rPr>
        <w:t> </w:t>
      </w:r>
      <w:r>
        <w:rPr/>
        <w:t>migliore</w:t>
      </w:r>
      <w:r>
        <w:rPr>
          <w:spacing w:val="-19"/>
        </w:rPr>
        <w:t> </w:t>
      </w:r>
      <w:r>
        <w:rPr/>
        <w:t>coordinamento con gli strumenti finanziari di sostegno all’</w:t>
      </w:r>
      <w:r>
        <w:rPr>
          <w:i/>
        </w:rPr>
        <w:t>export</w:t>
      </w:r>
      <w:r>
        <w:rPr/>
        <w:t>, di </w:t>
      </w:r>
      <w:r>
        <w:rPr>
          <w:i/>
        </w:rPr>
        <w:t>equity </w:t>
      </w:r>
      <w:r>
        <w:rPr/>
        <w:t>e di garanzia, anche attraverso la Cassa Depositi e</w:t>
      </w:r>
      <w:r>
        <w:rPr>
          <w:spacing w:val="-4"/>
        </w:rPr>
        <w:t> </w:t>
      </w:r>
      <w:r>
        <w:rPr/>
        <w:t>Prestiti.</w:t>
      </w:r>
    </w:p>
    <w:p>
      <w:pPr>
        <w:pStyle w:val="BodyText"/>
        <w:spacing w:line="244" w:lineRule="auto" w:before="1"/>
        <w:ind w:left="1128" w:right="1410" w:firstLine="453"/>
        <w:jc w:val="both"/>
      </w:pPr>
      <w:r>
        <w:rPr/>
        <w:t>Il rafforzamento della capacità istituzionale e progettuale sarà l’asse trasversale della politica della coesione territoriale, con la presentazione di un cronoprogramma volto a rafforzare la capacità di spesa e l’incisività dei fondi per i territori e per i Comuni. Sarà inoltre perseguita una rivisitazione e semplificazione della </w:t>
      </w:r>
      <w:r>
        <w:rPr>
          <w:i/>
        </w:rPr>
        <w:t>governance </w:t>
      </w:r>
      <w:r>
        <w:rPr/>
        <w:t>delle politiche di coesione, con il riordino e la riqualificazione delle istituzioni interessate e l’eliminazione di sovrapposizioni e disallineamenti di competenze,</w:t>
      </w:r>
      <w:r>
        <w:rPr>
          <w:spacing w:val="-5"/>
        </w:rPr>
        <w:t> </w:t>
      </w:r>
      <w:r>
        <w:rPr/>
        <w:t>anche</w:t>
      </w:r>
      <w:r>
        <w:rPr>
          <w:spacing w:val="-8"/>
        </w:rPr>
        <w:t> </w:t>
      </w:r>
      <w:r>
        <w:rPr/>
        <w:t>attraverso</w:t>
      </w:r>
      <w:r>
        <w:rPr>
          <w:spacing w:val="-6"/>
        </w:rPr>
        <w:t> </w:t>
      </w:r>
      <w:r>
        <w:rPr/>
        <w:t>strumenti</w:t>
      </w:r>
      <w:r>
        <w:rPr>
          <w:spacing w:val="-5"/>
        </w:rPr>
        <w:t> </w:t>
      </w:r>
      <w:r>
        <w:rPr/>
        <w:t>di</w:t>
      </w:r>
      <w:r>
        <w:rPr>
          <w:spacing w:val="-6"/>
        </w:rPr>
        <w:t> </w:t>
      </w:r>
      <w:r>
        <w:rPr/>
        <w:t>valutazione</w:t>
      </w:r>
      <w:r>
        <w:rPr>
          <w:spacing w:val="-6"/>
        </w:rPr>
        <w:t> </w:t>
      </w:r>
      <w:r>
        <w:rPr/>
        <w:t>volti</w:t>
      </w:r>
      <w:r>
        <w:rPr>
          <w:spacing w:val="-5"/>
        </w:rPr>
        <w:t> </w:t>
      </w:r>
      <w:r>
        <w:rPr/>
        <w:t>a</w:t>
      </w:r>
      <w:r>
        <w:rPr>
          <w:spacing w:val="-4"/>
        </w:rPr>
        <w:t> </w:t>
      </w:r>
      <w:r>
        <w:rPr/>
        <w:t>migliorare</w:t>
      </w:r>
      <w:r>
        <w:rPr>
          <w:spacing w:val="-5"/>
        </w:rPr>
        <w:t> </w:t>
      </w:r>
      <w:r>
        <w:rPr/>
        <w:t>l’impatto delle politiche</w:t>
      </w:r>
      <w:r>
        <w:rPr>
          <w:spacing w:val="-1"/>
        </w:rPr>
        <w:t> </w:t>
      </w:r>
      <w:r>
        <w:rPr/>
        <w:t>pubbliche.</w:t>
      </w:r>
    </w:p>
    <w:p>
      <w:pPr>
        <w:pStyle w:val="BodyText"/>
        <w:spacing w:before="10"/>
        <w:rPr>
          <w:sz w:val="33"/>
        </w:rPr>
      </w:pPr>
    </w:p>
    <w:p>
      <w:pPr>
        <w:pStyle w:val="Heading5"/>
      </w:pPr>
      <w:r>
        <w:rPr/>
        <w:t>Energia e ambiente</w:t>
      </w:r>
    </w:p>
    <w:p>
      <w:pPr>
        <w:spacing w:line="232" w:lineRule="auto" w:before="158"/>
        <w:ind w:left="1128" w:right="1416" w:firstLine="0"/>
        <w:jc w:val="both"/>
        <w:rPr>
          <w:rFonts w:ascii="Franklin Gothic Book" w:hAnsi="Franklin Gothic Book"/>
          <w:sz w:val="20"/>
        </w:rPr>
      </w:pPr>
      <w:r>
        <w:rPr/>
        <w:pict>
          <v:line style="position:absolute;mso-position-horizontal-relative:page;mso-position-vertical-relative:paragraph;z-index:-251440128;mso-wrap-distance-left:0;mso-wrap-distance-right:0" from="111.980003pt,112.670074pt" to="525.930003pt,112.670074pt" stroked="true" strokeweight="1.44pt" strokecolor="#006247">
            <v:stroke dashstyle="solid"/>
            <w10:wrap type="topAndBottom"/>
          </v:line>
        </w:pict>
      </w:r>
      <w:r>
        <w:rPr>
          <w:rFonts w:ascii="Franklin Gothic Heavy" w:hAnsi="Franklin Gothic Heavy"/>
          <w:b/>
          <w:color w:val="006247"/>
          <w:sz w:val="20"/>
        </w:rPr>
        <w:t>LINEE PROGRAMMATICHE: </w:t>
      </w:r>
      <w:r>
        <w:rPr>
          <w:rFonts w:ascii="Franklin Gothic Book" w:hAnsi="Franklin Gothic Book"/>
          <w:sz w:val="20"/>
        </w:rPr>
        <w:t>Si intende realizzare un </w:t>
      </w:r>
      <w:r>
        <w:rPr>
          <w:rFonts w:ascii="Franklin Gothic Book" w:hAnsi="Franklin Gothic Book"/>
          <w:i/>
          <w:sz w:val="20"/>
        </w:rPr>
        <w:t>Green New Deal</w:t>
      </w:r>
      <w:r>
        <w:rPr>
          <w:rFonts w:ascii="Franklin Gothic Book" w:hAnsi="Franklin Gothic Book"/>
          <w:sz w:val="20"/>
        </w:rPr>
        <w:t>, che comporti un radicale cambio</w:t>
      </w:r>
      <w:r>
        <w:rPr>
          <w:rFonts w:ascii="Franklin Gothic Book" w:hAnsi="Franklin Gothic Book"/>
          <w:spacing w:val="-6"/>
          <w:sz w:val="20"/>
        </w:rPr>
        <w:t> </w:t>
      </w:r>
      <w:r>
        <w:rPr>
          <w:rFonts w:ascii="Franklin Gothic Book" w:hAnsi="Franklin Gothic Book"/>
          <w:sz w:val="20"/>
        </w:rPr>
        <w:t>di</w:t>
      </w:r>
      <w:r>
        <w:rPr>
          <w:rFonts w:ascii="Franklin Gothic Book" w:hAnsi="Franklin Gothic Book"/>
          <w:spacing w:val="-6"/>
          <w:sz w:val="20"/>
        </w:rPr>
        <w:t> </w:t>
      </w:r>
      <w:r>
        <w:rPr>
          <w:rFonts w:ascii="Franklin Gothic Book" w:hAnsi="Franklin Gothic Book"/>
          <w:sz w:val="20"/>
        </w:rPr>
        <w:t>paradigma</w:t>
      </w:r>
      <w:r>
        <w:rPr>
          <w:rFonts w:ascii="Franklin Gothic Book" w:hAnsi="Franklin Gothic Book"/>
          <w:spacing w:val="-5"/>
          <w:sz w:val="20"/>
        </w:rPr>
        <w:t> </w:t>
      </w:r>
      <w:r>
        <w:rPr>
          <w:rFonts w:ascii="Franklin Gothic Book" w:hAnsi="Franklin Gothic Book"/>
          <w:sz w:val="20"/>
        </w:rPr>
        <w:t>culturale</w:t>
      </w:r>
      <w:r>
        <w:rPr>
          <w:rFonts w:ascii="Franklin Gothic Book" w:hAnsi="Franklin Gothic Book"/>
          <w:spacing w:val="-7"/>
          <w:sz w:val="20"/>
        </w:rPr>
        <w:t> </w:t>
      </w:r>
      <w:r>
        <w:rPr>
          <w:rFonts w:ascii="Franklin Gothic Book" w:hAnsi="Franklin Gothic Book"/>
          <w:sz w:val="20"/>
        </w:rPr>
        <w:t>e</w:t>
      </w:r>
      <w:r>
        <w:rPr>
          <w:rFonts w:ascii="Franklin Gothic Book" w:hAnsi="Franklin Gothic Book"/>
          <w:spacing w:val="-6"/>
          <w:sz w:val="20"/>
        </w:rPr>
        <w:t> </w:t>
      </w:r>
      <w:r>
        <w:rPr>
          <w:rFonts w:ascii="Franklin Gothic Book" w:hAnsi="Franklin Gothic Book"/>
          <w:sz w:val="20"/>
        </w:rPr>
        <w:t>porti</w:t>
      </w:r>
      <w:r>
        <w:rPr>
          <w:rFonts w:ascii="Franklin Gothic Book" w:hAnsi="Franklin Gothic Book"/>
          <w:spacing w:val="-6"/>
          <w:sz w:val="20"/>
        </w:rPr>
        <w:t> </w:t>
      </w:r>
      <w:r>
        <w:rPr>
          <w:rFonts w:ascii="Franklin Gothic Book" w:hAnsi="Franklin Gothic Book"/>
          <w:sz w:val="20"/>
        </w:rPr>
        <w:t>a</w:t>
      </w:r>
      <w:r>
        <w:rPr>
          <w:rFonts w:ascii="Franklin Gothic Book" w:hAnsi="Franklin Gothic Book"/>
          <w:spacing w:val="-5"/>
          <w:sz w:val="20"/>
        </w:rPr>
        <w:t> </w:t>
      </w:r>
      <w:r>
        <w:rPr>
          <w:rFonts w:ascii="Franklin Gothic Book" w:hAnsi="Franklin Gothic Book"/>
          <w:sz w:val="20"/>
        </w:rPr>
        <w:t>inserire</w:t>
      </w:r>
      <w:r>
        <w:rPr>
          <w:rFonts w:ascii="Franklin Gothic Book" w:hAnsi="Franklin Gothic Book"/>
          <w:spacing w:val="-7"/>
          <w:sz w:val="20"/>
        </w:rPr>
        <w:t> </w:t>
      </w:r>
      <w:r>
        <w:rPr>
          <w:rFonts w:ascii="Franklin Gothic Book" w:hAnsi="Franklin Gothic Book"/>
          <w:sz w:val="20"/>
        </w:rPr>
        <w:t>la</w:t>
      </w:r>
      <w:r>
        <w:rPr>
          <w:rFonts w:ascii="Franklin Gothic Book" w:hAnsi="Franklin Gothic Book"/>
          <w:spacing w:val="-5"/>
          <w:sz w:val="20"/>
        </w:rPr>
        <w:t> </w:t>
      </w:r>
      <w:r>
        <w:rPr>
          <w:rFonts w:ascii="Franklin Gothic Book" w:hAnsi="Franklin Gothic Book"/>
          <w:sz w:val="20"/>
        </w:rPr>
        <w:t>protezione</w:t>
      </w:r>
      <w:r>
        <w:rPr>
          <w:rFonts w:ascii="Franklin Gothic Book" w:hAnsi="Franklin Gothic Book"/>
          <w:spacing w:val="-6"/>
          <w:sz w:val="20"/>
        </w:rPr>
        <w:t> </w:t>
      </w:r>
      <w:r>
        <w:rPr>
          <w:rFonts w:ascii="Franklin Gothic Book" w:hAnsi="Franklin Gothic Book"/>
          <w:sz w:val="20"/>
        </w:rPr>
        <w:t>dell’ambiente</w:t>
      </w:r>
      <w:r>
        <w:rPr>
          <w:rFonts w:ascii="Franklin Gothic Book" w:hAnsi="Franklin Gothic Book"/>
          <w:spacing w:val="-6"/>
          <w:sz w:val="20"/>
        </w:rPr>
        <w:t> </w:t>
      </w:r>
      <w:r>
        <w:rPr>
          <w:rFonts w:ascii="Franklin Gothic Book" w:hAnsi="Franklin Gothic Book"/>
          <w:sz w:val="20"/>
        </w:rPr>
        <w:t>e</w:t>
      </w:r>
      <w:r>
        <w:rPr>
          <w:rFonts w:ascii="Franklin Gothic Book" w:hAnsi="Franklin Gothic Book"/>
          <w:spacing w:val="-7"/>
          <w:sz w:val="20"/>
        </w:rPr>
        <w:t> </w:t>
      </w:r>
      <w:r>
        <w:rPr>
          <w:rFonts w:ascii="Franklin Gothic Book" w:hAnsi="Franklin Gothic Book"/>
          <w:sz w:val="20"/>
        </w:rPr>
        <w:t>della</w:t>
      </w:r>
      <w:r>
        <w:rPr>
          <w:rFonts w:ascii="Franklin Gothic Book" w:hAnsi="Franklin Gothic Book"/>
          <w:spacing w:val="-5"/>
          <w:sz w:val="20"/>
        </w:rPr>
        <w:t> </w:t>
      </w:r>
      <w:r>
        <w:rPr>
          <w:rFonts w:ascii="Franklin Gothic Book" w:hAnsi="Franklin Gothic Book"/>
          <w:sz w:val="20"/>
        </w:rPr>
        <w:t>biodiversità</w:t>
      </w:r>
      <w:r>
        <w:rPr>
          <w:rFonts w:ascii="Franklin Gothic Book" w:hAnsi="Franklin Gothic Book"/>
          <w:spacing w:val="-5"/>
          <w:sz w:val="20"/>
        </w:rPr>
        <w:t> </w:t>
      </w:r>
      <w:r>
        <w:rPr>
          <w:rFonts w:ascii="Franklin Gothic Book" w:hAnsi="Franklin Gothic Book"/>
          <w:sz w:val="20"/>
        </w:rPr>
        <w:t>tra i principi fondamentali del nostro sistema costituzionale. Particolare attenzione verrà rivolta alla tutela del territorio, dell’ambiente, del paesaggio, al dissesto idrogeologico e al contrasto del cambiamento climatico. Occorre agire sul consumo del suolo, sulla desertificazione, sulle bonifiche,</w:t>
      </w:r>
      <w:r>
        <w:rPr>
          <w:rFonts w:ascii="Franklin Gothic Book" w:hAnsi="Franklin Gothic Book"/>
          <w:spacing w:val="-4"/>
          <w:sz w:val="20"/>
        </w:rPr>
        <w:t> </w:t>
      </w:r>
      <w:r>
        <w:rPr>
          <w:rFonts w:ascii="Franklin Gothic Book" w:hAnsi="Franklin Gothic Book"/>
          <w:sz w:val="20"/>
        </w:rPr>
        <w:t>sullo</w:t>
      </w:r>
      <w:r>
        <w:rPr>
          <w:rFonts w:ascii="Franklin Gothic Book" w:hAnsi="Franklin Gothic Book"/>
          <w:spacing w:val="-5"/>
          <w:sz w:val="20"/>
        </w:rPr>
        <w:t> </w:t>
      </w:r>
      <w:r>
        <w:rPr>
          <w:rFonts w:ascii="Franklin Gothic Book" w:hAnsi="Franklin Gothic Book"/>
          <w:sz w:val="20"/>
        </w:rPr>
        <w:t>smaltimento</w:t>
      </w:r>
      <w:r>
        <w:rPr>
          <w:rFonts w:ascii="Franklin Gothic Book" w:hAnsi="Franklin Gothic Book"/>
          <w:spacing w:val="-5"/>
          <w:sz w:val="20"/>
        </w:rPr>
        <w:t> </w:t>
      </w:r>
      <w:r>
        <w:rPr>
          <w:rFonts w:ascii="Franklin Gothic Book" w:hAnsi="Franklin Gothic Book"/>
          <w:sz w:val="20"/>
        </w:rPr>
        <w:t>dell’amianto,</w:t>
      </w:r>
      <w:r>
        <w:rPr>
          <w:rFonts w:ascii="Franklin Gothic Book" w:hAnsi="Franklin Gothic Book"/>
          <w:spacing w:val="-4"/>
          <w:sz w:val="20"/>
        </w:rPr>
        <w:t> </w:t>
      </w:r>
      <w:r>
        <w:rPr>
          <w:rFonts w:ascii="Franklin Gothic Book" w:hAnsi="Franklin Gothic Book"/>
          <w:sz w:val="20"/>
        </w:rPr>
        <w:t>sulla</w:t>
      </w:r>
      <w:r>
        <w:rPr>
          <w:rFonts w:ascii="Franklin Gothic Book" w:hAnsi="Franklin Gothic Book"/>
          <w:spacing w:val="-4"/>
          <w:sz w:val="20"/>
        </w:rPr>
        <w:t> </w:t>
      </w:r>
      <w:r>
        <w:rPr>
          <w:rFonts w:ascii="Franklin Gothic Book" w:hAnsi="Franklin Gothic Book"/>
          <w:sz w:val="20"/>
        </w:rPr>
        <w:t>tutela</w:t>
      </w:r>
      <w:r>
        <w:rPr>
          <w:rFonts w:ascii="Franklin Gothic Book" w:hAnsi="Franklin Gothic Book"/>
          <w:spacing w:val="-4"/>
          <w:sz w:val="20"/>
        </w:rPr>
        <w:t> </w:t>
      </w:r>
      <w:r>
        <w:rPr>
          <w:rFonts w:ascii="Franklin Gothic Book" w:hAnsi="Franklin Gothic Book"/>
          <w:sz w:val="20"/>
        </w:rPr>
        <w:t>delle</w:t>
      </w:r>
      <w:r>
        <w:rPr>
          <w:rFonts w:ascii="Franklin Gothic Book" w:hAnsi="Franklin Gothic Book"/>
          <w:spacing w:val="-3"/>
          <w:sz w:val="20"/>
        </w:rPr>
        <w:t> </w:t>
      </w:r>
      <w:r>
        <w:rPr>
          <w:rFonts w:ascii="Franklin Gothic Book" w:hAnsi="Franklin Gothic Book"/>
          <w:sz w:val="20"/>
        </w:rPr>
        <w:t>risorse</w:t>
      </w:r>
      <w:r>
        <w:rPr>
          <w:rFonts w:ascii="Franklin Gothic Book" w:hAnsi="Franklin Gothic Book"/>
          <w:spacing w:val="-4"/>
          <w:sz w:val="20"/>
        </w:rPr>
        <w:t> </w:t>
      </w:r>
      <w:r>
        <w:rPr>
          <w:rFonts w:ascii="Franklin Gothic Book" w:hAnsi="Franklin Gothic Book"/>
          <w:sz w:val="20"/>
        </w:rPr>
        <w:t>idriche,</w:t>
      </w:r>
      <w:r>
        <w:rPr>
          <w:rFonts w:ascii="Franklin Gothic Book" w:hAnsi="Franklin Gothic Book"/>
          <w:spacing w:val="1"/>
          <w:sz w:val="20"/>
        </w:rPr>
        <w:t> </w:t>
      </w:r>
      <w:r>
        <w:rPr>
          <w:rFonts w:ascii="Franklin Gothic Book" w:hAnsi="Franklin Gothic Book"/>
          <w:sz w:val="20"/>
        </w:rPr>
        <w:t>sul</w:t>
      </w:r>
      <w:r>
        <w:rPr>
          <w:rFonts w:ascii="Franklin Gothic Book" w:hAnsi="Franklin Gothic Book"/>
          <w:spacing w:val="-4"/>
          <w:sz w:val="20"/>
        </w:rPr>
        <w:t> </w:t>
      </w:r>
      <w:r>
        <w:rPr>
          <w:rFonts w:ascii="Franklin Gothic Book" w:hAnsi="Franklin Gothic Book"/>
          <w:sz w:val="20"/>
        </w:rPr>
        <w:t>contrasto</w:t>
      </w:r>
      <w:r>
        <w:rPr>
          <w:rFonts w:ascii="Franklin Gothic Book" w:hAnsi="Franklin Gothic Book"/>
          <w:spacing w:val="-4"/>
          <w:sz w:val="20"/>
        </w:rPr>
        <w:t> </w:t>
      </w:r>
      <w:r>
        <w:rPr>
          <w:rFonts w:ascii="Franklin Gothic Book" w:hAnsi="Franklin Gothic Book"/>
          <w:sz w:val="20"/>
        </w:rPr>
        <w:t>alle</w:t>
      </w:r>
      <w:r>
        <w:rPr>
          <w:rFonts w:ascii="Franklin Gothic Book" w:hAnsi="Franklin Gothic Book"/>
          <w:spacing w:val="-5"/>
          <w:sz w:val="20"/>
        </w:rPr>
        <w:t> </w:t>
      </w:r>
      <w:r>
        <w:rPr>
          <w:rFonts w:ascii="Franklin Gothic Book" w:hAnsi="Franklin Gothic Book"/>
          <w:sz w:val="20"/>
        </w:rPr>
        <w:t>agro- mafie, sulle sofisticazioni alimentari e sui rifiuti zero. A queste azioni si aggiungeranno le misure per</w:t>
      </w:r>
      <w:r>
        <w:rPr>
          <w:rFonts w:ascii="Franklin Gothic Book" w:hAnsi="Franklin Gothic Book"/>
          <w:spacing w:val="-10"/>
          <w:sz w:val="20"/>
        </w:rPr>
        <w:t> </w:t>
      </w:r>
      <w:r>
        <w:rPr>
          <w:rFonts w:ascii="Franklin Gothic Book" w:hAnsi="Franklin Gothic Book"/>
          <w:sz w:val="20"/>
        </w:rPr>
        <w:t>la</w:t>
      </w:r>
      <w:r>
        <w:rPr>
          <w:rFonts w:ascii="Franklin Gothic Book" w:hAnsi="Franklin Gothic Book"/>
          <w:spacing w:val="-8"/>
          <w:sz w:val="20"/>
        </w:rPr>
        <w:t> </w:t>
      </w:r>
      <w:r>
        <w:rPr>
          <w:rFonts w:ascii="Franklin Gothic Book" w:hAnsi="Franklin Gothic Book"/>
          <w:sz w:val="20"/>
        </w:rPr>
        <w:t>riconversione</w:t>
      </w:r>
      <w:r>
        <w:rPr>
          <w:rFonts w:ascii="Franklin Gothic Book" w:hAnsi="Franklin Gothic Book"/>
          <w:spacing w:val="-9"/>
          <w:sz w:val="20"/>
        </w:rPr>
        <w:t> </w:t>
      </w:r>
      <w:r>
        <w:rPr>
          <w:rFonts w:ascii="Franklin Gothic Book" w:hAnsi="Franklin Gothic Book"/>
          <w:sz w:val="20"/>
        </w:rPr>
        <w:t>delle</w:t>
      </w:r>
      <w:r>
        <w:rPr>
          <w:rFonts w:ascii="Franklin Gothic Book" w:hAnsi="Franklin Gothic Book"/>
          <w:spacing w:val="-11"/>
          <w:sz w:val="20"/>
        </w:rPr>
        <w:t> </w:t>
      </w:r>
      <w:r>
        <w:rPr>
          <w:rFonts w:ascii="Franklin Gothic Book" w:hAnsi="Franklin Gothic Book"/>
          <w:sz w:val="20"/>
        </w:rPr>
        <w:t>imprese,</w:t>
      </w:r>
      <w:r>
        <w:rPr>
          <w:rFonts w:ascii="Franklin Gothic Book" w:hAnsi="Franklin Gothic Book"/>
          <w:spacing w:val="-7"/>
          <w:sz w:val="20"/>
        </w:rPr>
        <w:t> </w:t>
      </w:r>
      <w:r>
        <w:rPr>
          <w:rFonts w:ascii="Franklin Gothic Book" w:hAnsi="Franklin Gothic Book"/>
          <w:sz w:val="20"/>
        </w:rPr>
        <w:t>l’efficienza</w:t>
      </w:r>
      <w:r>
        <w:rPr>
          <w:rFonts w:ascii="Franklin Gothic Book" w:hAnsi="Franklin Gothic Book"/>
          <w:spacing w:val="-9"/>
          <w:sz w:val="20"/>
        </w:rPr>
        <w:t> </w:t>
      </w:r>
      <w:r>
        <w:rPr>
          <w:rFonts w:ascii="Franklin Gothic Book" w:hAnsi="Franklin Gothic Book"/>
          <w:sz w:val="20"/>
        </w:rPr>
        <w:t>energetica,</w:t>
      </w:r>
      <w:r>
        <w:rPr>
          <w:rFonts w:ascii="Franklin Gothic Book" w:hAnsi="Franklin Gothic Book"/>
          <w:spacing w:val="-9"/>
          <w:sz w:val="20"/>
        </w:rPr>
        <w:t> </w:t>
      </w:r>
      <w:r>
        <w:rPr>
          <w:rFonts w:ascii="Franklin Gothic Book" w:hAnsi="Franklin Gothic Book"/>
          <w:sz w:val="20"/>
        </w:rPr>
        <w:t>la</w:t>
      </w:r>
      <w:r>
        <w:rPr>
          <w:rFonts w:ascii="Franklin Gothic Book" w:hAnsi="Franklin Gothic Book"/>
          <w:spacing w:val="-10"/>
          <w:sz w:val="20"/>
        </w:rPr>
        <w:t> </w:t>
      </w:r>
      <w:r>
        <w:rPr>
          <w:rFonts w:ascii="Franklin Gothic Book" w:hAnsi="Franklin Gothic Book"/>
          <w:sz w:val="20"/>
        </w:rPr>
        <w:t>mobilità</w:t>
      </w:r>
      <w:r>
        <w:rPr>
          <w:rFonts w:ascii="Franklin Gothic Book" w:hAnsi="Franklin Gothic Book"/>
          <w:spacing w:val="-10"/>
          <w:sz w:val="20"/>
        </w:rPr>
        <w:t> </w:t>
      </w:r>
      <w:r>
        <w:rPr>
          <w:rFonts w:ascii="Franklin Gothic Book" w:hAnsi="Franklin Gothic Book"/>
          <w:sz w:val="20"/>
        </w:rPr>
        <w:t>sostenibile</w:t>
      </w:r>
      <w:r>
        <w:rPr>
          <w:rFonts w:ascii="Franklin Gothic Book" w:hAnsi="Franklin Gothic Book"/>
          <w:spacing w:val="-7"/>
          <w:sz w:val="20"/>
        </w:rPr>
        <w:t> </w:t>
      </w:r>
      <w:r>
        <w:rPr>
          <w:rFonts w:ascii="Franklin Gothic Book" w:hAnsi="Franklin Gothic Book"/>
          <w:sz w:val="20"/>
        </w:rPr>
        <w:t>e</w:t>
      </w:r>
      <w:r>
        <w:rPr>
          <w:rFonts w:ascii="Franklin Gothic Book" w:hAnsi="Franklin Gothic Book"/>
          <w:spacing w:val="-11"/>
          <w:sz w:val="20"/>
        </w:rPr>
        <w:t> </w:t>
      </w:r>
      <w:r>
        <w:rPr>
          <w:rFonts w:ascii="Franklin Gothic Book" w:hAnsi="Franklin Gothic Book"/>
          <w:sz w:val="20"/>
        </w:rPr>
        <w:t>la</w:t>
      </w:r>
      <w:r>
        <w:rPr>
          <w:rFonts w:ascii="Franklin Gothic Book" w:hAnsi="Franklin Gothic Book"/>
          <w:spacing w:val="-8"/>
          <w:sz w:val="20"/>
        </w:rPr>
        <w:t> </w:t>
      </w:r>
      <w:r>
        <w:rPr>
          <w:rFonts w:ascii="Franklin Gothic Book" w:hAnsi="Franklin Gothic Book"/>
          <w:sz w:val="20"/>
        </w:rPr>
        <w:t>rigenerazione delle</w:t>
      </w:r>
      <w:r>
        <w:rPr>
          <w:rFonts w:ascii="Franklin Gothic Book" w:hAnsi="Franklin Gothic Book"/>
          <w:spacing w:val="-2"/>
          <w:sz w:val="20"/>
        </w:rPr>
        <w:t> </w:t>
      </w:r>
      <w:r>
        <w:rPr>
          <w:rFonts w:ascii="Franklin Gothic Book" w:hAnsi="Franklin Gothic Book"/>
          <w:sz w:val="20"/>
        </w:rPr>
        <w:t>città.</w:t>
      </w:r>
    </w:p>
    <w:p>
      <w:pPr>
        <w:pStyle w:val="BodyText"/>
        <w:spacing w:before="6"/>
        <w:rPr>
          <w:rFonts w:ascii="Franklin Gothic Book"/>
          <w:sz w:val="11"/>
        </w:rPr>
      </w:pPr>
    </w:p>
    <w:p>
      <w:pPr>
        <w:pStyle w:val="BodyText"/>
        <w:spacing w:line="244" w:lineRule="auto" w:before="101"/>
        <w:ind w:left="1128" w:right="1413" w:firstLine="453"/>
        <w:jc w:val="both"/>
      </w:pPr>
      <w:r>
        <w:rPr/>
        <w:t>Nel quadro della strategia del ‘</w:t>
      </w:r>
      <w:r>
        <w:rPr>
          <w:i/>
        </w:rPr>
        <w:t>Green New Deal</w:t>
      </w:r>
      <w:r>
        <w:rPr/>
        <w:t>’, i piani di investimento pubblico dovranno porre al centro la protezione dell’ambiente, anche attraverso il miglioramento</w:t>
      </w:r>
      <w:r>
        <w:rPr>
          <w:spacing w:val="-8"/>
        </w:rPr>
        <w:t> </w:t>
      </w:r>
      <w:r>
        <w:rPr/>
        <w:t>dei</w:t>
      </w:r>
      <w:r>
        <w:rPr>
          <w:spacing w:val="-6"/>
        </w:rPr>
        <w:t> </w:t>
      </w:r>
      <w:r>
        <w:rPr/>
        <w:t>parametri</w:t>
      </w:r>
      <w:r>
        <w:rPr>
          <w:spacing w:val="-6"/>
        </w:rPr>
        <w:t> </w:t>
      </w:r>
      <w:r>
        <w:rPr/>
        <w:t>e</w:t>
      </w:r>
      <w:r>
        <w:rPr>
          <w:spacing w:val="-8"/>
        </w:rPr>
        <w:t> </w:t>
      </w:r>
      <w:r>
        <w:rPr/>
        <w:t>dei</w:t>
      </w:r>
      <w:r>
        <w:rPr>
          <w:spacing w:val="-8"/>
        </w:rPr>
        <w:t> </w:t>
      </w:r>
      <w:r>
        <w:rPr/>
        <w:t>livelli</w:t>
      </w:r>
      <w:r>
        <w:rPr>
          <w:spacing w:val="-7"/>
        </w:rPr>
        <w:t> </w:t>
      </w:r>
      <w:r>
        <w:rPr/>
        <w:t>di</w:t>
      </w:r>
      <w:r>
        <w:rPr>
          <w:spacing w:val="-8"/>
        </w:rPr>
        <w:t> </w:t>
      </w:r>
      <w:r>
        <w:rPr/>
        <w:t>inquinamento</w:t>
      </w:r>
      <w:r>
        <w:rPr>
          <w:spacing w:val="-8"/>
        </w:rPr>
        <w:t> </w:t>
      </w:r>
      <w:r>
        <w:rPr/>
        <w:t>ambientali,</w:t>
      </w:r>
      <w:r>
        <w:rPr>
          <w:spacing w:val="-5"/>
        </w:rPr>
        <w:t> </w:t>
      </w:r>
      <w:r>
        <w:rPr/>
        <w:t>il</w:t>
      </w:r>
      <w:r>
        <w:rPr>
          <w:spacing w:val="-6"/>
        </w:rPr>
        <w:t> </w:t>
      </w:r>
      <w:r>
        <w:rPr/>
        <w:t>progressivo e</w:t>
      </w:r>
      <w:r>
        <w:rPr>
          <w:spacing w:val="-5"/>
        </w:rPr>
        <w:t> </w:t>
      </w:r>
      <w:r>
        <w:rPr/>
        <w:t>sempre</w:t>
      </w:r>
      <w:r>
        <w:rPr>
          <w:spacing w:val="-4"/>
        </w:rPr>
        <w:t> </w:t>
      </w:r>
      <w:r>
        <w:rPr/>
        <w:t>più</w:t>
      </w:r>
      <w:r>
        <w:rPr>
          <w:spacing w:val="-5"/>
        </w:rPr>
        <w:t> </w:t>
      </w:r>
      <w:r>
        <w:rPr/>
        <w:t>diffuso</w:t>
      </w:r>
      <w:r>
        <w:rPr>
          <w:spacing w:val="-6"/>
        </w:rPr>
        <w:t> </w:t>
      </w:r>
      <w:r>
        <w:rPr/>
        <w:t>ricorso</w:t>
      </w:r>
      <w:r>
        <w:rPr>
          <w:spacing w:val="-5"/>
        </w:rPr>
        <w:t> </w:t>
      </w:r>
      <w:r>
        <w:rPr/>
        <w:t>alle</w:t>
      </w:r>
      <w:r>
        <w:rPr>
          <w:spacing w:val="-4"/>
        </w:rPr>
        <w:t> </w:t>
      </w:r>
      <w:r>
        <w:rPr/>
        <w:t>fonti</w:t>
      </w:r>
      <w:r>
        <w:rPr>
          <w:spacing w:val="-5"/>
        </w:rPr>
        <w:t> </w:t>
      </w:r>
      <w:r>
        <w:rPr/>
        <w:t>rinnovabili,</w:t>
      </w:r>
      <w:r>
        <w:rPr>
          <w:spacing w:val="-4"/>
        </w:rPr>
        <w:t> </w:t>
      </w:r>
      <w:r>
        <w:rPr/>
        <w:t>la</w:t>
      </w:r>
      <w:r>
        <w:rPr>
          <w:spacing w:val="-5"/>
        </w:rPr>
        <w:t> </w:t>
      </w:r>
      <w:r>
        <w:rPr/>
        <w:t>protezione</w:t>
      </w:r>
      <w:r>
        <w:rPr>
          <w:spacing w:val="-5"/>
        </w:rPr>
        <w:t> </w:t>
      </w:r>
      <w:r>
        <w:rPr/>
        <w:t>della</w:t>
      </w:r>
      <w:r>
        <w:rPr>
          <w:spacing w:val="-5"/>
        </w:rPr>
        <w:t> </w:t>
      </w:r>
      <w:r>
        <w:rPr/>
        <w:t>biodiversità</w:t>
      </w:r>
      <w:r>
        <w:rPr>
          <w:spacing w:val="-5"/>
        </w:rPr>
        <w:t> </w:t>
      </w:r>
      <w:r>
        <w:rPr/>
        <w:t>e dei</w:t>
      </w:r>
      <w:r>
        <w:rPr>
          <w:spacing w:val="25"/>
        </w:rPr>
        <w:t> </w:t>
      </w:r>
      <w:r>
        <w:rPr/>
        <w:t>mari,</w:t>
      </w:r>
      <w:r>
        <w:rPr>
          <w:spacing w:val="24"/>
        </w:rPr>
        <w:t> </w:t>
      </w:r>
      <w:r>
        <w:rPr/>
        <w:t>il</w:t>
      </w:r>
      <w:r>
        <w:rPr>
          <w:spacing w:val="23"/>
        </w:rPr>
        <w:t> </w:t>
      </w:r>
      <w:r>
        <w:rPr/>
        <w:t>contrasto</w:t>
      </w:r>
      <w:r>
        <w:rPr>
          <w:spacing w:val="25"/>
        </w:rPr>
        <w:t> </w:t>
      </w:r>
      <w:r>
        <w:rPr/>
        <w:t>ai</w:t>
      </w:r>
      <w:r>
        <w:rPr>
          <w:spacing w:val="26"/>
        </w:rPr>
        <w:t> </w:t>
      </w:r>
      <w:r>
        <w:rPr/>
        <w:t>cambiamenti</w:t>
      </w:r>
      <w:r>
        <w:rPr>
          <w:spacing w:val="25"/>
        </w:rPr>
        <w:t> </w:t>
      </w:r>
      <w:r>
        <w:rPr/>
        <w:t>climatici</w:t>
      </w:r>
      <w:r>
        <w:rPr>
          <w:spacing w:val="24"/>
        </w:rPr>
        <w:t> </w:t>
      </w:r>
      <w:r>
        <w:rPr/>
        <w:t>ed</w:t>
      </w:r>
      <w:r>
        <w:rPr>
          <w:spacing w:val="25"/>
        </w:rPr>
        <w:t> </w:t>
      </w:r>
      <w:r>
        <w:rPr/>
        <w:t>il</w:t>
      </w:r>
      <w:r>
        <w:rPr>
          <w:spacing w:val="25"/>
        </w:rPr>
        <w:t> </w:t>
      </w:r>
      <w:r>
        <w:rPr/>
        <w:t>miglioramento</w:t>
      </w:r>
      <w:r>
        <w:rPr>
          <w:spacing w:val="25"/>
        </w:rPr>
        <w:t> </w:t>
      </w:r>
      <w:r>
        <w:rPr/>
        <w:t>della</w:t>
      </w:r>
      <w:r>
        <w:rPr>
          <w:spacing w:val="26"/>
        </w:rPr>
        <w:t> </w:t>
      </w:r>
      <w:r>
        <w:rPr/>
        <w:t>qualità</w:t>
      </w:r>
    </w:p>
    <w:p>
      <w:pPr>
        <w:pStyle w:val="BodyText"/>
        <w:rPr>
          <w:sz w:val="20"/>
        </w:rPr>
      </w:pPr>
    </w:p>
    <w:p>
      <w:pPr>
        <w:pStyle w:val="BodyText"/>
        <w:rPr>
          <w:sz w:val="20"/>
        </w:rPr>
      </w:pPr>
    </w:p>
    <w:p>
      <w:pPr>
        <w:pStyle w:val="BodyText"/>
        <w:spacing w:before="7"/>
        <w:rPr>
          <w:sz w:val="14"/>
        </w:rPr>
      </w:pPr>
      <w:r>
        <w:rPr/>
        <w:pict>
          <v:group style="position:absolute;margin-left:136.100006pt;margin-top:10.461953pt;width:21.4pt;height:2.15pt;mso-position-horizontal-relative:page;mso-position-vertical-relative:paragraph;z-index:-251439104;mso-wrap-distance-left:0;mso-wrap-distance-right:0" coordorigin="2722,209" coordsize="428,43">
            <v:line style="position:absolute" from="2722,230" to="3149,230" stroked="true" strokeweight="2.050pt" strokecolor="#aaaaaa">
              <v:stroke dashstyle="solid"/>
            </v:line>
            <v:rect style="position:absolute;left:2722;top:211;width:5;height:5" filled="true" fillcolor="#9f9f9f" stroked="false">
              <v:fill type="solid"/>
            </v:rect>
            <v:rect style="position:absolute;left:2722;top:211;width:5;height:5" filled="true" fillcolor="#9f9f9f" stroked="false">
              <v:fill type="solid"/>
            </v:rect>
            <v:line style="position:absolute" from="2727,214" to="3144,214" stroked="true" strokeweight=".23999pt" strokecolor="#9f9f9f">
              <v:stroke dashstyle="solid"/>
            </v:line>
            <v:rect style="position:absolute;left:3144;top:211;width:5;height:5" filled="true" fillcolor="#e2e2e2" stroked="false">
              <v:fill type="solid"/>
            </v:rect>
            <v:rect style="position:absolute;left:3144;top:211;width:5;height:5" filled="true" fillcolor="#9f9f9f" stroked="false">
              <v:fill type="solid"/>
            </v:rect>
            <v:rect style="position:absolute;left:2722;top:216;width:5;height:32" filled="true" fillcolor="#9f9f9f" stroked="false">
              <v:fill type="solid"/>
            </v:rect>
            <v:rect style="position:absolute;left:3144;top:216;width:5;height:32" filled="true" fillcolor="#e2e2e2" stroked="false">
              <v:fill type="solid"/>
            </v:rect>
            <v:rect style="position:absolute;left:2722;top:247;width:5;height:5" filled="true" fillcolor="#9f9f9f" stroked="false">
              <v:fill type="solid"/>
            </v:rect>
            <v:rect style="position:absolute;left:2722;top:247;width:5;height:5" filled="true" fillcolor="#e2e2e2" stroked="false">
              <v:fill type="solid"/>
            </v:rect>
            <v:line style="position:absolute" from="2727,250" to="3144,250" stroked="true" strokeweight=".24005pt" strokecolor="#e2e2e2">
              <v:stroke dashstyle="solid"/>
            </v:line>
            <v:rect style="position:absolute;left:3144;top:247;width:5;height:5" filled="true" fillcolor="#e2e2e2" stroked="false">
              <v:fill type="solid"/>
            </v:rect>
            <v:rect style="position:absolute;left:3144;top:247;width:5;height:5" filled="true" fillcolor="#e2e2e2" stroked="false">
              <v:fill type="solid"/>
            </v:rect>
            <w10:wrap type="topAndBottom"/>
          </v:group>
        </w:pict>
      </w:r>
    </w:p>
    <w:p>
      <w:pPr>
        <w:spacing w:line="189" w:lineRule="exact" w:before="20"/>
        <w:ind w:left="1111" w:right="949" w:firstLine="0"/>
        <w:jc w:val="center"/>
        <w:rPr>
          <w:sz w:val="16"/>
        </w:rPr>
      </w:pPr>
      <w:r>
        <w:rPr>
          <w:position w:val="6"/>
          <w:sz w:val="10"/>
        </w:rPr>
        <w:t>10 </w:t>
      </w:r>
      <w:r>
        <w:rPr>
          <w:spacing w:val="27"/>
          <w:position w:val="6"/>
          <w:sz w:val="10"/>
        </w:rPr>
        <w:t> </w:t>
      </w:r>
      <w:r>
        <w:rPr>
          <w:sz w:val="16"/>
        </w:rPr>
        <w:t>Anche</w:t>
      </w:r>
      <w:r>
        <w:rPr>
          <w:spacing w:val="41"/>
          <w:sz w:val="16"/>
        </w:rPr>
        <w:t> </w:t>
      </w:r>
      <w:r>
        <w:rPr>
          <w:sz w:val="16"/>
        </w:rPr>
        <w:t>in</w:t>
      </w:r>
      <w:r>
        <w:rPr>
          <w:spacing w:val="41"/>
          <w:sz w:val="16"/>
        </w:rPr>
        <w:t> </w:t>
      </w:r>
      <w:r>
        <w:rPr>
          <w:sz w:val="16"/>
        </w:rPr>
        <w:t>riferimento</w:t>
      </w:r>
      <w:r>
        <w:rPr>
          <w:spacing w:val="40"/>
          <w:sz w:val="16"/>
        </w:rPr>
        <w:t> </w:t>
      </w:r>
      <w:r>
        <w:rPr>
          <w:sz w:val="16"/>
        </w:rPr>
        <w:t>alle</w:t>
      </w:r>
      <w:r>
        <w:rPr>
          <w:spacing w:val="41"/>
          <w:sz w:val="16"/>
        </w:rPr>
        <w:t> </w:t>
      </w:r>
      <w:r>
        <w:rPr>
          <w:sz w:val="16"/>
        </w:rPr>
        <w:t>linee</w:t>
      </w:r>
      <w:r>
        <w:rPr>
          <w:spacing w:val="41"/>
          <w:sz w:val="16"/>
        </w:rPr>
        <w:t> </w:t>
      </w:r>
      <w:r>
        <w:rPr>
          <w:sz w:val="16"/>
        </w:rPr>
        <w:t>del</w:t>
      </w:r>
      <w:r>
        <w:rPr>
          <w:spacing w:val="41"/>
          <w:sz w:val="16"/>
        </w:rPr>
        <w:t> </w:t>
      </w:r>
      <w:r>
        <w:rPr>
          <w:sz w:val="16"/>
        </w:rPr>
        <w:t>piano</w:t>
      </w:r>
      <w:r>
        <w:rPr>
          <w:spacing w:val="40"/>
          <w:sz w:val="16"/>
        </w:rPr>
        <w:t> </w:t>
      </w:r>
      <w:r>
        <w:rPr>
          <w:sz w:val="16"/>
        </w:rPr>
        <w:t>“Boosting</w:t>
      </w:r>
      <w:r>
        <w:rPr>
          <w:spacing w:val="41"/>
          <w:sz w:val="16"/>
        </w:rPr>
        <w:t> </w:t>
      </w:r>
      <w:r>
        <w:rPr>
          <w:sz w:val="16"/>
        </w:rPr>
        <w:t>Investment</w:t>
      </w:r>
      <w:r>
        <w:rPr>
          <w:spacing w:val="41"/>
          <w:sz w:val="16"/>
        </w:rPr>
        <w:t> </w:t>
      </w:r>
      <w:r>
        <w:rPr>
          <w:sz w:val="16"/>
        </w:rPr>
        <w:t>in</w:t>
      </w:r>
      <w:r>
        <w:rPr>
          <w:spacing w:val="41"/>
          <w:sz w:val="16"/>
        </w:rPr>
        <w:t> </w:t>
      </w:r>
      <w:r>
        <w:rPr>
          <w:sz w:val="16"/>
        </w:rPr>
        <w:t>Social</w:t>
      </w:r>
      <w:r>
        <w:rPr>
          <w:spacing w:val="40"/>
          <w:sz w:val="16"/>
        </w:rPr>
        <w:t> </w:t>
      </w:r>
      <w:r>
        <w:rPr>
          <w:sz w:val="16"/>
        </w:rPr>
        <w:t>Infrastructure</w:t>
      </w:r>
      <w:r>
        <w:rPr>
          <w:spacing w:val="41"/>
          <w:sz w:val="16"/>
        </w:rPr>
        <w:t> </w:t>
      </w:r>
      <w:r>
        <w:rPr>
          <w:sz w:val="16"/>
        </w:rPr>
        <w:t>in</w:t>
      </w:r>
      <w:r>
        <w:rPr>
          <w:spacing w:val="41"/>
          <w:sz w:val="16"/>
        </w:rPr>
        <w:t> </w:t>
      </w:r>
      <w:r>
        <w:rPr>
          <w:sz w:val="16"/>
        </w:rPr>
        <w:t>Europe”</w:t>
      </w:r>
    </w:p>
    <w:p>
      <w:pPr>
        <w:spacing w:line="185" w:lineRule="exact" w:before="0"/>
        <w:ind w:left="1111" w:right="6213" w:firstLine="0"/>
        <w:jc w:val="center"/>
        <w:rPr>
          <w:sz w:val="16"/>
        </w:rPr>
      </w:pPr>
      <w:r>
        <w:rPr>
          <w:sz w:val="16"/>
        </w:rPr>
        <w:t>presentato alla Commissione Europea nel 2018.</w:t>
      </w:r>
    </w:p>
    <w:p>
      <w:pPr>
        <w:spacing w:after="0" w:line="185" w:lineRule="exact"/>
        <w:jc w:val="center"/>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tabs>
          <w:tab w:pos="1512" w:val="left" w:leader="none"/>
          <w:tab w:pos="2065" w:val="left" w:leader="none"/>
          <w:tab w:pos="2449" w:val="left" w:leader="none"/>
          <w:tab w:pos="2896" w:val="left" w:leader="none"/>
          <w:tab w:pos="3282" w:val="left" w:leader="none"/>
          <w:tab w:pos="3317" w:val="left" w:leader="none"/>
          <w:tab w:pos="4294" w:val="left" w:leader="none"/>
          <w:tab w:pos="4392" w:val="left" w:leader="none"/>
          <w:tab w:pos="4618" w:val="left" w:leader="none"/>
          <w:tab w:pos="4779" w:val="left" w:leader="none"/>
          <w:tab w:pos="5196" w:val="left" w:leader="none"/>
          <w:tab w:pos="6208" w:val="left" w:leader="none"/>
          <w:tab w:pos="6597" w:val="left" w:leader="none"/>
          <w:tab w:pos="6821" w:val="left" w:leader="none"/>
          <w:tab w:pos="7205" w:val="left" w:leader="none"/>
          <w:tab w:pos="7387" w:val="left" w:leader="none"/>
        </w:tabs>
        <w:spacing w:line="244" w:lineRule="auto" w:before="101"/>
        <w:ind w:left="278" w:right="2261"/>
        <w:jc w:val="right"/>
      </w:pPr>
      <w:r>
        <w:rPr/>
        <w:t>dell’aria. Si adotteranno misure che incentivino prassi socialmente</w:t>
      </w:r>
      <w:r>
        <w:rPr>
          <w:spacing w:val="15"/>
        </w:rPr>
        <w:t> </w:t>
      </w:r>
      <w:r>
        <w:rPr/>
        <w:t>responsabili</w:t>
      </w:r>
      <w:r>
        <w:rPr>
          <w:spacing w:val="2"/>
        </w:rPr>
        <w:t> </w:t>
      </w:r>
      <w:r>
        <w:rPr/>
        <w:t>da</w:t>
      </w:r>
      <w:r>
        <w:rPr>
          <w:spacing w:val="-1"/>
          <w:w w:val="100"/>
        </w:rPr>
        <w:t> </w:t>
      </w:r>
      <w:r>
        <w:rPr/>
        <w:t>parte delle imprese e degli operatori finanziari e interventi di</w:t>
      </w:r>
      <w:r>
        <w:rPr>
          <w:spacing w:val="4"/>
        </w:rPr>
        <w:t> </w:t>
      </w:r>
      <w:r>
        <w:rPr/>
        <w:t>infrastrutture</w:t>
      </w:r>
      <w:r>
        <w:rPr>
          <w:spacing w:val="8"/>
        </w:rPr>
        <w:t> </w:t>
      </w:r>
      <w:r>
        <w:rPr/>
        <w:t>verdi</w:t>
      </w:r>
      <w:r>
        <w:rPr>
          <w:w w:val="100"/>
        </w:rPr>
        <w:t> </w:t>
      </w:r>
      <w:r>
        <w:rPr/>
        <w:t>per</w:t>
      </w:r>
      <w:r>
        <w:rPr>
          <w:spacing w:val="23"/>
        </w:rPr>
        <w:t> </w:t>
      </w:r>
      <w:r>
        <w:rPr/>
        <w:t>il</w:t>
      </w:r>
      <w:r>
        <w:rPr>
          <w:spacing w:val="20"/>
        </w:rPr>
        <w:t> </w:t>
      </w:r>
      <w:r>
        <w:rPr/>
        <w:t>contrasto</w:t>
      </w:r>
      <w:r>
        <w:rPr>
          <w:spacing w:val="23"/>
        </w:rPr>
        <w:t> </w:t>
      </w:r>
      <w:r>
        <w:rPr/>
        <w:t>al</w:t>
      </w:r>
      <w:r>
        <w:rPr>
          <w:spacing w:val="23"/>
        </w:rPr>
        <w:t> </w:t>
      </w:r>
      <w:r>
        <w:rPr/>
        <w:t>dissesto</w:t>
      </w:r>
      <w:r>
        <w:rPr>
          <w:spacing w:val="22"/>
        </w:rPr>
        <w:t> </w:t>
      </w:r>
      <w:r>
        <w:rPr/>
        <w:t>idrogeologico.</w:t>
      </w:r>
      <w:r>
        <w:rPr>
          <w:spacing w:val="24"/>
        </w:rPr>
        <w:t> </w:t>
      </w:r>
      <w:r>
        <w:rPr/>
        <w:t>Si</w:t>
      </w:r>
      <w:r>
        <w:rPr>
          <w:spacing w:val="23"/>
        </w:rPr>
        <w:t> </w:t>
      </w:r>
      <w:r>
        <w:rPr/>
        <w:t>perseguirà</w:t>
      </w:r>
      <w:r>
        <w:rPr>
          <w:spacing w:val="23"/>
        </w:rPr>
        <w:t> </w:t>
      </w:r>
      <w:r>
        <w:rPr/>
        <w:t>la</w:t>
      </w:r>
      <w:r>
        <w:rPr>
          <w:spacing w:val="22"/>
        </w:rPr>
        <w:t> </w:t>
      </w:r>
      <w:r>
        <w:rPr/>
        <w:t>piena</w:t>
      </w:r>
      <w:r>
        <w:rPr>
          <w:spacing w:val="23"/>
        </w:rPr>
        <w:t> </w:t>
      </w:r>
      <w:r>
        <w:rPr/>
        <w:t>attuazione</w:t>
      </w:r>
      <w:r>
        <w:rPr>
          <w:spacing w:val="23"/>
        </w:rPr>
        <w:t> </w:t>
      </w:r>
      <w:r>
        <w:rPr/>
        <w:t>della</w:t>
      </w:r>
      <w:r>
        <w:rPr>
          <w:w w:val="100"/>
        </w:rPr>
        <w:t> </w:t>
      </w:r>
      <w:r>
        <w:rPr/>
        <w:t>eco-innovazione</w:t>
      </w:r>
      <w:r>
        <w:rPr>
          <w:spacing w:val="28"/>
        </w:rPr>
        <w:t> </w:t>
      </w:r>
      <w:r>
        <w:rPr/>
        <w:t>anche</w:t>
      </w:r>
      <w:r>
        <w:rPr>
          <w:spacing w:val="23"/>
        </w:rPr>
        <w:t> </w:t>
      </w:r>
      <w:r>
        <w:rPr/>
        <w:t>sfruttando</w:t>
      </w:r>
      <w:r>
        <w:rPr>
          <w:spacing w:val="28"/>
        </w:rPr>
        <w:t> </w:t>
      </w:r>
      <w:r>
        <w:rPr/>
        <w:t>gli</w:t>
      </w:r>
      <w:r>
        <w:rPr>
          <w:spacing w:val="28"/>
        </w:rPr>
        <w:t> </w:t>
      </w:r>
      <w:r>
        <w:rPr/>
        <w:t>strumenti</w:t>
      </w:r>
      <w:r>
        <w:rPr>
          <w:spacing w:val="30"/>
        </w:rPr>
        <w:t> </w:t>
      </w:r>
      <w:r>
        <w:rPr/>
        <w:t>di</w:t>
      </w:r>
      <w:r>
        <w:rPr>
          <w:spacing w:val="28"/>
        </w:rPr>
        <w:t> </w:t>
      </w:r>
      <w:r>
        <w:rPr/>
        <w:t>finanza</w:t>
      </w:r>
      <w:r>
        <w:rPr>
          <w:spacing w:val="26"/>
        </w:rPr>
        <w:t> </w:t>
      </w:r>
      <w:r>
        <w:rPr/>
        <w:t>sostenibile</w:t>
      </w:r>
      <w:r>
        <w:rPr>
          <w:spacing w:val="28"/>
        </w:rPr>
        <w:t> </w:t>
      </w:r>
      <w:r>
        <w:rPr/>
        <w:t>in</w:t>
      </w:r>
      <w:r>
        <w:rPr>
          <w:spacing w:val="27"/>
        </w:rPr>
        <w:t> </w:t>
      </w:r>
      <w:r>
        <w:rPr/>
        <w:t>corso</w:t>
      </w:r>
      <w:r>
        <w:rPr>
          <w:spacing w:val="25"/>
        </w:rPr>
        <w:t> </w:t>
      </w:r>
      <w:r>
        <w:rPr/>
        <w:t>di</w:t>
      </w:r>
      <w:r>
        <w:rPr>
          <w:spacing w:val="-1"/>
          <w:w w:val="100"/>
        </w:rPr>
        <w:t> </w:t>
      </w:r>
      <w:r>
        <w:rPr/>
        <w:t>predisposizione</w:t>
        <w:tab/>
        <w:t>a</w:t>
        <w:tab/>
        <w:t>livello</w:t>
        <w:tab/>
        <w:tab/>
        <w:t>europeo</w:t>
        <w:tab/>
        <w:tab/>
        <w:t>e</w:t>
        <w:tab/>
        <w:tab/>
        <w:t>si</w:t>
        <w:tab/>
        <w:t>rimuoveranno</w:t>
        <w:tab/>
        <w:tab/>
        <w:t>o</w:t>
        <w:tab/>
      </w:r>
      <w:r>
        <w:rPr>
          <w:spacing w:val="-2"/>
        </w:rPr>
        <w:t>riformeranno </w:t>
      </w:r>
      <w:r>
        <w:rPr/>
        <w:t>progressivamente</w:t>
      </w:r>
      <w:r>
        <w:rPr>
          <w:spacing w:val="14"/>
        </w:rPr>
        <w:t> </w:t>
      </w:r>
      <w:r>
        <w:rPr/>
        <w:t>quelle</w:t>
      </w:r>
      <w:r>
        <w:rPr>
          <w:spacing w:val="15"/>
        </w:rPr>
        <w:t> </w:t>
      </w:r>
      <w:r>
        <w:rPr/>
        <w:t>agevolazioni,</w:t>
      </w:r>
      <w:r>
        <w:rPr>
          <w:spacing w:val="16"/>
        </w:rPr>
        <w:t> </w:t>
      </w:r>
      <w:r>
        <w:rPr/>
        <w:t>incluse</w:t>
      </w:r>
      <w:r>
        <w:rPr>
          <w:spacing w:val="12"/>
        </w:rPr>
        <w:t> </w:t>
      </w:r>
      <w:r>
        <w:rPr/>
        <w:t>le</w:t>
      </w:r>
      <w:r>
        <w:rPr>
          <w:spacing w:val="15"/>
        </w:rPr>
        <w:t> </w:t>
      </w:r>
      <w:r>
        <w:rPr/>
        <w:t>agevolazioni</w:t>
      </w:r>
      <w:r>
        <w:rPr>
          <w:spacing w:val="15"/>
        </w:rPr>
        <w:t> </w:t>
      </w:r>
      <w:r>
        <w:rPr/>
        <w:t>fiscali,</w:t>
      </w:r>
      <w:r>
        <w:rPr>
          <w:spacing w:val="14"/>
        </w:rPr>
        <w:t> </w:t>
      </w:r>
      <w:r>
        <w:rPr/>
        <w:t>dannose</w:t>
      </w:r>
      <w:r>
        <w:rPr>
          <w:spacing w:val="15"/>
        </w:rPr>
        <w:t> </w:t>
      </w:r>
      <w:r>
        <w:rPr/>
        <w:t>per</w:t>
      </w:r>
      <w:r>
        <w:rPr>
          <w:w w:val="100"/>
        </w:rPr>
        <w:t> </w:t>
      </w:r>
      <w:r>
        <w:rPr/>
        <w:t>l’ambiente. Verrà introdotto un apposito fondo che orienti, anche</w:t>
      </w:r>
      <w:r>
        <w:rPr>
          <w:spacing w:val="45"/>
        </w:rPr>
        <w:t> </w:t>
      </w:r>
      <w:r>
        <w:rPr/>
        <w:t>su</w:t>
      </w:r>
      <w:r>
        <w:rPr>
          <w:spacing w:val="19"/>
        </w:rPr>
        <w:t> </w:t>
      </w:r>
      <w:r>
        <w:rPr/>
        <w:t>base</w:t>
      </w:r>
      <w:r>
        <w:rPr>
          <w:w w:val="100"/>
        </w:rPr>
        <w:t> </w:t>
      </w:r>
      <w:r>
        <w:rPr/>
        <w:t>pluriennale, le iniziative imprenditoriali in questa direzione; si</w:t>
      </w:r>
      <w:r>
        <w:rPr>
          <w:spacing w:val="24"/>
        </w:rPr>
        <w:t> </w:t>
      </w:r>
      <w:r>
        <w:rPr/>
        <w:t>garantirà adeguata</w:t>
      </w:r>
      <w:r>
        <w:rPr>
          <w:w w:val="100"/>
        </w:rPr>
        <w:t> </w:t>
      </w:r>
      <w:r>
        <w:rPr/>
        <w:t>attuazione</w:t>
      </w:r>
      <w:r>
        <w:rPr>
          <w:spacing w:val="27"/>
        </w:rPr>
        <w:t> </w:t>
      </w:r>
      <w:r>
        <w:rPr/>
        <w:t>e</w:t>
      </w:r>
      <w:r>
        <w:rPr>
          <w:spacing w:val="28"/>
        </w:rPr>
        <w:t> </w:t>
      </w:r>
      <w:r>
        <w:rPr/>
        <w:t>pubblicizzazione</w:t>
      </w:r>
      <w:r>
        <w:rPr>
          <w:spacing w:val="27"/>
        </w:rPr>
        <w:t> </w:t>
      </w:r>
      <w:r>
        <w:rPr/>
        <w:t>del</w:t>
      </w:r>
      <w:r>
        <w:rPr>
          <w:spacing w:val="26"/>
        </w:rPr>
        <w:t> </w:t>
      </w:r>
      <w:r>
        <w:rPr/>
        <w:t>fondo</w:t>
      </w:r>
      <w:r>
        <w:rPr>
          <w:spacing w:val="28"/>
        </w:rPr>
        <w:t> </w:t>
      </w:r>
      <w:r>
        <w:rPr/>
        <w:t>per</w:t>
      </w:r>
      <w:r>
        <w:rPr>
          <w:spacing w:val="27"/>
        </w:rPr>
        <w:t> </w:t>
      </w:r>
      <w:r>
        <w:rPr/>
        <w:t>il</w:t>
      </w:r>
      <w:r>
        <w:rPr>
          <w:spacing w:val="25"/>
        </w:rPr>
        <w:t> </w:t>
      </w:r>
      <w:r>
        <w:rPr/>
        <w:t>mecenatismo</w:t>
      </w:r>
      <w:r>
        <w:rPr>
          <w:spacing w:val="28"/>
        </w:rPr>
        <w:t> </w:t>
      </w:r>
      <w:r>
        <w:rPr/>
        <w:t>ambientale.</w:t>
      </w:r>
      <w:r>
        <w:rPr>
          <w:spacing w:val="29"/>
        </w:rPr>
        <w:t> </w:t>
      </w:r>
      <w:r>
        <w:rPr/>
        <w:t>È</w:t>
      </w:r>
      <w:r>
        <w:rPr>
          <w:w w:val="100"/>
        </w:rPr>
        <w:t> </w:t>
      </w:r>
      <w:r>
        <w:rPr/>
        <w:t>necessario</w:t>
        <w:tab/>
        <w:t>promuovere</w:t>
        <w:tab/>
        <w:t>lo</w:t>
        <w:tab/>
        <w:t>sviluppo</w:t>
        <w:tab/>
        <w:t>e</w:t>
        <w:tab/>
        <w:t>l’introduzione</w:t>
        <w:tab/>
        <w:t>di</w:t>
        <w:tab/>
        <w:t>nuove</w:t>
        <w:tab/>
        <w:tab/>
      </w:r>
      <w:r>
        <w:rPr>
          <w:spacing w:val="-1"/>
        </w:rPr>
        <w:t>tecnologie, </w:t>
      </w:r>
      <w:r>
        <w:rPr/>
        <w:t>contemperato</w:t>
      </w:r>
      <w:r>
        <w:rPr>
          <w:spacing w:val="13"/>
        </w:rPr>
        <w:t> </w:t>
      </w:r>
      <w:r>
        <w:rPr/>
        <w:t>con</w:t>
      </w:r>
      <w:r>
        <w:rPr>
          <w:spacing w:val="13"/>
        </w:rPr>
        <w:t> </w:t>
      </w:r>
      <w:r>
        <w:rPr/>
        <w:t>le</w:t>
      </w:r>
      <w:r>
        <w:rPr>
          <w:spacing w:val="11"/>
        </w:rPr>
        <w:t> </w:t>
      </w:r>
      <w:r>
        <w:rPr/>
        <w:t>esigenze</w:t>
      </w:r>
      <w:r>
        <w:rPr>
          <w:spacing w:val="14"/>
        </w:rPr>
        <w:t> </w:t>
      </w:r>
      <w:r>
        <w:rPr/>
        <w:t>di</w:t>
      </w:r>
      <w:r>
        <w:rPr>
          <w:spacing w:val="10"/>
        </w:rPr>
        <w:t> </w:t>
      </w:r>
      <w:r>
        <w:rPr/>
        <w:t>tutela</w:t>
      </w:r>
      <w:r>
        <w:rPr>
          <w:spacing w:val="13"/>
        </w:rPr>
        <w:t> </w:t>
      </w:r>
      <w:r>
        <w:rPr/>
        <w:t>ambientale</w:t>
      </w:r>
      <w:r>
        <w:rPr>
          <w:spacing w:val="13"/>
        </w:rPr>
        <w:t> </w:t>
      </w:r>
      <w:r>
        <w:rPr/>
        <w:t>e</w:t>
      </w:r>
      <w:r>
        <w:rPr>
          <w:spacing w:val="14"/>
        </w:rPr>
        <w:t> </w:t>
      </w:r>
      <w:r>
        <w:rPr/>
        <w:t>di</w:t>
      </w:r>
      <w:r>
        <w:rPr>
          <w:spacing w:val="10"/>
        </w:rPr>
        <w:t> </w:t>
      </w:r>
      <w:r>
        <w:rPr/>
        <w:t>salute</w:t>
      </w:r>
      <w:r>
        <w:rPr>
          <w:spacing w:val="14"/>
        </w:rPr>
        <w:t> </w:t>
      </w:r>
      <w:r>
        <w:rPr/>
        <w:t>della</w:t>
      </w:r>
      <w:r>
        <w:rPr>
          <w:spacing w:val="13"/>
        </w:rPr>
        <w:t> </w:t>
      </w:r>
      <w:r>
        <w:rPr/>
        <w:t>popolazione,</w:t>
      </w:r>
      <w:r>
        <w:rPr>
          <w:w w:val="100"/>
        </w:rPr>
        <w:t> </w:t>
      </w:r>
      <w:r>
        <w:rPr/>
        <w:t>oltre che le ricerche più innovative in modo da rendere più efficace</w:t>
      </w:r>
      <w:r>
        <w:rPr>
          <w:spacing w:val="-14"/>
        </w:rPr>
        <w:t> </w:t>
      </w:r>
      <w:r>
        <w:rPr/>
        <w:t>la</w:t>
      </w:r>
      <w:r>
        <w:rPr>
          <w:spacing w:val="-3"/>
        </w:rPr>
        <w:t> </w:t>
      </w:r>
      <w:r>
        <w:rPr/>
        <w:t>‘transizione</w:t>
      </w:r>
      <w:r>
        <w:rPr>
          <w:spacing w:val="-1"/>
          <w:w w:val="100"/>
        </w:rPr>
        <w:t> </w:t>
      </w:r>
      <w:r>
        <w:rPr/>
        <w:t>ecologica’</w:t>
      </w:r>
      <w:r>
        <w:rPr>
          <w:spacing w:val="28"/>
        </w:rPr>
        <w:t> </w:t>
      </w:r>
      <w:r>
        <w:rPr/>
        <w:t>e</w:t>
      </w:r>
      <w:r>
        <w:rPr>
          <w:spacing w:val="28"/>
        </w:rPr>
        <w:t> </w:t>
      </w:r>
      <w:r>
        <w:rPr/>
        <w:t>indirizzare</w:t>
      </w:r>
      <w:r>
        <w:rPr>
          <w:spacing w:val="26"/>
        </w:rPr>
        <w:t> </w:t>
      </w:r>
      <w:r>
        <w:rPr/>
        <w:t>l’intero</w:t>
      </w:r>
      <w:r>
        <w:rPr>
          <w:spacing w:val="28"/>
        </w:rPr>
        <w:t> </w:t>
      </w:r>
      <w:r>
        <w:rPr/>
        <w:t>sistema</w:t>
      </w:r>
      <w:r>
        <w:rPr>
          <w:spacing w:val="27"/>
        </w:rPr>
        <w:t> </w:t>
      </w:r>
      <w:r>
        <w:rPr/>
        <w:t>produttivo</w:t>
      </w:r>
      <w:r>
        <w:rPr>
          <w:spacing w:val="28"/>
        </w:rPr>
        <w:t> </w:t>
      </w:r>
      <w:r>
        <w:rPr/>
        <w:t>verso</w:t>
      </w:r>
      <w:r>
        <w:rPr>
          <w:spacing w:val="27"/>
        </w:rPr>
        <w:t> </w:t>
      </w:r>
      <w:r>
        <w:rPr/>
        <w:t>un’economia</w:t>
      </w:r>
      <w:r>
        <w:rPr>
          <w:spacing w:val="29"/>
        </w:rPr>
        <w:t> </w:t>
      </w:r>
      <w:r>
        <w:rPr/>
        <w:t>circolare,</w:t>
      </w:r>
      <w:r>
        <w:rPr>
          <w:w w:val="100"/>
        </w:rPr>
        <w:t> </w:t>
      </w:r>
      <w:r>
        <w:rPr/>
        <w:t>che</w:t>
      </w:r>
      <w:r>
        <w:rPr>
          <w:spacing w:val="-15"/>
        </w:rPr>
        <w:t> </w:t>
      </w:r>
      <w:r>
        <w:rPr/>
        <w:t>promuova</w:t>
      </w:r>
      <w:r>
        <w:rPr>
          <w:spacing w:val="-15"/>
        </w:rPr>
        <w:t> </w:t>
      </w:r>
      <w:r>
        <w:rPr/>
        <w:t>la</w:t>
      </w:r>
      <w:r>
        <w:rPr>
          <w:spacing w:val="-18"/>
        </w:rPr>
        <w:t> </w:t>
      </w:r>
      <w:r>
        <w:rPr/>
        <w:t>cultura</w:t>
      </w:r>
      <w:r>
        <w:rPr>
          <w:spacing w:val="-18"/>
        </w:rPr>
        <w:t> </w:t>
      </w:r>
      <w:r>
        <w:rPr/>
        <w:t>del</w:t>
      </w:r>
      <w:r>
        <w:rPr>
          <w:spacing w:val="-15"/>
        </w:rPr>
        <w:t> </w:t>
      </w:r>
      <w:r>
        <w:rPr/>
        <w:t>riciclo</w:t>
      </w:r>
      <w:r>
        <w:rPr>
          <w:spacing w:val="-16"/>
        </w:rPr>
        <w:t> </w:t>
      </w:r>
      <w:r>
        <w:rPr/>
        <w:t>e</w:t>
      </w:r>
      <w:r>
        <w:rPr>
          <w:spacing w:val="-14"/>
        </w:rPr>
        <w:t> </w:t>
      </w:r>
      <w:r>
        <w:rPr/>
        <w:t>dismetta</w:t>
      </w:r>
      <w:r>
        <w:rPr>
          <w:spacing w:val="-15"/>
        </w:rPr>
        <w:t> </w:t>
      </w:r>
      <w:r>
        <w:rPr/>
        <w:t>definitivamente</w:t>
      </w:r>
      <w:r>
        <w:rPr>
          <w:spacing w:val="-15"/>
        </w:rPr>
        <w:t> </w:t>
      </w:r>
      <w:r>
        <w:rPr/>
        <w:t>la</w:t>
      </w:r>
      <w:r>
        <w:rPr>
          <w:spacing w:val="-16"/>
        </w:rPr>
        <w:t> </w:t>
      </w:r>
      <w:r>
        <w:rPr/>
        <w:t>cultura</w:t>
      </w:r>
      <w:r>
        <w:rPr>
          <w:spacing w:val="-15"/>
        </w:rPr>
        <w:t> </w:t>
      </w:r>
      <w:r>
        <w:rPr/>
        <w:t>del</w:t>
      </w:r>
      <w:r>
        <w:rPr>
          <w:spacing w:val="-15"/>
        </w:rPr>
        <w:t> </w:t>
      </w:r>
      <w:r>
        <w:rPr/>
        <w:t>rifiuto.</w:t>
      </w:r>
    </w:p>
    <w:p>
      <w:pPr>
        <w:pStyle w:val="BodyText"/>
        <w:spacing w:line="244" w:lineRule="auto" w:before="4"/>
        <w:ind w:left="278" w:right="2261" w:firstLine="453"/>
        <w:jc w:val="both"/>
      </w:pPr>
      <w:r>
        <w:rPr/>
        <w:t>In questo contesto si perseguirà la riduzione del consumo di plastica mono uso e saranno proposte specifiche misure per limitare i rifiuti marini (</w:t>
      </w:r>
      <w:r>
        <w:rPr>
          <w:i/>
        </w:rPr>
        <w:t>marine litter</w:t>
      </w:r>
      <w:r>
        <w:rPr/>
        <w:t>) e per il recupero degli stessi. Inoltre, si proseguirà nello sforzo volto ad attuare la Pianificazione Spaziale Marittima.</w:t>
      </w:r>
    </w:p>
    <w:p>
      <w:pPr>
        <w:pStyle w:val="BodyText"/>
        <w:spacing w:line="244" w:lineRule="auto" w:before="1"/>
        <w:ind w:left="278" w:right="2263" w:firstLine="453"/>
        <w:jc w:val="both"/>
      </w:pPr>
      <w:r>
        <w:rPr/>
        <w:t>Come detto, è altresì necessario riformare il sistema fiscale in chiave ambientale per accompagnare il sistema economico nazionale verso forme di consumo</w:t>
      </w:r>
      <w:r>
        <w:rPr>
          <w:spacing w:val="-13"/>
        </w:rPr>
        <w:t> </w:t>
      </w:r>
      <w:r>
        <w:rPr/>
        <w:t>e</w:t>
      </w:r>
      <w:r>
        <w:rPr>
          <w:spacing w:val="-12"/>
        </w:rPr>
        <w:t> </w:t>
      </w:r>
      <w:r>
        <w:rPr/>
        <w:t>produzione</w:t>
      </w:r>
      <w:r>
        <w:rPr>
          <w:spacing w:val="-12"/>
        </w:rPr>
        <w:t> </w:t>
      </w:r>
      <w:r>
        <w:rPr/>
        <w:t>sostenibili.</w:t>
      </w:r>
      <w:r>
        <w:rPr>
          <w:spacing w:val="-12"/>
        </w:rPr>
        <w:t> </w:t>
      </w:r>
      <w:r>
        <w:rPr/>
        <w:t>A</w:t>
      </w:r>
      <w:r>
        <w:rPr>
          <w:spacing w:val="-12"/>
        </w:rPr>
        <w:t> </w:t>
      </w:r>
      <w:r>
        <w:rPr/>
        <w:t>tal</w:t>
      </w:r>
      <w:r>
        <w:rPr>
          <w:spacing w:val="-12"/>
        </w:rPr>
        <w:t> </w:t>
      </w:r>
      <w:r>
        <w:rPr/>
        <w:t>fine,</w:t>
      </w:r>
      <w:r>
        <w:rPr>
          <w:spacing w:val="-12"/>
        </w:rPr>
        <w:t> </w:t>
      </w:r>
      <w:r>
        <w:rPr/>
        <w:t>l’Italia</w:t>
      </w:r>
      <w:r>
        <w:rPr>
          <w:spacing w:val="-12"/>
        </w:rPr>
        <w:t> </w:t>
      </w:r>
      <w:r>
        <w:rPr/>
        <w:t>sta</w:t>
      </w:r>
      <w:r>
        <w:rPr>
          <w:spacing w:val="-12"/>
        </w:rPr>
        <w:t> </w:t>
      </w:r>
      <w:r>
        <w:rPr/>
        <w:t>avviando,</w:t>
      </w:r>
      <w:r>
        <w:rPr>
          <w:spacing w:val="-12"/>
        </w:rPr>
        <w:t> </w:t>
      </w:r>
      <w:r>
        <w:rPr/>
        <w:t>in</w:t>
      </w:r>
      <w:r>
        <w:rPr>
          <w:spacing w:val="-12"/>
        </w:rPr>
        <w:t> </w:t>
      </w:r>
      <w:r>
        <w:rPr/>
        <w:t>qualità</w:t>
      </w:r>
      <w:r>
        <w:rPr>
          <w:spacing w:val="-12"/>
        </w:rPr>
        <w:t> </w:t>
      </w:r>
      <w:r>
        <w:rPr/>
        <w:t>di</w:t>
      </w:r>
      <w:r>
        <w:rPr>
          <w:spacing w:val="-12"/>
        </w:rPr>
        <w:t> </w:t>
      </w:r>
      <w:r>
        <w:rPr/>
        <w:t>Stato membro, in collaborazione con lo </w:t>
      </w:r>
      <w:r>
        <w:rPr>
          <w:i/>
        </w:rPr>
        <w:t>Structural Reform Support Service </w:t>
      </w:r>
      <w:r>
        <w:rPr/>
        <w:t>della Commissione Europea e con l’OCSE</w:t>
      </w:r>
      <w:r>
        <w:rPr>
          <w:i/>
        </w:rPr>
        <w:t>, </w:t>
      </w:r>
      <w:r>
        <w:rPr/>
        <w:t>un progetto per sviluppare un Piano d’Azione per la riforma fiscale ambientale in</w:t>
      </w:r>
      <w:r>
        <w:rPr>
          <w:spacing w:val="-8"/>
        </w:rPr>
        <w:t> </w:t>
      </w:r>
      <w:r>
        <w:rPr/>
        <w:t>Italia.</w:t>
      </w:r>
    </w:p>
    <w:p>
      <w:pPr>
        <w:pStyle w:val="BodyText"/>
        <w:spacing w:line="244" w:lineRule="auto" w:before="2"/>
        <w:ind w:left="278" w:right="2260" w:firstLine="453"/>
        <w:jc w:val="both"/>
      </w:pPr>
      <w:r>
        <w:rPr/>
        <w:t>Un elemento cruciale per le future politiche sul clima e l’energia è rappresentato</w:t>
      </w:r>
      <w:r>
        <w:rPr>
          <w:spacing w:val="-6"/>
        </w:rPr>
        <w:t> </w:t>
      </w:r>
      <w:r>
        <w:rPr/>
        <w:t>dal</w:t>
      </w:r>
      <w:r>
        <w:rPr>
          <w:spacing w:val="-5"/>
        </w:rPr>
        <w:t> </w:t>
      </w:r>
      <w:r>
        <w:rPr/>
        <w:t>Piano</w:t>
      </w:r>
      <w:r>
        <w:rPr>
          <w:spacing w:val="-7"/>
        </w:rPr>
        <w:t> </w:t>
      </w:r>
      <w:r>
        <w:rPr/>
        <w:t>Nazionale</w:t>
      </w:r>
      <w:r>
        <w:rPr>
          <w:spacing w:val="-8"/>
        </w:rPr>
        <w:t> </w:t>
      </w:r>
      <w:r>
        <w:rPr/>
        <w:t>Integrato</w:t>
      </w:r>
      <w:r>
        <w:rPr>
          <w:spacing w:val="-5"/>
        </w:rPr>
        <w:t> </w:t>
      </w:r>
      <w:r>
        <w:rPr/>
        <w:t>per</w:t>
      </w:r>
      <w:r>
        <w:rPr>
          <w:spacing w:val="-7"/>
        </w:rPr>
        <w:t> </w:t>
      </w:r>
      <w:r>
        <w:rPr/>
        <w:t>l’Energia</w:t>
      </w:r>
      <w:r>
        <w:rPr>
          <w:spacing w:val="-6"/>
        </w:rPr>
        <w:t> </w:t>
      </w:r>
      <w:r>
        <w:rPr/>
        <w:t>e</w:t>
      </w:r>
      <w:r>
        <w:rPr>
          <w:spacing w:val="-7"/>
        </w:rPr>
        <w:t> </w:t>
      </w:r>
      <w:r>
        <w:rPr/>
        <w:t>il</w:t>
      </w:r>
      <w:r>
        <w:rPr>
          <w:spacing w:val="-8"/>
        </w:rPr>
        <w:t> </w:t>
      </w:r>
      <w:r>
        <w:rPr/>
        <w:t>Clima</w:t>
      </w:r>
      <w:r>
        <w:rPr>
          <w:vertAlign w:val="superscript"/>
        </w:rPr>
        <w:t>11</w:t>
      </w:r>
      <w:r>
        <w:rPr>
          <w:vertAlign w:val="baseline"/>
        </w:rPr>
        <w:t>,</w:t>
      </w:r>
      <w:r>
        <w:rPr>
          <w:spacing w:val="-6"/>
          <w:vertAlign w:val="baseline"/>
        </w:rPr>
        <w:t> </w:t>
      </w:r>
      <w:r>
        <w:rPr>
          <w:vertAlign w:val="baseline"/>
        </w:rPr>
        <w:t>lo</w:t>
      </w:r>
      <w:r>
        <w:rPr>
          <w:spacing w:val="-6"/>
          <w:vertAlign w:val="baseline"/>
        </w:rPr>
        <w:t> </w:t>
      </w:r>
      <w:r>
        <w:rPr>
          <w:vertAlign w:val="baseline"/>
        </w:rPr>
        <w:t>strumento di attuazione per l’Italia degli obiettivi di riduzione delle emissioni di gas serra e incremento di rinnovabili ed efficienza energetica approvati a livello Europeo per l’anno 2030 ai fini di rispettare gli impegni che l’Unione ha preso con la sottoscrizione dell’Accordo di</w:t>
      </w:r>
      <w:r>
        <w:rPr>
          <w:spacing w:val="-4"/>
          <w:vertAlign w:val="baseline"/>
        </w:rPr>
        <w:t> </w:t>
      </w:r>
      <w:r>
        <w:rPr>
          <w:vertAlign w:val="baseline"/>
        </w:rPr>
        <w:t>Parigi.</w:t>
      </w:r>
    </w:p>
    <w:p>
      <w:pPr>
        <w:pStyle w:val="BodyText"/>
        <w:spacing w:line="244" w:lineRule="auto" w:before="2"/>
        <w:ind w:left="278" w:right="2262" w:firstLine="453"/>
        <w:jc w:val="both"/>
      </w:pPr>
      <w:r>
        <w:rPr/>
        <w:t>Sempre nell’ottica di favorire la ‘transizione ecologica’, è in corso di predisposizione</w:t>
      </w:r>
      <w:r>
        <w:rPr>
          <w:spacing w:val="-10"/>
        </w:rPr>
        <w:t> </w:t>
      </w:r>
      <w:r>
        <w:rPr/>
        <w:t>la</w:t>
      </w:r>
      <w:r>
        <w:rPr>
          <w:spacing w:val="-10"/>
        </w:rPr>
        <w:t> </w:t>
      </w:r>
      <w:r>
        <w:rPr/>
        <w:t>Strategia</w:t>
      </w:r>
      <w:r>
        <w:rPr>
          <w:spacing w:val="-9"/>
        </w:rPr>
        <w:t> </w:t>
      </w:r>
      <w:r>
        <w:rPr/>
        <w:t>di</w:t>
      </w:r>
      <w:r>
        <w:rPr>
          <w:spacing w:val="-10"/>
        </w:rPr>
        <w:t> </w:t>
      </w:r>
      <w:r>
        <w:rPr/>
        <w:t>lungo</w:t>
      </w:r>
      <w:r>
        <w:rPr>
          <w:spacing w:val="-10"/>
        </w:rPr>
        <w:t> </w:t>
      </w:r>
      <w:r>
        <w:rPr/>
        <w:t>termine</w:t>
      </w:r>
      <w:r>
        <w:rPr>
          <w:spacing w:val="-9"/>
        </w:rPr>
        <w:t> </w:t>
      </w:r>
      <w:r>
        <w:rPr/>
        <w:t>per</w:t>
      </w:r>
      <w:r>
        <w:rPr>
          <w:spacing w:val="-6"/>
        </w:rPr>
        <w:t> </w:t>
      </w:r>
      <w:r>
        <w:rPr/>
        <w:t>la</w:t>
      </w:r>
      <w:r>
        <w:rPr>
          <w:spacing w:val="-9"/>
        </w:rPr>
        <w:t> </w:t>
      </w:r>
      <w:r>
        <w:rPr/>
        <w:t>riduzione</w:t>
      </w:r>
      <w:r>
        <w:rPr>
          <w:spacing w:val="-10"/>
        </w:rPr>
        <w:t> </w:t>
      </w:r>
      <w:r>
        <w:rPr/>
        <w:t>dei</w:t>
      </w:r>
      <w:r>
        <w:rPr>
          <w:spacing w:val="-9"/>
        </w:rPr>
        <w:t> </w:t>
      </w:r>
      <w:r>
        <w:rPr/>
        <w:t>gas</w:t>
      </w:r>
      <w:r>
        <w:rPr>
          <w:spacing w:val="-9"/>
        </w:rPr>
        <w:t> </w:t>
      </w:r>
      <w:r>
        <w:rPr/>
        <w:t>a</w:t>
      </w:r>
      <w:r>
        <w:rPr>
          <w:spacing w:val="-9"/>
        </w:rPr>
        <w:t> </w:t>
      </w:r>
      <w:r>
        <w:rPr/>
        <w:t>effetto</w:t>
      </w:r>
      <w:r>
        <w:rPr>
          <w:spacing w:val="-8"/>
        </w:rPr>
        <w:t> </w:t>
      </w:r>
      <w:r>
        <w:rPr/>
        <w:t>serra al 2050. La Strategia individuerà diversi percorsi di decarbonizzazione, tenendo conto delle specificità dell’assetto produttivo, energetico, economico e sociale nazionale, che consentiranno riduzioni delle emissioni fino al raggiungimento della neutralità</w:t>
      </w:r>
      <w:r>
        <w:rPr>
          <w:spacing w:val="-2"/>
        </w:rPr>
        <w:t> </w:t>
      </w:r>
      <w:r>
        <w:rPr/>
        <w:t>climatica</w:t>
      </w:r>
      <w:r>
        <w:rPr>
          <w:vertAlign w:val="superscript"/>
        </w:rPr>
        <w:t>12</w:t>
      </w:r>
      <w:r>
        <w:rPr>
          <w:vertAlign w:val="baseline"/>
        </w:rPr>
        <w:t>.</w:t>
      </w:r>
    </w:p>
    <w:p>
      <w:pPr>
        <w:pStyle w:val="BodyText"/>
        <w:spacing w:line="244" w:lineRule="auto" w:before="1"/>
        <w:ind w:left="278" w:right="2263" w:firstLine="453"/>
        <w:jc w:val="both"/>
      </w:pPr>
      <w:r>
        <w:rPr/>
        <w:t>A tale riguardo è stato anche approvato il Piano Nazionale per la ricerca di sistema elettrico. Il Piano promuove progetti relativi a nuove architetture di rete, finalizzate</w:t>
      </w:r>
      <w:r>
        <w:rPr>
          <w:spacing w:val="-4"/>
        </w:rPr>
        <w:t> </w:t>
      </w:r>
      <w:r>
        <w:rPr/>
        <w:t>a</w:t>
      </w:r>
      <w:r>
        <w:rPr>
          <w:spacing w:val="-5"/>
        </w:rPr>
        <w:t> </w:t>
      </w:r>
      <w:r>
        <w:rPr/>
        <w:t>rendere</w:t>
      </w:r>
      <w:r>
        <w:rPr>
          <w:spacing w:val="-4"/>
        </w:rPr>
        <w:t> </w:t>
      </w:r>
      <w:r>
        <w:rPr/>
        <w:t>più</w:t>
      </w:r>
      <w:r>
        <w:rPr>
          <w:spacing w:val="-4"/>
        </w:rPr>
        <w:t> </w:t>
      </w:r>
      <w:r>
        <w:rPr/>
        <w:t>flessibile</w:t>
      </w:r>
      <w:r>
        <w:rPr>
          <w:spacing w:val="-4"/>
        </w:rPr>
        <w:t> </w:t>
      </w:r>
      <w:r>
        <w:rPr/>
        <w:t>il</w:t>
      </w:r>
      <w:r>
        <w:rPr>
          <w:spacing w:val="-5"/>
        </w:rPr>
        <w:t> </w:t>
      </w:r>
      <w:r>
        <w:rPr/>
        <w:t>sistema</w:t>
      </w:r>
      <w:r>
        <w:rPr>
          <w:spacing w:val="-4"/>
        </w:rPr>
        <w:t> </w:t>
      </w:r>
      <w:r>
        <w:rPr/>
        <w:t>elettrico</w:t>
      </w:r>
      <w:r>
        <w:rPr>
          <w:spacing w:val="-5"/>
        </w:rPr>
        <w:t> </w:t>
      </w:r>
      <w:r>
        <w:rPr/>
        <w:t>e</w:t>
      </w:r>
      <w:r>
        <w:rPr>
          <w:spacing w:val="-4"/>
        </w:rPr>
        <w:t> </w:t>
      </w:r>
      <w:r>
        <w:rPr/>
        <w:t>ad</w:t>
      </w:r>
      <w:r>
        <w:rPr>
          <w:spacing w:val="-4"/>
        </w:rPr>
        <w:t> </w:t>
      </w:r>
      <w:r>
        <w:rPr/>
        <w:t>assicurare</w:t>
      </w:r>
      <w:r>
        <w:rPr>
          <w:spacing w:val="-4"/>
        </w:rPr>
        <w:t> </w:t>
      </w:r>
      <w:r>
        <w:rPr/>
        <w:t>la</w:t>
      </w:r>
      <w:r>
        <w:rPr>
          <w:spacing w:val="-5"/>
        </w:rPr>
        <w:t> </w:t>
      </w:r>
      <w:r>
        <w:rPr/>
        <w:t>gestione</w:t>
      </w:r>
      <w:r>
        <w:rPr>
          <w:spacing w:val="-4"/>
        </w:rPr>
        <w:t> </w:t>
      </w:r>
      <w:r>
        <w:rPr/>
        <w:t>in sicurezza. L’evoluzione del sistema elettrico con la priorità dello sviluppo delle fonti rinnovabili prosegue anche con l’emanazione del decreto FER1, che prevede incentivi per la diffusione di impianti fotovoltaici, eolici, idroelettrici e a gas di depurazione. L’attuazione del provvedimento consentirà la realizzazione di impianti per una potenza complessiva di circa 8.000 MW, con un aumento della produzione da fonti rinnovabili di circa 12 miliardi di kWh. Relativamente alla mobilità</w:t>
      </w:r>
      <w:r>
        <w:rPr>
          <w:spacing w:val="-9"/>
        </w:rPr>
        <w:t> </w:t>
      </w:r>
      <w:r>
        <w:rPr/>
        <w:t>sostenibile,</w:t>
      </w:r>
      <w:r>
        <w:rPr>
          <w:spacing w:val="-7"/>
        </w:rPr>
        <w:t> </w:t>
      </w:r>
      <w:r>
        <w:rPr/>
        <w:t>è</w:t>
      </w:r>
      <w:r>
        <w:rPr>
          <w:spacing w:val="-8"/>
        </w:rPr>
        <w:t> </w:t>
      </w:r>
      <w:r>
        <w:rPr/>
        <w:t>in</w:t>
      </w:r>
      <w:r>
        <w:rPr>
          <w:spacing w:val="-12"/>
        </w:rPr>
        <w:t> </w:t>
      </w:r>
      <w:r>
        <w:rPr/>
        <w:t>via</w:t>
      </w:r>
      <w:r>
        <w:rPr>
          <w:spacing w:val="-8"/>
        </w:rPr>
        <w:t> </w:t>
      </w:r>
      <w:r>
        <w:rPr/>
        <w:t>di</w:t>
      </w:r>
      <w:r>
        <w:rPr>
          <w:spacing w:val="-11"/>
        </w:rPr>
        <w:t> </w:t>
      </w:r>
      <w:r>
        <w:rPr/>
        <w:t>predisposizione</w:t>
      </w:r>
      <w:r>
        <w:rPr>
          <w:spacing w:val="-8"/>
        </w:rPr>
        <w:t> </w:t>
      </w:r>
      <w:r>
        <w:rPr/>
        <w:t>uno</w:t>
      </w:r>
      <w:r>
        <w:rPr>
          <w:spacing w:val="-9"/>
        </w:rPr>
        <w:t> </w:t>
      </w:r>
      <w:r>
        <w:rPr/>
        <w:t>schema</w:t>
      </w:r>
      <w:r>
        <w:rPr>
          <w:spacing w:val="-8"/>
        </w:rPr>
        <w:t> </w:t>
      </w:r>
      <w:r>
        <w:rPr/>
        <w:t>di</w:t>
      </w:r>
      <w:r>
        <w:rPr>
          <w:spacing w:val="-11"/>
        </w:rPr>
        <w:t> </w:t>
      </w:r>
      <w:r>
        <w:rPr/>
        <w:t>intervento</w:t>
      </w:r>
      <w:r>
        <w:rPr>
          <w:spacing w:val="-11"/>
        </w:rPr>
        <w:t> </w:t>
      </w:r>
      <w:r>
        <w:rPr/>
        <w:t>normativo</w:t>
      </w:r>
    </w:p>
    <w:p>
      <w:pPr>
        <w:pStyle w:val="BodyText"/>
        <w:rPr>
          <w:sz w:val="20"/>
        </w:rPr>
      </w:pPr>
    </w:p>
    <w:p>
      <w:pPr>
        <w:pStyle w:val="BodyText"/>
        <w:spacing w:before="8"/>
        <w:rPr>
          <w:sz w:val="16"/>
        </w:rPr>
      </w:pPr>
      <w:r>
        <w:rPr/>
        <w:pict>
          <v:group style="position:absolute;margin-left:93.599998pt;margin-top:11.667988pt;width:21.4pt;height:2.15pt;mso-position-horizontal-relative:page;mso-position-vertical-relative:paragraph;z-index:-251438080;mso-wrap-distance-left:0;mso-wrap-distance-right:0" coordorigin="1872,233" coordsize="428,43">
            <v:line style="position:absolute" from="1872,254" to="2299,254" stroked="true" strokeweight="2.050pt" strokecolor="#aaaaaa">
              <v:stroke dashstyle="solid"/>
            </v:line>
            <v:rect style="position:absolute;left:1872;top:235;width:5;height:5" filled="true" fillcolor="#9f9f9f" stroked="false">
              <v:fill type="solid"/>
            </v:rect>
            <v:rect style="position:absolute;left:1872;top:235;width:5;height:5" filled="true" fillcolor="#9f9f9f" stroked="false">
              <v:fill type="solid"/>
            </v:rect>
            <v:line style="position:absolute" from="1877,238" to="2295,238" stroked="true" strokeweight=".23999pt" strokecolor="#9f9f9f">
              <v:stroke dashstyle="solid"/>
            </v:line>
            <v:rect style="position:absolute;left:2294;top:235;width:5;height:5" filled="true" fillcolor="#e2e2e2" stroked="false">
              <v:fill type="solid"/>
            </v:rect>
            <v:rect style="position:absolute;left:2294;top:235;width:5;height:5" filled="true" fillcolor="#9f9f9f" stroked="false">
              <v:fill type="solid"/>
            </v:rect>
            <v:rect style="position:absolute;left:1872;top:240;width:5;height:32" filled="true" fillcolor="#9f9f9f" stroked="false">
              <v:fill type="solid"/>
            </v:rect>
            <v:rect style="position:absolute;left:2294;top:240;width:5;height:32" filled="true" fillcolor="#e2e2e2" stroked="false">
              <v:fill type="solid"/>
            </v:rect>
            <v:rect style="position:absolute;left:1872;top:271;width:5;height:5" filled="true" fillcolor="#9f9f9f" stroked="false">
              <v:fill type="solid"/>
            </v:rect>
            <v:rect style="position:absolute;left:1872;top:271;width:5;height:5" filled="true" fillcolor="#e2e2e2" stroked="false">
              <v:fill type="solid"/>
            </v:rect>
            <v:line style="position:absolute" from="1877,274" to="2295,274" stroked="true" strokeweight=".24005pt" strokecolor="#e2e2e2">
              <v:stroke dashstyle="solid"/>
            </v:line>
            <v:rect style="position:absolute;left:2294;top:271;width:5;height:5" filled="true" fillcolor="#e2e2e2" stroked="false">
              <v:fill type="solid"/>
            </v:rect>
            <v:rect style="position:absolute;left:2294;top:271;width:5;height:5" filled="true" fillcolor="#e2e2e2" stroked="false">
              <v:fill type="solid"/>
            </v:rect>
            <w10:wrap type="topAndBottom"/>
          </v:group>
        </w:pict>
      </w:r>
    </w:p>
    <w:p>
      <w:pPr>
        <w:spacing w:line="187" w:lineRule="exact" w:before="20"/>
        <w:ind w:left="732" w:right="0" w:firstLine="0"/>
        <w:jc w:val="left"/>
        <w:rPr>
          <w:sz w:val="16"/>
        </w:rPr>
      </w:pPr>
      <w:r>
        <w:rPr>
          <w:position w:val="6"/>
          <w:sz w:val="10"/>
        </w:rPr>
        <w:t>11 </w:t>
      </w:r>
      <w:r>
        <w:rPr>
          <w:sz w:val="16"/>
        </w:rPr>
        <w:t>La cui proposta è stata inviata alla Commissione entro il 31 dicembre 2018.</w:t>
      </w:r>
    </w:p>
    <w:p>
      <w:pPr>
        <w:spacing w:line="187" w:lineRule="exact" w:before="0"/>
        <w:ind w:left="732" w:right="0" w:firstLine="0"/>
        <w:jc w:val="left"/>
        <w:rPr>
          <w:sz w:val="16"/>
        </w:rPr>
      </w:pPr>
      <w:r>
        <w:rPr>
          <w:position w:val="6"/>
          <w:sz w:val="10"/>
        </w:rPr>
        <w:t>12 </w:t>
      </w:r>
      <w:r>
        <w:rPr>
          <w:sz w:val="16"/>
        </w:rPr>
        <w:t>La strategia dovrà essere trasmessa alla Commissione Europea entro l’1 gennaio 2020.</w:t>
      </w:r>
    </w:p>
    <w:p>
      <w:pPr>
        <w:spacing w:after="0" w:line="187" w:lineRule="exact"/>
        <w:jc w:val="left"/>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44" w:lineRule="auto" w:before="101"/>
        <w:ind w:left="1128" w:right="1412"/>
        <w:jc w:val="both"/>
      </w:pPr>
      <w:r>
        <w:rPr/>
        <w:t>per l’attuazione di misure di incentivazione all’adozione di stili di vita più sostenibili, con il particolare obiettivo di un miglioramento della qualità dell’aria nelle Città Metropolitane situate nelle zone interessate dalle procedure di infrazione.</w:t>
      </w:r>
      <w:r>
        <w:rPr>
          <w:spacing w:val="-14"/>
        </w:rPr>
        <w:t> </w:t>
      </w:r>
      <w:r>
        <w:rPr/>
        <w:t>Altro</w:t>
      </w:r>
      <w:r>
        <w:rPr>
          <w:spacing w:val="-17"/>
        </w:rPr>
        <w:t> </w:t>
      </w:r>
      <w:r>
        <w:rPr/>
        <w:t>elemento</w:t>
      </w:r>
      <w:r>
        <w:rPr>
          <w:spacing w:val="-14"/>
        </w:rPr>
        <w:t> </w:t>
      </w:r>
      <w:r>
        <w:rPr/>
        <w:t>di</w:t>
      </w:r>
      <w:r>
        <w:rPr>
          <w:spacing w:val="-16"/>
        </w:rPr>
        <w:t> </w:t>
      </w:r>
      <w:r>
        <w:rPr/>
        <w:t>particolare</w:t>
      </w:r>
      <w:r>
        <w:rPr>
          <w:spacing w:val="-16"/>
        </w:rPr>
        <w:t> </w:t>
      </w:r>
      <w:r>
        <w:rPr/>
        <w:t>rilevanza</w:t>
      </w:r>
      <w:r>
        <w:rPr>
          <w:spacing w:val="-15"/>
        </w:rPr>
        <w:t> </w:t>
      </w:r>
      <w:r>
        <w:rPr/>
        <w:t>per</w:t>
      </w:r>
      <w:r>
        <w:rPr>
          <w:spacing w:val="-16"/>
        </w:rPr>
        <w:t> </w:t>
      </w:r>
      <w:r>
        <w:rPr/>
        <w:t>rafforzare</w:t>
      </w:r>
      <w:r>
        <w:rPr>
          <w:spacing w:val="-16"/>
        </w:rPr>
        <w:t> </w:t>
      </w:r>
      <w:r>
        <w:rPr/>
        <w:t>il</w:t>
      </w:r>
      <w:r>
        <w:rPr>
          <w:spacing w:val="-18"/>
        </w:rPr>
        <w:t> </w:t>
      </w:r>
      <w:r>
        <w:rPr/>
        <w:t>passaggio</w:t>
      </w:r>
      <w:r>
        <w:rPr>
          <w:spacing w:val="-15"/>
        </w:rPr>
        <w:t> </w:t>
      </w:r>
      <w:r>
        <w:rPr/>
        <w:t>ad</w:t>
      </w:r>
      <w:r>
        <w:rPr>
          <w:spacing w:val="-15"/>
        </w:rPr>
        <w:t> </w:t>
      </w:r>
      <w:r>
        <w:rPr/>
        <w:t>una economia</w:t>
      </w:r>
      <w:r>
        <w:rPr>
          <w:spacing w:val="-17"/>
        </w:rPr>
        <w:t> </w:t>
      </w:r>
      <w:r>
        <w:rPr/>
        <w:t>circolare</w:t>
      </w:r>
      <w:r>
        <w:rPr>
          <w:spacing w:val="-14"/>
        </w:rPr>
        <w:t> </w:t>
      </w:r>
      <w:r>
        <w:rPr/>
        <w:t>a</w:t>
      </w:r>
      <w:r>
        <w:rPr>
          <w:spacing w:val="-19"/>
        </w:rPr>
        <w:t> </w:t>
      </w:r>
      <w:r>
        <w:rPr/>
        <w:t>basse</w:t>
      </w:r>
      <w:r>
        <w:rPr>
          <w:spacing w:val="-15"/>
        </w:rPr>
        <w:t> </w:t>
      </w:r>
      <w:r>
        <w:rPr/>
        <w:t>emissioni</w:t>
      </w:r>
      <w:r>
        <w:rPr>
          <w:spacing w:val="-16"/>
        </w:rPr>
        <w:t> </w:t>
      </w:r>
      <w:r>
        <w:rPr/>
        <w:t>di</w:t>
      </w:r>
      <w:r>
        <w:rPr>
          <w:spacing w:val="-17"/>
        </w:rPr>
        <w:t> </w:t>
      </w:r>
      <w:r>
        <w:rPr/>
        <w:t>carbonio</w:t>
      </w:r>
      <w:r>
        <w:rPr>
          <w:spacing w:val="-18"/>
        </w:rPr>
        <w:t> </w:t>
      </w:r>
      <w:r>
        <w:rPr/>
        <w:t>è</w:t>
      </w:r>
      <w:r>
        <w:rPr>
          <w:spacing w:val="-15"/>
        </w:rPr>
        <w:t> </w:t>
      </w:r>
      <w:r>
        <w:rPr/>
        <w:t>rappresentato</w:t>
      </w:r>
      <w:r>
        <w:rPr>
          <w:spacing w:val="-16"/>
        </w:rPr>
        <w:t> </w:t>
      </w:r>
      <w:r>
        <w:rPr/>
        <w:t>dall’uso</w:t>
      </w:r>
      <w:r>
        <w:rPr>
          <w:spacing w:val="-19"/>
        </w:rPr>
        <w:t> </w:t>
      </w:r>
      <w:r>
        <w:rPr/>
        <w:t>strategico degli</w:t>
      </w:r>
      <w:r>
        <w:rPr>
          <w:spacing w:val="-10"/>
        </w:rPr>
        <w:t> </w:t>
      </w:r>
      <w:r>
        <w:rPr/>
        <w:t>appalti</w:t>
      </w:r>
      <w:r>
        <w:rPr>
          <w:spacing w:val="-9"/>
        </w:rPr>
        <w:t> </w:t>
      </w:r>
      <w:r>
        <w:rPr/>
        <w:t>pubblici</w:t>
      </w:r>
      <w:r>
        <w:rPr>
          <w:spacing w:val="-8"/>
        </w:rPr>
        <w:t> </w:t>
      </w:r>
      <w:r>
        <w:rPr/>
        <w:t>attraverso</w:t>
      </w:r>
      <w:r>
        <w:rPr>
          <w:spacing w:val="-9"/>
        </w:rPr>
        <w:t> </w:t>
      </w:r>
      <w:r>
        <w:rPr/>
        <w:t>l’applicazione</w:t>
      </w:r>
      <w:r>
        <w:rPr>
          <w:spacing w:val="-10"/>
        </w:rPr>
        <w:t> </w:t>
      </w:r>
      <w:r>
        <w:rPr/>
        <w:t>dei</w:t>
      </w:r>
      <w:r>
        <w:rPr>
          <w:spacing w:val="-9"/>
        </w:rPr>
        <w:t> </w:t>
      </w:r>
      <w:r>
        <w:rPr/>
        <w:t>Criteri</w:t>
      </w:r>
      <w:r>
        <w:rPr>
          <w:spacing w:val="-9"/>
        </w:rPr>
        <w:t> </w:t>
      </w:r>
      <w:r>
        <w:rPr/>
        <w:t>Ambientali</w:t>
      </w:r>
      <w:r>
        <w:rPr>
          <w:spacing w:val="-9"/>
        </w:rPr>
        <w:t> </w:t>
      </w:r>
      <w:r>
        <w:rPr/>
        <w:t>Minimi</w:t>
      </w:r>
      <w:r>
        <w:rPr>
          <w:spacing w:val="-9"/>
        </w:rPr>
        <w:t> </w:t>
      </w:r>
      <w:r>
        <w:rPr/>
        <w:t>(CAM), nelle procedure di acquisto delle Pubbliche</w:t>
      </w:r>
      <w:r>
        <w:rPr>
          <w:spacing w:val="-9"/>
        </w:rPr>
        <w:t> </w:t>
      </w:r>
      <w:r>
        <w:rPr/>
        <w:t>amministrazioni.</w:t>
      </w:r>
    </w:p>
    <w:p>
      <w:pPr>
        <w:pStyle w:val="BodyText"/>
        <w:spacing w:line="244" w:lineRule="auto" w:before="3"/>
        <w:ind w:left="1128" w:right="1411" w:firstLine="453"/>
        <w:jc w:val="both"/>
      </w:pPr>
      <w:r>
        <w:rPr/>
        <w:t>Con riferimento allo stato di attuazione degli interventi connessi a fattori di rischio per il territorio, è stato adottato</w:t>
      </w:r>
      <w:r>
        <w:rPr>
          <w:vertAlign w:val="superscript"/>
        </w:rPr>
        <w:t>13</w:t>
      </w:r>
      <w:r>
        <w:rPr>
          <w:vertAlign w:val="baseline"/>
        </w:rPr>
        <w:t> a settembre il decreto attuativo che trasferisce nella disponibilità delle Regioni i fondi del Ministero dell’Ambiente - inserito nel contesto del ‘ProteggItalia’ - che comprende 263 interventi immediatamente</w:t>
      </w:r>
      <w:r>
        <w:rPr>
          <w:spacing w:val="-13"/>
          <w:vertAlign w:val="baseline"/>
        </w:rPr>
        <w:t> </w:t>
      </w:r>
      <w:r>
        <w:rPr>
          <w:vertAlign w:val="baseline"/>
        </w:rPr>
        <w:t>cantierabili</w:t>
      </w:r>
      <w:r>
        <w:rPr>
          <w:spacing w:val="-13"/>
          <w:vertAlign w:val="baseline"/>
        </w:rPr>
        <w:t> </w:t>
      </w:r>
      <w:r>
        <w:rPr>
          <w:vertAlign w:val="baseline"/>
        </w:rPr>
        <w:t>entro</w:t>
      </w:r>
      <w:r>
        <w:rPr>
          <w:spacing w:val="-12"/>
          <w:vertAlign w:val="baseline"/>
        </w:rPr>
        <w:t> </w:t>
      </w:r>
      <w:r>
        <w:rPr>
          <w:vertAlign w:val="baseline"/>
        </w:rPr>
        <w:t>il</w:t>
      </w:r>
      <w:r>
        <w:rPr>
          <w:spacing w:val="-12"/>
          <w:vertAlign w:val="baseline"/>
        </w:rPr>
        <w:t> </w:t>
      </w:r>
      <w:r>
        <w:rPr>
          <w:vertAlign w:val="baseline"/>
        </w:rPr>
        <w:t>2019</w:t>
      </w:r>
      <w:r>
        <w:rPr>
          <w:spacing w:val="-13"/>
          <w:vertAlign w:val="baseline"/>
        </w:rPr>
        <w:t> </w:t>
      </w:r>
      <w:r>
        <w:rPr>
          <w:vertAlign w:val="baseline"/>
        </w:rPr>
        <w:t>per</w:t>
      </w:r>
      <w:r>
        <w:rPr>
          <w:spacing w:val="-12"/>
          <w:vertAlign w:val="baseline"/>
        </w:rPr>
        <w:t> </w:t>
      </w:r>
      <w:r>
        <w:rPr>
          <w:vertAlign w:val="baseline"/>
        </w:rPr>
        <w:t>fronteggiare</w:t>
      </w:r>
      <w:r>
        <w:rPr>
          <w:spacing w:val="-12"/>
          <w:vertAlign w:val="baseline"/>
        </w:rPr>
        <w:t> </w:t>
      </w:r>
      <w:r>
        <w:rPr>
          <w:vertAlign w:val="baseline"/>
        </w:rPr>
        <w:t>il</w:t>
      </w:r>
      <w:r>
        <w:rPr>
          <w:spacing w:val="-12"/>
          <w:vertAlign w:val="baseline"/>
        </w:rPr>
        <w:t> </w:t>
      </w:r>
      <w:r>
        <w:rPr>
          <w:vertAlign w:val="baseline"/>
        </w:rPr>
        <w:t>dissesto</w:t>
      </w:r>
      <w:r>
        <w:rPr>
          <w:spacing w:val="-13"/>
          <w:vertAlign w:val="baseline"/>
        </w:rPr>
        <w:t> </w:t>
      </w:r>
      <w:r>
        <w:rPr>
          <w:vertAlign w:val="baseline"/>
        </w:rPr>
        <w:t>idrogeologico per un importo di oltre 315 milioni. Sempre per supportare gli interventi per la mitigazione del rischio idrogeologico è stata data via libera alle modalità di erogazione delle risorse con finalità acceleratorie della spesa del Fondo sviluppo e coesione</w:t>
      </w:r>
      <w:r>
        <w:rPr>
          <w:spacing w:val="-11"/>
          <w:vertAlign w:val="baseline"/>
        </w:rPr>
        <w:t> </w:t>
      </w:r>
      <w:r>
        <w:rPr>
          <w:vertAlign w:val="baseline"/>
        </w:rPr>
        <w:t>2014-2020</w:t>
      </w:r>
      <w:r>
        <w:rPr>
          <w:spacing w:val="-11"/>
          <w:vertAlign w:val="baseline"/>
        </w:rPr>
        <w:t> </w:t>
      </w:r>
      <w:r>
        <w:rPr>
          <w:vertAlign w:val="baseline"/>
        </w:rPr>
        <w:t>(anche</w:t>
      </w:r>
      <w:r>
        <w:rPr>
          <w:spacing w:val="-11"/>
          <w:vertAlign w:val="baseline"/>
        </w:rPr>
        <w:t> </w:t>
      </w:r>
      <w:r>
        <w:rPr>
          <w:vertAlign w:val="baseline"/>
        </w:rPr>
        <w:t>in</w:t>
      </w:r>
      <w:r>
        <w:rPr>
          <w:spacing w:val="-11"/>
          <w:vertAlign w:val="baseline"/>
        </w:rPr>
        <w:t> </w:t>
      </w:r>
      <w:r>
        <w:rPr>
          <w:vertAlign w:val="baseline"/>
        </w:rPr>
        <w:t>relazione</w:t>
      </w:r>
      <w:r>
        <w:rPr>
          <w:spacing w:val="-11"/>
          <w:vertAlign w:val="baseline"/>
        </w:rPr>
        <w:t> </w:t>
      </w:r>
      <w:r>
        <w:rPr>
          <w:vertAlign w:val="baseline"/>
        </w:rPr>
        <w:t>alla</w:t>
      </w:r>
      <w:r>
        <w:rPr>
          <w:spacing w:val="-12"/>
          <w:vertAlign w:val="baseline"/>
        </w:rPr>
        <w:t> </w:t>
      </w:r>
      <w:r>
        <w:rPr>
          <w:vertAlign w:val="baseline"/>
        </w:rPr>
        <w:t>‘clausola</w:t>
      </w:r>
      <w:r>
        <w:rPr>
          <w:spacing w:val="-11"/>
          <w:vertAlign w:val="baseline"/>
        </w:rPr>
        <w:t> </w:t>
      </w:r>
      <w:r>
        <w:rPr>
          <w:vertAlign w:val="baseline"/>
        </w:rPr>
        <w:t>di</w:t>
      </w:r>
      <w:r>
        <w:rPr>
          <w:spacing w:val="-11"/>
          <w:vertAlign w:val="baseline"/>
        </w:rPr>
        <w:t> </w:t>
      </w:r>
      <w:r>
        <w:rPr>
          <w:vertAlign w:val="baseline"/>
        </w:rPr>
        <w:t>flessibilità’</w:t>
      </w:r>
      <w:r>
        <w:rPr>
          <w:spacing w:val="-9"/>
          <w:vertAlign w:val="baseline"/>
        </w:rPr>
        <w:t> </w:t>
      </w:r>
      <w:r>
        <w:rPr>
          <w:vertAlign w:val="baseline"/>
        </w:rPr>
        <w:t>sottoscritta</w:t>
      </w:r>
      <w:r>
        <w:rPr>
          <w:spacing w:val="-10"/>
          <w:vertAlign w:val="baseline"/>
        </w:rPr>
        <w:t> </w:t>
      </w:r>
      <w:r>
        <w:rPr>
          <w:vertAlign w:val="baseline"/>
        </w:rPr>
        <w:t>con l’Unione</w:t>
      </w:r>
      <w:r>
        <w:rPr>
          <w:spacing w:val="-2"/>
          <w:vertAlign w:val="baseline"/>
        </w:rPr>
        <w:t> </w:t>
      </w:r>
      <w:r>
        <w:rPr>
          <w:vertAlign w:val="baseline"/>
        </w:rPr>
        <w:t>europea).</w:t>
      </w:r>
    </w:p>
    <w:p>
      <w:pPr>
        <w:pStyle w:val="BodyText"/>
        <w:spacing w:line="244" w:lineRule="auto" w:before="1"/>
        <w:ind w:left="1128" w:right="1410" w:firstLine="453"/>
        <w:jc w:val="both"/>
      </w:pPr>
      <w:r>
        <w:rPr/>
        <w:t>Al fine di garantire la sicurezza della popolazione e delle attività produttive, nonché in attuazione delle previsioni dei Piani di bacino, è stato approvato un programma</w:t>
      </w:r>
      <w:r>
        <w:rPr>
          <w:spacing w:val="-16"/>
        </w:rPr>
        <w:t> </w:t>
      </w:r>
      <w:r>
        <w:rPr/>
        <w:t>stralcio</w:t>
      </w:r>
      <w:r>
        <w:rPr>
          <w:spacing w:val="-16"/>
        </w:rPr>
        <w:t> </w:t>
      </w:r>
      <w:r>
        <w:rPr/>
        <w:t>(annualità</w:t>
      </w:r>
      <w:r>
        <w:rPr>
          <w:spacing w:val="-15"/>
        </w:rPr>
        <w:t> </w:t>
      </w:r>
      <w:r>
        <w:rPr/>
        <w:t>2018)</w:t>
      </w:r>
      <w:r>
        <w:rPr>
          <w:spacing w:val="-15"/>
        </w:rPr>
        <w:t> </w:t>
      </w:r>
      <w:r>
        <w:rPr/>
        <w:t>di</w:t>
      </w:r>
      <w:r>
        <w:rPr>
          <w:spacing w:val="-16"/>
        </w:rPr>
        <w:t> </w:t>
      </w:r>
      <w:r>
        <w:rPr/>
        <w:t>interventi</w:t>
      </w:r>
      <w:r>
        <w:rPr>
          <w:spacing w:val="-16"/>
        </w:rPr>
        <w:t> </w:t>
      </w:r>
      <w:r>
        <w:rPr/>
        <w:t>di</w:t>
      </w:r>
      <w:r>
        <w:rPr>
          <w:spacing w:val="-16"/>
        </w:rPr>
        <w:t> </w:t>
      </w:r>
      <w:r>
        <w:rPr/>
        <w:t>manutenzione</w:t>
      </w:r>
      <w:r>
        <w:rPr>
          <w:spacing w:val="-17"/>
        </w:rPr>
        <w:t> </w:t>
      </w:r>
      <w:r>
        <w:rPr/>
        <w:t>del</w:t>
      </w:r>
      <w:r>
        <w:rPr>
          <w:spacing w:val="-16"/>
        </w:rPr>
        <w:t> </w:t>
      </w:r>
      <w:r>
        <w:rPr/>
        <w:t>territorio</w:t>
      </w:r>
      <w:r>
        <w:rPr>
          <w:spacing w:val="-15"/>
        </w:rPr>
        <w:t> </w:t>
      </w:r>
      <w:r>
        <w:rPr/>
        <w:t>per complessivi 50 milioni</w:t>
      </w:r>
      <w:r>
        <w:rPr>
          <w:vertAlign w:val="superscript"/>
        </w:rPr>
        <w:t>14</w:t>
      </w:r>
      <w:r>
        <w:rPr>
          <w:vertAlign w:val="baseline"/>
        </w:rPr>
        <w:t>. Eguale priorità dovranno assumere gli interventi volti a potenziare le politiche per la messa in sicurezza del territorio e per le bonifiche, con particolare riferimento alla completa eliminazione dell’amianto</w:t>
      </w:r>
      <w:r>
        <w:rPr>
          <w:spacing w:val="-21"/>
          <w:vertAlign w:val="baseline"/>
        </w:rPr>
        <w:t> </w:t>
      </w:r>
      <w:r>
        <w:rPr>
          <w:vertAlign w:val="baseline"/>
        </w:rPr>
        <w:t>esistente.</w:t>
      </w:r>
    </w:p>
    <w:p>
      <w:pPr>
        <w:pStyle w:val="BodyText"/>
        <w:spacing w:line="244" w:lineRule="auto" w:before="2"/>
        <w:ind w:left="1128" w:right="1414" w:firstLine="453"/>
        <w:jc w:val="both"/>
      </w:pPr>
      <w:r>
        <w:rPr/>
        <w:t>Il Governo intende proseguire nel dare piena attuazione alle direttive in materia di acque, per garantirne la tutela quali-quantitativa a vantaggio della popolazione e dell’ambiente. Le infrazioni europee in materia ambientale giocano un</w:t>
      </w:r>
      <w:r>
        <w:rPr>
          <w:spacing w:val="-7"/>
        </w:rPr>
        <w:t> </w:t>
      </w:r>
      <w:r>
        <w:rPr/>
        <w:t>ruolo</w:t>
      </w:r>
      <w:r>
        <w:rPr>
          <w:spacing w:val="-7"/>
        </w:rPr>
        <w:t> </w:t>
      </w:r>
      <w:r>
        <w:rPr/>
        <w:t>determinante,</w:t>
      </w:r>
      <w:r>
        <w:rPr>
          <w:spacing w:val="-5"/>
        </w:rPr>
        <w:t> </w:t>
      </w:r>
      <w:r>
        <w:rPr/>
        <w:t>per</w:t>
      </w:r>
      <w:r>
        <w:rPr>
          <w:spacing w:val="-5"/>
        </w:rPr>
        <w:t> </w:t>
      </w:r>
      <w:r>
        <w:rPr/>
        <w:t>cui</w:t>
      </w:r>
      <w:r>
        <w:rPr>
          <w:spacing w:val="-6"/>
        </w:rPr>
        <w:t> </w:t>
      </w:r>
      <w:r>
        <w:rPr/>
        <w:t>particolare</w:t>
      </w:r>
      <w:r>
        <w:rPr>
          <w:spacing w:val="-6"/>
        </w:rPr>
        <w:t> </w:t>
      </w:r>
      <w:r>
        <w:rPr/>
        <w:t>attenzione</w:t>
      </w:r>
      <w:r>
        <w:rPr>
          <w:spacing w:val="-7"/>
        </w:rPr>
        <w:t> </w:t>
      </w:r>
      <w:r>
        <w:rPr/>
        <w:t>sarà</w:t>
      </w:r>
      <w:r>
        <w:rPr>
          <w:spacing w:val="-5"/>
        </w:rPr>
        <w:t> </w:t>
      </w:r>
      <w:r>
        <w:rPr/>
        <w:t>dedicata</w:t>
      </w:r>
      <w:r>
        <w:rPr>
          <w:spacing w:val="-7"/>
        </w:rPr>
        <w:t> </w:t>
      </w:r>
      <w:r>
        <w:rPr/>
        <w:t>al</w:t>
      </w:r>
      <w:r>
        <w:rPr>
          <w:spacing w:val="-5"/>
        </w:rPr>
        <w:t> </w:t>
      </w:r>
      <w:r>
        <w:rPr/>
        <w:t>trattamento delle</w:t>
      </w:r>
      <w:r>
        <w:rPr>
          <w:spacing w:val="-8"/>
        </w:rPr>
        <w:t> </w:t>
      </w:r>
      <w:r>
        <w:rPr/>
        <w:t>acque</w:t>
      </w:r>
      <w:r>
        <w:rPr>
          <w:spacing w:val="-7"/>
        </w:rPr>
        <w:t> </w:t>
      </w:r>
      <w:r>
        <w:rPr/>
        <w:t>reflue</w:t>
      </w:r>
      <w:r>
        <w:rPr>
          <w:spacing w:val="-8"/>
        </w:rPr>
        <w:t> </w:t>
      </w:r>
      <w:r>
        <w:rPr/>
        <w:t>urbane.</w:t>
      </w:r>
      <w:r>
        <w:rPr>
          <w:spacing w:val="-6"/>
        </w:rPr>
        <w:t> </w:t>
      </w:r>
      <w:r>
        <w:rPr/>
        <w:t>Risultano</w:t>
      </w:r>
      <w:r>
        <w:rPr>
          <w:spacing w:val="-9"/>
        </w:rPr>
        <w:t> </w:t>
      </w:r>
      <w:r>
        <w:rPr/>
        <w:t>già</w:t>
      </w:r>
      <w:r>
        <w:rPr>
          <w:spacing w:val="-7"/>
        </w:rPr>
        <w:t> </w:t>
      </w:r>
      <w:r>
        <w:rPr/>
        <w:t>stanziati</w:t>
      </w:r>
      <w:r>
        <w:rPr>
          <w:spacing w:val="-6"/>
        </w:rPr>
        <w:t> </w:t>
      </w:r>
      <w:r>
        <w:rPr/>
        <w:t>oltre</w:t>
      </w:r>
      <w:r>
        <w:rPr>
          <w:spacing w:val="-6"/>
        </w:rPr>
        <w:t> </w:t>
      </w:r>
      <w:r>
        <w:rPr/>
        <w:t>300</w:t>
      </w:r>
      <w:r>
        <w:rPr>
          <w:spacing w:val="-8"/>
        </w:rPr>
        <w:t> </w:t>
      </w:r>
      <w:r>
        <w:rPr/>
        <w:t>milioni</w:t>
      </w:r>
      <w:r>
        <w:rPr>
          <w:spacing w:val="-7"/>
        </w:rPr>
        <w:t> </w:t>
      </w:r>
      <w:r>
        <w:rPr/>
        <w:t>per</w:t>
      </w:r>
      <w:r>
        <w:rPr>
          <w:spacing w:val="-7"/>
        </w:rPr>
        <w:t> </w:t>
      </w:r>
      <w:r>
        <w:rPr/>
        <w:t>assicurare</w:t>
      </w:r>
      <w:r>
        <w:rPr>
          <w:spacing w:val="-6"/>
        </w:rPr>
        <w:t> </w:t>
      </w:r>
      <w:r>
        <w:rPr/>
        <w:t>la copertura</w:t>
      </w:r>
      <w:r>
        <w:rPr>
          <w:spacing w:val="-16"/>
        </w:rPr>
        <w:t> </w:t>
      </w:r>
      <w:r>
        <w:rPr/>
        <w:t>finanziaria</w:t>
      </w:r>
      <w:r>
        <w:rPr>
          <w:spacing w:val="-16"/>
        </w:rPr>
        <w:t> </w:t>
      </w:r>
      <w:r>
        <w:rPr/>
        <w:t>al</w:t>
      </w:r>
      <w:r>
        <w:rPr>
          <w:spacing w:val="-18"/>
        </w:rPr>
        <w:t> </w:t>
      </w:r>
      <w:r>
        <w:rPr/>
        <w:t>completamento/realizzazione</w:t>
      </w:r>
      <w:r>
        <w:rPr>
          <w:spacing w:val="-17"/>
        </w:rPr>
        <w:t> </w:t>
      </w:r>
      <w:r>
        <w:rPr/>
        <w:t>di</w:t>
      </w:r>
      <w:r>
        <w:rPr>
          <w:spacing w:val="-17"/>
        </w:rPr>
        <w:t> </w:t>
      </w:r>
      <w:r>
        <w:rPr/>
        <w:t>33</w:t>
      </w:r>
      <w:r>
        <w:rPr>
          <w:spacing w:val="-17"/>
        </w:rPr>
        <w:t> </w:t>
      </w:r>
      <w:r>
        <w:rPr/>
        <w:t>interventi</w:t>
      </w:r>
      <w:r>
        <w:rPr>
          <w:spacing w:val="-15"/>
        </w:rPr>
        <w:t> </w:t>
      </w:r>
      <w:r>
        <w:rPr/>
        <w:t>necessari</w:t>
      </w:r>
      <w:r>
        <w:rPr>
          <w:spacing w:val="-15"/>
        </w:rPr>
        <w:t> </w:t>
      </w:r>
      <w:r>
        <w:rPr/>
        <w:t>per l’adeguamento degli</w:t>
      </w:r>
      <w:r>
        <w:rPr>
          <w:spacing w:val="-2"/>
        </w:rPr>
        <w:t> </w:t>
      </w:r>
      <w:r>
        <w:rPr/>
        <w:t>agglomerati.</w:t>
      </w:r>
    </w:p>
    <w:p>
      <w:pPr>
        <w:pStyle w:val="BodyText"/>
        <w:spacing w:before="8"/>
        <w:rPr>
          <w:sz w:val="33"/>
        </w:rPr>
      </w:pPr>
    </w:p>
    <w:p>
      <w:pPr>
        <w:pStyle w:val="Heading3"/>
        <w:ind w:left="1128"/>
        <w:jc w:val="both"/>
      </w:pPr>
      <w:r>
        <w:rPr>
          <w:color w:val="585858"/>
        </w:rPr>
        <w:t>Internazionalizzazione, competitività ed efficienza della PA - CSR n. 3</w:t>
      </w:r>
    </w:p>
    <w:p>
      <w:pPr>
        <w:pStyle w:val="BodyText"/>
        <w:spacing w:before="5"/>
        <w:rPr>
          <w:rFonts w:ascii="Franklin Gothic Medium"/>
          <w:sz w:val="35"/>
        </w:rPr>
      </w:pPr>
    </w:p>
    <w:p>
      <w:pPr>
        <w:pStyle w:val="Heading5"/>
      </w:pPr>
      <w:r>
        <w:rPr/>
        <w:t>Internazionalizzazione e competitività</w:t>
      </w:r>
    </w:p>
    <w:p>
      <w:pPr>
        <w:spacing w:line="232" w:lineRule="auto" w:before="159"/>
        <w:ind w:left="1128" w:right="1417" w:firstLine="0"/>
        <w:jc w:val="both"/>
        <w:rPr>
          <w:rFonts w:ascii="Franklin Gothic Book" w:hAnsi="Franklin Gothic Book"/>
          <w:sz w:val="20"/>
        </w:rPr>
      </w:pPr>
      <w:r>
        <w:rPr/>
        <w:pict>
          <v:line style="position:absolute;mso-position-horizontal-relative:page;mso-position-vertical-relative:paragraph;z-index:-251437056;mso-wrap-distance-left:0;mso-wrap-distance-right:0" from="111.980003pt,90.640076pt" to="525.930003pt,90.640076pt" stroked="true" strokeweight="1.44pt" strokecolor="#006247">
            <v:stroke dashstyle="solid"/>
            <w10:wrap type="topAndBottom"/>
          </v:line>
        </w:pict>
      </w:r>
      <w:r>
        <w:rPr>
          <w:rFonts w:ascii="Franklin Gothic Heavy" w:hAnsi="Franklin Gothic Heavy"/>
          <w:b/>
          <w:color w:val="006247"/>
          <w:sz w:val="20"/>
        </w:rPr>
        <w:t>LINEE PROGRAMMATICHE: </w:t>
      </w:r>
      <w:r>
        <w:rPr>
          <w:rFonts w:ascii="Franklin Gothic Book" w:hAnsi="Franklin Gothic Book"/>
          <w:sz w:val="20"/>
        </w:rPr>
        <w:t>è necessario rafforzare l’</w:t>
      </w:r>
      <w:r>
        <w:rPr>
          <w:rFonts w:ascii="Franklin Gothic Book" w:hAnsi="Franklin Gothic Book"/>
          <w:i/>
          <w:sz w:val="20"/>
        </w:rPr>
        <w:t>export </w:t>
      </w:r>
      <w:r>
        <w:rPr>
          <w:rFonts w:ascii="Franklin Gothic Book" w:hAnsi="Franklin Gothic Book"/>
          <w:sz w:val="20"/>
        </w:rPr>
        <w:t>italiano, individuando gli strumenti più idonei a promuovere e accompagnare il </w:t>
      </w:r>
      <w:r>
        <w:rPr>
          <w:rFonts w:ascii="Franklin Gothic Book" w:hAnsi="Franklin Gothic Book"/>
          <w:i/>
          <w:sz w:val="20"/>
        </w:rPr>
        <w:t>Made in Italy</w:t>
      </w:r>
      <w:r>
        <w:rPr>
          <w:rFonts w:ascii="Franklin Gothic Book" w:hAnsi="Franklin Gothic Book"/>
          <w:sz w:val="20"/>
        </w:rPr>
        <w:t>, potenziando le attività di consulenza e di supporto finanziario e assicurativo in favore degli esportatori, anche attraverso l’individuazione di</w:t>
      </w:r>
      <w:r>
        <w:rPr>
          <w:rFonts w:ascii="Franklin Gothic Book" w:hAnsi="Franklin Gothic Book"/>
          <w:spacing w:val="-9"/>
          <w:sz w:val="20"/>
        </w:rPr>
        <w:t> </w:t>
      </w:r>
      <w:r>
        <w:rPr>
          <w:rFonts w:ascii="Franklin Gothic Book" w:hAnsi="Franklin Gothic Book"/>
          <w:sz w:val="20"/>
        </w:rPr>
        <w:t>un</w:t>
      </w:r>
      <w:r>
        <w:rPr>
          <w:rFonts w:ascii="Franklin Gothic Book" w:hAnsi="Franklin Gothic Book"/>
          <w:spacing w:val="-8"/>
          <w:sz w:val="20"/>
        </w:rPr>
        <w:t> </w:t>
      </w:r>
      <w:r>
        <w:rPr>
          <w:rFonts w:ascii="Franklin Gothic Book" w:hAnsi="Franklin Gothic Book"/>
          <w:sz w:val="20"/>
        </w:rPr>
        <w:t>adeguato</w:t>
      </w:r>
      <w:r>
        <w:rPr>
          <w:rFonts w:ascii="Franklin Gothic Book" w:hAnsi="Franklin Gothic Book"/>
          <w:spacing w:val="-8"/>
          <w:sz w:val="20"/>
        </w:rPr>
        <w:t> </w:t>
      </w:r>
      <w:r>
        <w:rPr>
          <w:rFonts w:ascii="Franklin Gothic Book" w:hAnsi="Franklin Gothic Book"/>
          <w:sz w:val="20"/>
        </w:rPr>
        <w:t>modello</w:t>
      </w:r>
      <w:r>
        <w:rPr>
          <w:rFonts w:ascii="Franklin Gothic Book" w:hAnsi="Franklin Gothic Book"/>
          <w:spacing w:val="-8"/>
          <w:sz w:val="20"/>
        </w:rPr>
        <w:t> </w:t>
      </w:r>
      <w:r>
        <w:rPr>
          <w:rFonts w:ascii="Franklin Gothic Book" w:hAnsi="Franklin Gothic Book"/>
          <w:sz w:val="20"/>
        </w:rPr>
        <w:t>di</w:t>
      </w:r>
      <w:r>
        <w:rPr>
          <w:rFonts w:ascii="Franklin Gothic Book" w:hAnsi="Franklin Gothic Book"/>
          <w:spacing w:val="-8"/>
          <w:sz w:val="20"/>
        </w:rPr>
        <w:t> </w:t>
      </w:r>
      <w:r>
        <w:rPr>
          <w:rFonts w:ascii="Franklin Gothic Book" w:hAnsi="Franklin Gothic Book"/>
          <w:sz w:val="20"/>
        </w:rPr>
        <w:t>condivisione</w:t>
      </w:r>
      <w:r>
        <w:rPr>
          <w:rFonts w:ascii="Franklin Gothic Book" w:hAnsi="Franklin Gothic Book"/>
          <w:spacing w:val="-9"/>
          <w:sz w:val="20"/>
        </w:rPr>
        <w:t> </w:t>
      </w:r>
      <w:r>
        <w:rPr>
          <w:rFonts w:ascii="Franklin Gothic Book" w:hAnsi="Franklin Gothic Book"/>
          <w:sz w:val="20"/>
        </w:rPr>
        <w:t>dei</w:t>
      </w:r>
      <w:r>
        <w:rPr>
          <w:rFonts w:ascii="Franklin Gothic Book" w:hAnsi="Franklin Gothic Book"/>
          <w:spacing w:val="-8"/>
          <w:sz w:val="20"/>
        </w:rPr>
        <w:t> </w:t>
      </w:r>
      <w:r>
        <w:rPr>
          <w:rFonts w:ascii="Franklin Gothic Book" w:hAnsi="Franklin Gothic Book"/>
          <w:sz w:val="20"/>
        </w:rPr>
        <w:t>rischi</w:t>
      </w:r>
      <w:r>
        <w:rPr>
          <w:rFonts w:ascii="Franklin Gothic Book" w:hAnsi="Franklin Gothic Book"/>
          <w:spacing w:val="-7"/>
          <w:sz w:val="20"/>
        </w:rPr>
        <w:t> </w:t>
      </w:r>
      <w:r>
        <w:rPr>
          <w:rFonts w:ascii="Franklin Gothic Book" w:hAnsi="Franklin Gothic Book"/>
          <w:sz w:val="20"/>
        </w:rPr>
        <w:t>tra</w:t>
      </w:r>
      <w:r>
        <w:rPr>
          <w:rFonts w:ascii="Franklin Gothic Book" w:hAnsi="Franklin Gothic Book"/>
          <w:spacing w:val="-8"/>
          <w:sz w:val="20"/>
        </w:rPr>
        <w:t> </w:t>
      </w:r>
      <w:r>
        <w:rPr>
          <w:rFonts w:ascii="Franklin Gothic Book" w:hAnsi="Franklin Gothic Book"/>
          <w:sz w:val="20"/>
        </w:rPr>
        <w:t>Sace</w:t>
      </w:r>
      <w:r>
        <w:rPr>
          <w:rFonts w:ascii="Franklin Gothic Book" w:hAnsi="Franklin Gothic Book"/>
          <w:spacing w:val="-8"/>
          <w:sz w:val="20"/>
        </w:rPr>
        <w:t> </w:t>
      </w:r>
      <w:r>
        <w:rPr>
          <w:rFonts w:ascii="Franklin Gothic Book" w:hAnsi="Franklin Gothic Book"/>
          <w:sz w:val="20"/>
        </w:rPr>
        <w:t>e</w:t>
      </w:r>
      <w:r>
        <w:rPr>
          <w:rFonts w:ascii="Franklin Gothic Book" w:hAnsi="Franklin Gothic Book"/>
          <w:spacing w:val="-8"/>
          <w:sz w:val="20"/>
        </w:rPr>
        <w:t> </w:t>
      </w:r>
      <w:r>
        <w:rPr>
          <w:rFonts w:ascii="Franklin Gothic Book" w:hAnsi="Franklin Gothic Book"/>
          <w:sz w:val="20"/>
        </w:rPr>
        <w:t>MEF.</w:t>
      </w:r>
      <w:r>
        <w:rPr>
          <w:rFonts w:ascii="Franklin Gothic Book" w:hAnsi="Franklin Gothic Book"/>
          <w:spacing w:val="-7"/>
          <w:sz w:val="20"/>
        </w:rPr>
        <w:t> </w:t>
      </w:r>
      <w:r>
        <w:rPr>
          <w:rFonts w:ascii="Franklin Gothic Book" w:hAnsi="Franklin Gothic Book"/>
          <w:sz w:val="20"/>
        </w:rPr>
        <w:t>Più</w:t>
      </w:r>
      <w:r>
        <w:rPr>
          <w:rFonts w:ascii="Franklin Gothic Book" w:hAnsi="Franklin Gothic Book"/>
          <w:spacing w:val="-8"/>
          <w:sz w:val="20"/>
        </w:rPr>
        <w:t> </w:t>
      </w:r>
      <w:r>
        <w:rPr>
          <w:rFonts w:ascii="Franklin Gothic Book" w:hAnsi="Franklin Gothic Book"/>
          <w:sz w:val="20"/>
        </w:rPr>
        <w:t>in</w:t>
      </w:r>
      <w:r>
        <w:rPr>
          <w:rFonts w:ascii="Franklin Gothic Book" w:hAnsi="Franklin Gothic Book"/>
          <w:spacing w:val="-8"/>
          <w:sz w:val="20"/>
        </w:rPr>
        <w:t> </w:t>
      </w:r>
      <w:r>
        <w:rPr>
          <w:rFonts w:ascii="Franklin Gothic Book" w:hAnsi="Franklin Gothic Book"/>
          <w:sz w:val="20"/>
        </w:rPr>
        <w:t>generale,</w:t>
      </w:r>
      <w:r>
        <w:rPr>
          <w:rFonts w:ascii="Franklin Gothic Book" w:hAnsi="Franklin Gothic Book"/>
          <w:spacing w:val="-9"/>
          <w:sz w:val="20"/>
        </w:rPr>
        <w:t> </w:t>
      </w:r>
      <w:r>
        <w:rPr>
          <w:rFonts w:ascii="Franklin Gothic Book" w:hAnsi="Franklin Gothic Book"/>
          <w:sz w:val="20"/>
        </w:rPr>
        <w:t>vanno</w:t>
      </w:r>
      <w:r>
        <w:rPr>
          <w:rFonts w:ascii="Franklin Gothic Book" w:hAnsi="Franklin Gothic Book"/>
          <w:spacing w:val="-8"/>
          <w:sz w:val="20"/>
        </w:rPr>
        <w:t> </w:t>
      </w:r>
      <w:r>
        <w:rPr>
          <w:rFonts w:ascii="Franklin Gothic Book" w:hAnsi="Franklin Gothic Book"/>
          <w:sz w:val="20"/>
        </w:rPr>
        <w:t>supportati gli imprenditori italiani che operano all’estero con proposte normative che mirino a introdurre anche da noi le </w:t>
      </w:r>
      <w:r>
        <w:rPr>
          <w:rFonts w:ascii="Franklin Gothic Book" w:hAnsi="Franklin Gothic Book"/>
          <w:i/>
          <w:sz w:val="20"/>
        </w:rPr>
        <w:t>best practices </w:t>
      </w:r>
      <w:r>
        <w:rPr>
          <w:rFonts w:ascii="Franklin Gothic Book" w:hAnsi="Franklin Gothic Book"/>
          <w:sz w:val="20"/>
        </w:rPr>
        <w:t>in materia, ricavate dall’analisi comparativa con altri ordinamenti giuridici.</w:t>
      </w:r>
    </w:p>
    <w:p>
      <w:pPr>
        <w:pStyle w:val="BodyText"/>
        <w:rPr>
          <w:rFonts w:ascii="Franklin Gothic Book"/>
          <w:sz w:val="20"/>
        </w:rPr>
      </w:pPr>
    </w:p>
    <w:p>
      <w:pPr>
        <w:pStyle w:val="BodyText"/>
        <w:rPr>
          <w:rFonts w:ascii="Franklin Gothic Book"/>
          <w:sz w:val="20"/>
        </w:rPr>
      </w:pPr>
    </w:p>
    <w:p>
      <w:pPr>
        <w:pStyle w:val="BodyText"/>
        <w:spacing w:before="3"/>
        <w:rPr>
          <w:rFonts w:ascii="Franklin Gothic Book"/>
          <w:sz w:val="17"/>
        </w:rPr>
      </w:pPr>
      <w:r>
        <w:rPr/>
        <w:pict>
          <v:group style="position:absolute;margin-left:136.100006pt;margin-top:11.774219pt;width:21.4pt;height:2.15pt;mso-position-horizontal-relative:page;mso-position-vertical-relative:paragraph;z-index:-251436032;mso-wrap-distance-left:0;mso-wrap-distance-right:0" coordorigin="2722,235" coordsize="428,43">
            <v:line style="position:absolute" from="2722,256" to="3149,256" stroked="true" strokeweight="2.050pt" strokecolor="#aaaaaa">
              <v:stroke dashstyle="solid"/>
            </v:line>
            <v:rect style="position:absolute;left:2722;top:237;width:5;height:5" filled="true" fillcolor="#9f9f9f" stroked="false">
              <v:fill type="solid"/>
            </v:rect>
            <v:rect style="position:absolute;left:2722;top:237;width:5;height:5" filled="true" fillcolor="#9f9f9f" stroked="false">
              <v:fill type="solid"/>
            </v:rect>
            <v:line style="position:absolute" from="2727,240" to="3144,240" stroked="true" strokeweight=".24005pt" strokecolor="#9f9f9f">
              <v:stroke dashstyle="solid"/>
            </v:line>
            <v:rect style="position:absolute;left:3144;top:237;width:5;height:5" filled="true" fillcolor="#e2e2e2" stroked="false">
              <v:fill type="solid"/>
            </v:rect>
            <v:rect style="position:absolute;left:3144;top:237;width:5;height:5" filled="true" fillcolor="#9f9f9f" stroked="false">
              <v:fill type="solid"/>
            </v:rect>
            <v:rect style="position:absolute;left:2722;top:242;width:5;height:32" filled="true" fillcolor="#9f9f9f" stroked="false">
              <v:fill type="solid"/>
            </v:rect>
            <v:rect style="position:absolute;left:3144;top:242;width:5;height:32" filled="true" fillcolor="#e2e2e2" stroked="false">
              <v:fill type="solid"/>
            </v:rect>
            <v:rect style="position:absolute;left:2722;top:273;width:5;height:5" filled="true" fillcolor="#9f9f9f" stroked="false">
              <v:fill type="solid"/>
            </v:rect>
            <v:rect style="position:absolute;left:2722;top:273;width:5;height:5" filled="true" fillcolor="#e2e2e2" stroked="false">
              <v:fill type="solid"/>
            </v:rect>
            <v:line style="position:absolute" from="2727,276" to="3144,276" stroked="true" strokeweight=".23999pt" strokecolor="#e2e2e2">
              <v:stroke dashstyle="solid"/>
            </v:line>
            <v:rect style="position:absolute;left:3144;top:273;width:5;height:5" filled="true" fillcolor="#e2e2e2" stroked="false">
              <v:fill type="solid"/>
            </v:rect>
            <v:rect style="position:absolute;left:3144;top:273;width:5;height:5" filled="true" fillcolor="#e2e2e2" stroked="false">
              <v:fill type="solid"/>
            </v:rect>
            <w10:wrap type="topAndBottom"/>
          </v:group>
        </w:pict>
      </w:r>
    </w:p>
    <w:p>
      <w:pPr>
        <w:spacing w:line="189" w:lineRule="exact" w:before="20"/>
        <w:ind w:left="1111" w:right="990" w:firstLine="0"/>
        <w:jc w:val="center"/>
        <w:rPr>
          <w:sz w:val="16"/>
        </w:rPr>
      </w:pPr>
      <w:r>
        <w:rPr>
          <w:position w:val="6"/>
          <w:sz w:val="10"/>
        </w:rPr>
        <w:t>13</w:t>
      </w:r>
      <w:r>
        <w:rPr>
          <w:sz w:val="16"/>
        </w:rPr>
        <w:t>https://</w:t>
      </w:r>
      <w:hyperlink r:id="rId84">
        <w:r>
          <w:rPr>
            <w:sz w:val="16"/>
          </w:rPr>
          <w:t>www.minambiente.it/sites/default/files/archivio_immagini/Sergio_costa/Comunicati/piano_stra</w:t>
        </w:r>
      </w:hyperlink>
    </w:p>
    <w:p>
      <w:pPr>
        <w:spacing w:line="184" w:lineRule="exact" w:before="0"/>
        <w:ind w:left="124" w:right="6213" w:firstLine="0"/>
        <w:jc w:val="center"/>
        <w:rPr>
          <w:sz w:val="16"/>
        </w:rPr>
      </w:pPr>
      <w:r>
        <w:rPr>
          <w:sz w:val="16"/>
        </w:rPr>
        <w:t>lcio_dissesto_idrogeologico_2.pdf</w:t>
      </w:r>
    </w:p>
    <w:p>
      <w:pPr>
        <w:spacing w:before="0"/>
        <w:ind w:left="1128" w:right="1412" w:firstLine="453"/>
        <w:jc w:val="both"/>
        <w:rPr>
          <w:sz w:val="16"/>
        </w:rPr>
      </w:pPr>
      <w:r>
        <w:rPr>
          <w:position w:val="6"/>
          <w:sz w:val="10"/>
        </w:rPr>
        <w:t>14 </w:t>
      </w:r>
      <w:r>
        <w:rPr>
          <w:sz w:val="16"/>
        </w:rPr>
        <w:t>Inoltre è stato assegnato al Ministero dell’ambiente e della tutela del territorio e del mare un ruolo di coordinamento</w:t>
      </w:r>
      <w:r>
        <w:rPr>
          <w:spacing w:val="-8"/>
          <w:sz w:val="16"/>
        </w:rPr>
        <w:t> </w:t>
      </w:r>
      <w:r>
        <w:rPr>
          <w:sz w:val="16"/>
        </w:rPr>
        <w:t>per</w:t>
      </w:r>
      <w:r>
        <w:rPr>
          <w:spacing w:val="-8"/>
          <w:sz w:val="16"/>
        </w:rPr>
        <w:t> </w:t>
      </w:r>
      <w:r>
        <w:rPr>
          <w:sz w:val="16"/>
        </w:rPr>
        <w:t>predisporre</w:t>
      </w:r>
      <w:r>
        <w:rPr>
          <w:spacing w:val="-10"/>
          <w:sz w:val="16"/>
        </w:rPr>
        <w:t> </w:t>
      </w:r>
      <w:r>
        <w:rPr>
          <w:sz w:val="16"/>
        </w:rPr>
        <w:t>un</w:t>
      </w:r>
      <w:r>
        <w:rPr>
          <w:spacing w:val="-10"/>
          <w:sz w:val="16"/>
        </w:rPr>
        <w:t> </w:t>
      </w:r>
      <w:r>
        <w:rPr>
          <w:sz w:val="16"/>
        </w:rPr>
        <w:t>Programma</w:t>
      </w:r>
      <w:r>
        <w:rPr>
          <w:spacing w:val="-9"/>
          <w:sz w:val="16"/>
        </w:rPr>
        <w:t> </w:t>
      </w:r>
      <w:r>
        <w:rPr>
          <w:sz w:val="16"/>
        </w:rPr>
        <w:t>ordinario</w:t>
      </w:r>
      <w:r>
        <w:rPr>
          <w:spacing w:val="-9"/>
          <w:sz w:val="16"/>
        </w:rPr>
        <w:t> </w:t>
      </w:r>
      <w:r>
        <w:rPr>
          <w:sz w:val="16"/>
        </w:rPr>
        <w:t>di</w:t>
      </w:r>
      <w:r>
        <w:rPr>
          <w:spacing w:val="-9"/>
          <w:sz w:val="16"/>
        </w:rPr>
        <w:t> </w:t>
      </w:r>
      <w:r>
        <w:rPr>
          <w:sz w:val="16"/>
        </w:rPr>
        <w:t>manutenzione</w:t>
      </w:r>
      <w:r>
        <w:rPr>
          <w:spacing w:val="-8"/>
          <w:sz w:val="16"/>
        </w:rPr>
        <w:t> </w:t>
      </w:r>
      <w:r>
        <w:rPr>
          <w:sz w:val="16"/>
        </w:rPr>
        <w:t>del</w:t>
      </w:r>
      <w:r>
        <w:rPr>
          <w:spacing w:val="-8"/>
          <w:sz w:val="16"/>
        </w:rPr>
        <w:t> </w:t>
      </w:r>
      <w:r>
        <w:rPr>
          <w:sz w:val="16"/>
        </w:rPr>
        <w:t>territorio</w:t>
      </w:r>
      <w:r>
        <w:rPr>
          <w:spacing w:val="-9"/>
          <w:sz w:val="16"/>
        </w:rPr>
        <w:t> </w:t>
      </w:r>
      <w:r>
        <w:rPr>
          <w:sz w:val="16"/>
        </w:rPr>
        <w:t>finalizzato</w:t>
      </w:r>
      <w:r>
        <w:rPr>
          <w:spacing w:val="-8"/>
          <w:sz w:val="16"/>
        </w:rPr>
        <w:t> </w:t>
      </w:r>
      <w:r>
        <w:rPr>
          <w:sz w:val="16"/>
        </w:rPr>
        <w:t>alla</w:t>
      </w:r>
      <w:r>
        <w:rPr>
          <w:spacing w:val="-9"/>
          <w:sz w:val="16"/>
        </w:rPr>
        <w:t> </w:t>
      </w:r>
      <w:r>
        <w:rPr>
          <w:sz w:val="16"/>
        </w:rPr>
        <w:t>prevenzione dei</w:t>
      </w:r>
      <w:r>
        <w:rPr>
          <w:spacing w:val="-5"/>
          <w:sz w:val="16"/>
        </w:rPr>
        <w:t> </w:t>
      </w:r>
      <w:r>
        <w:rPr>
          <w:sz w:val="16"/>
        </w:rPr>
        <w:t>dissesti</w:t>
      </w:r>
      <w:r>
        <w:rPr>
          <w:spacing w:val="-5"/>
          <w:sz w:val="16"/>
        </w:rPr>
        <w:t> </w:t>
      </w:r>
      <w:r>
        <w:rPr>
          <w:sz w:val="16"/>
        </w:rPr>
        <w:t>e</w:t>
      </w:r>
      <w:r>
        <w:rPr>
          <w:spacing w:val="-6"/>
          <w:sz w:val="16"/>
        </w:rPr>
        <w:t> </w:t>
      </w:r>
      <w:r>
        <w:rPr>
          <w:sz w:val="16"/>
        </w:rPr>
        <w:t>messa</w:t>
      </w:r>
      <w:r>
        <w:rPr>
          <w:spacing w:val="-6"/>
          <w:sz w:val="16"/>
        </w:rPr>
        <w:t> </w:t>
      </w:r>
      <w:r>
        <w:rPr>
          <w:sz w:val="16"/>
        </w:rPr>
        <w:t>in</w:t>
      </w:r>
      <w:r>
        <w:rPr>
          <w:spacing w:val="-3"/>
          <w:sz w:val="16"/>
        </w:rPr>
        <w:t> </w:t>
      </w:r>
      <w:r>
        <w:rPr>
          <w:sz w:val="16"/>
        </w:rPr>
        <w:t>sicurezza,</w:t>
      </w:r>
      <w:r>
        <w:rPr>
          <w:spacing w:val="-4"/>
          <w:sz w:val="16"/>
        </w:rPr>
        <w:t> </w:t>
      </w:r>
      <w:r>
        <w:rPr>
          <w:sz w:val="16"/>
        </w:rPr>
        <w:t>con</w:t>
      </w:r>
      <w:r>
        <w:rPr>
          <w:spacing w:val="-5"/>
          <w:sz w:val="16"/>
        </w:rPr>
        <w:t> </w:t>
      </w:r>
      <w:r>
        <w:rPr>
          <w:sz w:val="16"/>
        </w:rPr>
        <w:t>il</w:t>
      </w:r>
      <w:r>
        <w:rPr>
          <w:spacing w:val="-4"/>
          <w:sz w:val="16"/>
        </w:rPr>
        <w:t> </w:t>
      </w:r>
      <w:r>
        <w:rPr>
          <w:sz w:val="16"/>
        </w:rPr>
        <w:t>coinvolgimento</w:t>
      </w:r>
      <w:r>
        <w:rPr>
          <w:spacing w:val="-5"/>
          <w:sz w:val="16"/>
        </w:rPr>
        <w:t> </w:t>
      </w:r>
      <w:r>
        <w:rPr>
          <w:sz w:val="16"/>
        </w:rPr>
        <w:t>dei</w:t>
      </w:r>
      <w:r>
        <w:rPr>
          <w:spacing w:val="-4"/>
          <w:sz w:val="16"/>
        </w:rPr>
        <w:t> </w:t>
      </w:r>
      <w:r>
        <w:rPr>
          <w:sz w:val="16"/>
        </w:rPr>
        <w:t>Consorzi</w:t>
      </w:r>
      <w:r>
        <w:rPr>
          <w:spacing w:val="-7"/>
          <w:sz w:val="16"/>
        </w:rPr>
        <w:t> </w:t>
      </w:r>
      <w:r>
        <w:rPr>
          <w:sz w:val="16"/>
        </w:rPr>
        <w:t>di</w:t>
      </w:r>
      <w:r>
        <w:rPr>
          <w:spacing w:val="-5"/>
          <w:sz w:val="16"/>
        </w:rPr>
        <w:t> </w:t>
      </w:r>
      <w:r>
        <w:rPr>
          <w:sz w:val="16"/>
        </w:rPr>
        <w:t>bonifica</w:t>
      </w:r>
      <w:r>
        <w:rPr>
          <w:spacing w:val="-5"/>
          <w:sz w:val="16"/>
        </w:rPr>
        <w:t> </w:t>
      </w:r>
      <w:r>
        <w:rPr>
          <w:sz w:val="16"/>
        </w:rPr>
        <w:t>ed</w:t>
      </w:r>
      <w:r>
        <w:rPr>
          <w:spacing w:val="-6"/>
          <w:sz w:val="16"/>
        </w:rPr>
        <w:t> </w:t>
      </w:r>
      <w:r>
        <w:rPr>
          <w:sz w:val="16"/>
        </w:rPr>
        <w:t>irrigui,</w:t>
      </w:r>
      <w:r>
        <w:rPr>
          <w:spacing w:val="-3"/>
          <w:sz w:val="16"/>
        </w:rPr>
        <w:t> </w:t>
      </w:r>
      <w:r>
        <w:rPr>
          <w:sz w:val="16"/>
        </w:rPr>
        <w:t>che</w:t>
      </w:r>
      <w:r>
        <w:rPr>
          <w:spacing w:val="-4"/>
          <w:sz w:val="16"/>
        </w:rPr>
        <w:t> </w:t>
      </w:r>
      <w:r>
        <w:rPr>
          <w:sz w:val="16"/>
        </w:rPr>
        <w:t>vede</w:t>
      </w:r>
      <w:r>
        <w:rPr>
          <w:spacing w:val="-4"/>
          <w:sz w:val="16"/>
        </w:rPr>
        <w:t> </w:t>
      </w:r>
      <w:r>
        <w:rPr>
          <w:sz w:val="16"/>
        </w:rPr>
        <w:t>come</w:t>
      </w:r>
      <w:r>
        <w:rPr>
          <w:spacing w:val="-3"/>
          <w:sz w:val="16"/>
        </w:rPr>
        <w:t> </w:t>
      </w:r>
      <w:r>
        <w:rPr>
          <w:sz w:val="16"/>
        </w:rPr>
        <w:t>referenti anche il Ministero delle politiche agricole alimentari e forestali, e le Autorità di bacino</w:t>
      </w:r>
      <w:r>
        <w:rPr>
          <w:spacing w:val="-23"/>
          <w:sz w:val="16"/>
        </w:rPr>
        <w:t> </w:t>
      </w:r>
      <w:r>
        <w:rPr>
          <w:sz w:val="16"/>
        </w:rPr>
        <w:t>distrettuali.</w:t>
      </w:r>
    </w:p>
    <w:p>
      <w:pPr>
        <w:spacing w:after="0"/>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44" w:lineRule="auto" w:before="101"/>
        <w:ind w:left="278" w:right="2260" w:firstLine="453"/>
        <w:jc w:val="both"/>
      </w:pPr>
      <w:r>
        <w:rPr/>
        <w:t>Lo scorso 19 settembre il Consiglio dei Ministri ha attribuito al Ministero degli Affari esteri e della Cooperazione internazionale (MAECI) anche le competenze in materia di definizione delle strategie di politica commerciale e sviluppo dell'internazionalizzazione</w:t>
      </w:r>
      <w:r>
        <w:rPr>
          <w:spacing w:val="-21"/>
        </w:rPr>
        <w:t> </w:t>
      </w:r>
      <w:r>
        <w:rPr/>
        <w:t>del</w:t>
      </w:r>
      <w:r>
        <w:rPr>
          <w:spacing w:val="-20"/>
        </w:rPr>
        <w:t> </w:t>
      </w:r>
      <w:r>
        <w:rPr/>
        <w:t>Sistema</w:t>
      </w:r>
      <w:r>
        <w:rPr>
          <w:spacing w:val="-20"/>
        </w:rPr>
        <w:t> </w:t>
      </w:r>
      <w:r>
        <w:rPr/>
        <w:t>Paese,</w:t>
      </w:r>
      <w:r>
        <w:rPr>
          <w:spacing w:val="-19"/>
        </w:rPr>
        <w:t> </w:t>
      </w:r>
      <w:r>
        <w:rPr/>
        <w:t>oltre</w:t>
      </w:r>
      <w:r>
        <w:rPr>
          <w:spacing w:val="-19"/>
        </w:rPr>
        <w:t> </w:t>
      </w:r>
      <w:r>
        <w:rPr/>
        <w:t>ad</w:t>
      </w:r>
      <w:r>
        <w:rPr>
          <w:spacing w:val="-21"/>
        </w:rPr>
        <w:t> </w:t>
      </w:r>
      <w:r>
        <w:rPr/>
        <w:t>assicurare</w:t>
      </w:r>
      <w:r>
        <w:rPr>
          <w:spacing w:val="-19"/>
        </w:rPr>
        <w:t> </w:t>
      </w:r>
      <w:r>
        <w:rPr/>
        <w:t>la</w:t>
      </w:r>
      <w:r>
        <w:rPr>
          <w:spacing w:val="-21"/>
        </w:rPr>
        <w:t> </w:t>
      </w:r>
      <w:r>
        <w:rPr/>
        <w:t>vigilanza</w:t>
      </w:r>
      <w:r>
        <w:rPr>
          <w:spacing w:val="-20"/>
        </w:rPr>
        <w:t> </w:t>
      </w:r>
      <w:r>
        <w:rPr/>
        <w:t>diretta sull'ICE, d'intesa con il Ministero dello Sviluppo Economico. Grazie a tale nuovo assetto, gli operatori economici potranno interfacciarsi con un’architettura istituzionale</w:t>
      </w:r>
      <w:r>
        <w:rPr>
          <w:spacing w:val="-11"/>
        </w:rPr>
        <w:t> </w:t>
      </w:r>
      <w:r>
        <w:rPr/>
        <w:t>più</w:t>
      </w:r>
      <w:r>
        <w:rPr>
          <w:spacing w:val="-11"/>
        </w:rPr>
        <w:t> </w:t>
      </w:r>
      <w:r>
        <w:rPr/>
        <w:t>snella,</w:t>
      </w:r>
      <w:r>
        <w:rPr>
          <w:spacing w:val="-9"/>
        </w:rPr>
        <w:t> </w:t>
      </w:r>
      <w:r>
        <w:rPr/>
        <w:t>efficiente</w:t>
      </w:r>
      <w:r>
        <w:rPr>
          <w:spacing w:val="-10"/>
        </w:rPr>
        <w:t> </w:t>
      </w:r>
      <w:r>
        <w:rPr/>
        <w:t>ed</w:t>
      </w:r>
      <w:r>
        <w:rPr>
          <w:spacing w:val="-11"/>
        </w:rPr>
        <w:t> </w:t>
      </w:r>
      <w:r>
        <w:rPr/>
        <w:t>efficace.</w:t>
      </w:r>
      <w:r>
        <w:rPr>
          <w:spacing w:val="-12"/>
        </w:rPr>
        <w:t> </w:t>
      </w:r>
      <w:r>
        <w:rPr/>
        <w:t>Il</w:t>
      </w:r>
      <w:r>
        <w:rPr>
          <w:spacing w:val="-12"/>
        </w:rPr>
        <w:t> </w:t>
      </w:r>
      <w:r>
        <w:rPr/>
        <w:t>MAECI,</w:t>
      </w:r>
      <w:r>
        <w:rPr>
          <w:spacing w:val="-9"/>
        </w:rPr>
        <w:t> </w:t>
      </w:r>
      <w:r>
        <w:rPr/>
        <w:t>insieme</w:t>
      </w:r>
      <w:r>
        <w:rPr>
          <w:spacing w:val="-10"/>
        </w:rPr>
        <w:t> </w:t>
      </w:r>
      <w:r>
        <w:rPr/>
        <w:t>alla</w:t>
      </w:r>
      <w:r>
        <w:rPr>
          <w:spacing w:val="-10"/>
        </w:rPr>
        <w:t> </w:t>
      </w:r>
      <w:r>
        <w:rPr/>
        <w:t>sua</w:t>
      </w:r>
      <w:r>
        <w:rPr>
          <w:spacing w:val="-10"/>
        </w:rPr>
        <w:t> </w:t>
      </w:r>
      <w:r>
        <w:rPr/>
        <w:t>rete</w:t>
      </w:r>
      <w:r>
        <w:rPr>
          <w:spacing w:val="-10"/>
        </w:rPr>
        <w:t> </w:t>
      </w:r>
      <w:r>
        <w:rPr/>
        <w:t>di</w:t>
      </w:r>
      <w:r>
        <w:rPr>
          <w:spacing w:val="-11"/>
        </w:rPr>
        <w:t> </w:t>
      </w:r>
      <w:r>
        <w:rPr/>
        <w:t>128 Ambasciate,</w:t>
      </w:r>
      <w:r>
        <w:rPr>
          <w:spacing w:val="-17"/>
        </w:rPr>
        <w:t> </w:t>
      </w:r>
      <w:r>
        <w:rPr/>
        <w:t>80</w:t>
      </w:r>
      <w:r>
        <w:rPr>
          <w:spacing w:val="-18"/>
        </w:rPr>
        <w:t> </w:t>
      </w:r>
      <w:r>
        <w:rPr/>
        <w:t>Consolati</w:t>
      </w:r>
      <w:r>
        <w:rPr>
          <w:spacing w:val="-18"/>
        </w:rPr>
        <w:t> </w:t>
      </w:r>
      <w:r>
        <w:rPr/>
        <w:t>e</w:t>
      </w:r>
      <w:r>
        <w:rPr>
          <w:spacing w:val="-17"/>
        </w:rPr>
        <w:t> </w:t>
      </w:r>
      <w:r>
        <w:rPr/>
        <w:t>78</w:t>
      </w:r>
      <w:r>
        <w:rPr>
          <w:spacing w:val="-17"/>
        </w:rPr>
        <w:t> </w:t>
      </w:r>
      <w:r>
        <w:rPr/>
        <w:t>uffici</w:t>
      </w:r>
      <w:r>
        <w:rPr>
          <w:spacing w:val="-16"/>
        </w:rPr>
        <w:t> </w:t>
      </w:r>
      <w:r>
        <w:rPr/>
        <w:t>dell'Agenzia</w:t>
      </w:r>
      <w:r>
        <w:rPr>
          <w:spacing w:val="-18"/>
        </w:rPr>
        <w:t> </w:t>
      </w:r>
      <w:r>
        <w:rPr/>
        <w:t>ICE</w:t>
      </w:r>
      <w:r>
        <w:rPr>
          <w:spacing w:val="-18"/>
        </w:rPr>
        <w:t> </w:t>
      </w:r>
      <w:r>
        <w:rPr/>
        <w:t>all'estero,</w:t>
      </w:r>
      <w:r>
        <w:rPr>
          <w:spacing w:val="-16"/>
        </w:rPr>
        <w:t> </w:t>
      </w:r>
      <w:r>
        <w:rPr/>
        <w:t>rappresenterà</w:t>
      </w:r>
      <w:r>
        <w:rPr>
          <w:spacing w:val="-18"/>
        </w:rPr>
        <w:t> </w:t>
      </w:r>
      <w:r>
        <w:rPr/>
        <w:t>infatti l'unico referente istituzionale a sostegno del posizionamento delle imprese italiane nei mercati esteri e per le politiche di attrazione degli investimenti esteri. La riforma si inserisce in un più ampio intervento di razionalizzazione amministrativa, che ha per obiettivo finale la realizzazione di un modello di </w:t>
      </w:r>
      <w:r>
        <w:rPr>
          <w:i/>
        </w:rPr>
        <w:t>governance </w:t>
      </w:r>
      <w:r>
        <w:rPr/>
        <w:t>unico e integrato per la gestione della politica commerciale e il sostegno all'internazionalizzazione del sistema</w:t>
      </w:r>
      <w:r>
        <w:rPr>
          <w:spacing w:val="-4"/>
        </w:rPr>
        <w:t> </w:t>
      </w:r>
      <w:r>
        <w:rPr/>
        <w:t>produttivo.</w:t>
      </w:r>
    </w:p>
    <w:p>
      <w:pPr>
        <w:pStyle w:val="BodyText"/>
        <w:spacing w:line="244" w:lineRule="auto" w:before="4"/>
        <w:ind w:left="278" w:right="2262" w:firstLine="453"/>
        <w:jc w:val="both"/>
      </w:pPr>
      <w:r>
        <w:rPr/>
        <w:t>In questo ambito il Piano Straordinario per la promozione del </w:t>
      </w:r>
      <w:r>
        <w:rPr>
          <w:i/>
        </w:rPr>
        <w:t>Made in Italy </w:t>
      </w:r>
      <w:r>
        <w:rPr/>
        <w:t>e l'Attrazione</w:t>
      </w:r>
      <w:r>
        <w:rPr>
          <w:spacing w:val="-11"/>
        </w:rPr>
        <w:t> </w:t>
      </w:r>
      <w:r>
        <w:rPr/>
        <w:t>degli</w:t>
      </w:r>
      <w:r>
        <w:rPr>
          <w:spacing w:val="-9"/>
        </w:rPr>
        <w:t> </w:t>
      </w:r>
      <w:r>
        <w:rPr/>
        <w:t>Investimenti</w:t>
      </w:r>
      <w:r>
        <w:rPr>
          <w:spacing w:val="-10"/>
        </w:rPr>
        <w:t> </w:t>
      </w:r>
      <w:r>
        <w:rPr/>
        <w:t>-</w:t>
      </w:r>
      <w:r>
        <w:rPr>
          <w:spacing w:val="-9"/>
        </w:rPr>
        <w:t> </w:t>
      </w:r>
      <w:r>
        <w:rPr/>
        <w:t>nato</w:t>
      </w:r>
      <w:r>
        <w:rPr>
          <w:spacing w:val="-10"/>
        </w:rPr>
        <w:t> </w:t>
      </w:r>
      <w:r>
        <w:rPr/>
        <w:t>con</w:t>
      </w:r>
      <w:r>
        <w:rPr>
          <w:spacing w:val="-11"/>
        </w:rPr>
        <w:t> </w:t>
      </w:r>
      <w:r>
        <w:rPr/>
        <w:t>l'obiettivo</w:t>
      </w:r>
      <w:r>
        <w:rPr>
          <w:spacing w:val="-10"/>
        </w:rPr>
        <w:t> </w:t>
      </w:r>
      <w:r>
        <w:rPr/>
        <w:t>di</w:t>
      </w:r>
      <w:r>
        <w:rPr>
          <w:spacing w:val="-11"/>
        </w:rPr>
        <w:t> </w:t>
      </w:r>
      <w:r>
        <w:rPr/>
        <w:t>incrementare</w:t>
      </w:r>
      <w:r>
        <w:rPr>
          <w:spacing w:val="-8"/>
        </w:rPr>
        <w:t> </w:t>
      </w:r>
      <w:r>
        <w:rPr/>
        <w:t>il</w:t>
      </w:r>
      <w:r>
        <w:rPr>
          <w:spacing w:val="-11"/>
        </w:rPr>
        <w:t> </w:t>
      </w:r>
      <w:r>
        <w:rPr/>
        <w:t>numero</w:t>
      </w:r>
      <w:r>
        <w:rPr>
          <w:spacing w:val="-10"/>
        </w:rPr>
        <w:t> </w:t>
      </w:r>
      <w:r>
        <w:rPr/>
        <w:t>delle imprese esportatrici e il volume dell'export – rappresenta uno strumento chiave poiché permette di cogliere le opportunità legate alla crescita della domanda globale. Il Piano ha avuto un finanziamento complessivo pari a 660 milioni nel quinquennio 2015-2019, periodo nel quale le esportazioni italiane sono aumentate di oltre 64 miliardi. Esso è stato sinergico alle attività svolte da ambasciate e consolati che, ad esempio, nel 2017 con il loro sostegno hanno contribuito a produrre 15,9 miliardi di valore</w:t>
      </w:r>
      <w:r>
        <w:rPr>
          <w:spacing w:val="-6"/>
        </w:rPr>
        <w:t> </w:t>
      </w:r>
      <w:r>
        <w:rPr/>
        <w:t>aggiunto.</w:t>
      </w:r>
    </w:p>
    <w:p>
      <w:pPr>
        <w:pStyle w:val="BodyText"/>
        <w:spacing w:line="244" w:lineRule="auto" w:before="2"/>
        <w:ind w:left="278" w:right="2266" w:firstLine="453"/>
        <w:jc w:val="both"/>
      </w:pPr>
      <w:r>
        <w:rPr/>
        <w:t>Per</w:t>
      </w:r>
      <w:r>
        <w:rPr>
          <w:spacing w:val="-7"/>
        </w:rPr>
        <w:t> </w:t>
      </w:r>
      <w:r>
        <w:rPr/>
        <w:t>quanto</w:t>
      </w:r>
      <w:r>
        <w:rPr>
          <w:spacing w:val="-7"/>
        </w:rPr>
        <w:t> </w:t>
      </w:r>
      <w:r>
        <w:rPr/>
        <w:t>riguarda</w:t>
      </w:r>
      <w:r>
        <w:rPr>
          <w:spacing w:val="-8"/>
        </w:rPr>
        <w:t> </w:t>
      </w:r>
      <w:r>
        <w:rPr/>
        <w:t>le</w:t>
      </w:r>
      <w:r>
        <w:rPr>
          <w:spacing w:val="-7"/>
        </w:rPr>
        <w:t> </w:t>
      </w:r>
      <w:r>
        <w:rPr/>
        <w:t>attività</w:t>
      </w:r>
      <w:r>
        <w:rPr>
          <w:spacing w:val="-6"/>
        </w:rPr>
        <w:t> </w:t>
      </w:r>
      <w:r>
        <w:rPr/>
        <w:t>di</w:t>
      </w:r>
      <w:r>
        <w:rPr>
          <w:spacing w:val="-7"/>
        </w:rPr>
        <w:t> </w:t>
      </w:r>
      <w:r>
        <w:rPr/>
        <w:t>promozione</w:t>
      </w:r>
      <w:r>
        <w:rPr>
          <w:spacing w:val="-8"/>
        </w:rPr>
        <w:t> </w:t>
      </w:r>
      <w:r>
        <w:rPr/>
        <w:t>e</w:t>
      </w:r>
      <w:r>
        <w:rPr>
          <w:spacing w:val="-7"/>
        </w:rPr>
        <w:t> </w:t>
      </w:r>
      <w:r>
        <w:rPr/>
        <w:t>cooperazione</w:t>
      </w:r>
      <w:r>
        <w:rPr>
          <w:spacing w:val="-7"/>
        </w:rPr>
        <w:t> </w:t>
      </w:r>
      <w:r>
        <w:rPr/>
        <w:t>culturale,</w:t>
      </w:r>
      <w:r>
        <w:rPr>
          <w:spacing w:val="-7"/>
        </w:rPr>
        <w:t> </w:t>
      </w:r>
      <w:r>
        <w:rPr/>
        <w:t>queste si sono sensibilmente rafforzate e rappresentano sempre più una componente essenziale</w:t>
      </w:r>
      <w:r>
        <w:rPr>
          <w:spacing w:val="-14"/>
        </w:rPr>
        <w:t> </w:t>
      </w:r>
      <w:r>
        <w:rPr/>
        <w:t>della</w:t>
      </w:r>
      <w:r>
        <w:rPr>
          <w:spacing w:val="-13"/>
        </w:rPr>
        <w:t> </w:t>
      </w:r>
      <w:r>
        <w:rPr/>
        <w:t>nostra</w:t>
      </w:r>
      <w:r>
        <w:rPr>
          <w:spacing w:val="-12"/>
        </w:rPr>
        <w:t> </w:t>
      </w:r>
      <w:r>
        <w:rPr/>
        <w:t>proiezione</w:t>
      </w:r>
      <w:r>
        <w:rPr>
          <w:spacing w:val="-13"/>
        </w:rPr>
        <w:t> </w:t>
      </w:r>
      <w:r>
        <w:rPr/>
        <w:t>internazionale,</w:t>
      </w:r>
      <w:r>
        <w:rPr>
          <w:spacing w:val="-12"/>
        </w:rPr>
        <w:t> </w:t>
      </w:r>
      <w:r>
        <w:rPr/>
        <w:t>grazie</w:t>
      </w:r>
      <w:r>
        <w:rPr>
          <w:spacing w:val="-13"/>
        </w:rPr>
        <w:t> </w:t>
      </w:r>
      <w:r>
        <w:rPr/>
        <w:t>soprattutto</w:t>
      </w:r>
      <w:r>
        <w:rPr>
          <w:spacing w:val="-14"/>
        </w:rPr>
        <w:t> </w:t>
      </w:r>
      <w:r>
        <w:rPr/>
        <w:t>alle</w:t>
      </w:r>
      <w:r>
        <w:rPr>
          <w:spacing w:val="-10"/>
        </w:rPr>
        <w:t> </w:t>
      </w:r>
      <w:r>
        <w:rPr/>
        <w:t>risorse</w:t>
      </w:r>
      <w:r>
        <w:rPr>
          <w:spacing w:val="-12"/>
        </w:rPr>
        <w:t> </w:t>
      </w:r>
      <w:r>
        <w:rPr/>
        <w:t>per il quadriennio 2017-2020 del Fondo ad hoc per la promozione della cultura e della lingua italiana all'estero (Programma ‘Vivere</w:t>
      </w:r>
      <w:r>
        <w:rPr>
          <w:spacing w:val="-8"/>
        </w:rPr>
        <w:t> </w:t>
      </w:r>
      <w:r>
        <w:rPr/>
        <w:t>all'Italiana’).</w:t>
      </w:r>
    </w:p>
    <w:p>
      <w:pPr>
        <w:pStyle w:val="BodyText"/>
        <w:spacing w:line="244" w:lineRule="auto" w:before="1"/>
        <w:ind w:left="278" w:right="2264" w:firstLine="453"/>
        <w:jc w:val="both"/>
      </w:pPr>
      <w:r>
        <w:rPr/>
        <w:t>L’attività di internazionalizzazione è strettamente legata a quella di cooperazione allo sviluppo (CPS) e, in tal senso, il Governo considera essenziale assicurare il percorso virtuoso di riallineamento della CPS italiana agli standard internazionali in materia, conferendogli al contempo maggiore efficacia, coerenza e unitarietà di azione.</w:t>
      </w:r>
    </w:p>
    <w:p>
      <w:pPr>
        <w:pStyle w:val="BodyText"/>
        <w:spacing w:line="244" w:lineRule="auto" w:before="2"/>
        <w:ind w:left="278" w:right="2262" w:firstLine="453"/>
        <w:jc w:val="both"/>
      </w:pPr>
      <w:r>
        <w:rPr/>
        <w:t>Tra</w:t>
      </w:r>
      <w:r>
        <w:rPr>
          <w:spacing w:val="-6"/>
        </w:rPr>
        <w:t> </w:t>
      </w:r>
      <w:r>
        <w:rPr/>
        <w:t>le</w:t>
      </w:r>
      <w:r>
        <w:rPr>
          <w:spacing w:val="-7"/>
        </w:rPr>
        <w:t> </w:t>
      </w:r>
      <w:r>
        <w:rPr/>
        <w:t>misure</w:t>
      </w:r>
      <w:r>
        <w:rPr>
          <w:spacing w:val="-7"/>
        </w:rPr>
        <w:t> </w:t>
      </w:r>
      <w:r>
        <w:rPr/>
        <w:t>settoriali</w:t>
      </w:r>
      <w:r>
        <w:rPr>
          <w:spacing w:val="-6"/>
        </w:rPr>
        <w:t> </w:t>
      </w:r>
      <w:r>
        <w:rPr/>
        <w:t>già</w:t>
      </w:r>
      <w:r>
        <w:rPr>
          <w:spacing w:val="-8"/>
        </w:rPr>
        <w:t> </w:t>
      </w:r>
      <w:r>
        <w:rPr/>
        <w:t>approvate</w:t>
      </w:r>
      <w:r>
        <w:rPr>
          <w:spacing w:val="-7"/>
        </w:rPr>
        <w:t> </w:t>
      </w:r>
      <w:r>
        <w:rPr/>
        <w:t>dirette</w:t>
      </w:r>
      <w:r>
        <w:rPr>
          <w:spacing w:val="-6"/>
        </w:rPr>
        <w:t> </w:t>
      </w:r>
      <w:r>
        <w:rPr/>
        <w:t>alla</w:t>
      </w:r>
      <w:r>
        <w:rPr>
          <w:spacing w:val="-7"/>
        </w:rPr>
        <w:t> </w:t>
      </w:r>
      <w:r>
        <w:rPr/>
        <w:t>salvaguardia</w:t>
      </w:r>
      <w:r>
        <w:rPr>
          <w:spacing w:val="-8"/>
        </w:rPr>
        <w:t> </w:t>
      </w:r>
      <w:r>
        <w:rPr/>
        <w:t>dei</w:t>
      </w:r>
      <w:r>
        <w:rPr>
          <w:spacing w:val="-7"/>
        </w:rPr>
        <w:t> </w:t>
      </w:r>
      <w:r>
        <w:rPr/>
        <w:t>marchi</w:t>
      </w:r>
      <w:r>
        <w:rPr>
          <w:spacing w:val="-9"/>
        </w:rPr>
        <w:t> </w:t>
      </w:r>
      <w:r>
        <w:rPr/>
        <w:t>e</w:t>
      </w:r>
      <w:r>
        <w:rPr>
          <w:spacing w:val="-7"/>
        </w:rPr>
        <w:t> </w:t>
      </w:r>
      <w:r>
        <w:rPr/>
        <w:t>del </w:t>
      </w:r>
      <w:r>
        <w:rPr>
          <w:i/>
        </w:rPr>
        <w:t>Made</w:t>
      </w:r>
      <w:r>
        <w:rPr>
          <w:i/>
          <w:spacing w:val="-14"/>
        </w:rPr>
        <w:t> </w:t>
      </w:r>
      <w:r>
        <w:rPr>
          <w:i/>
        </w:rPr>
        <w:t>in</w:t>
      </w:r>
      <w:r>
        <w:rPr>
          <w:i/>
          <w:spacing w:val="-13"/>
        </w:rPr>
        <w:t> </w:t>
      </w:r>
      <w:r>
        <w:rPr>
          <w:i/>
        </w:rPr>
        <w:t>Italy</w:t>
      </w:r>
      <w:r>
        <w:rPr/>
        <w:t>,</w:t>
      </w:r>
      <w:r>
        <w:rPr>
          <w:spacing w:val="-12"/>
        </w:rPr>
        <w:t> </w:t>
      </w:r>
      <w:r>
        <w:rPr/>
        <w:t>rilevano</w:t>
      </w:r>
      <w:r>
        <w:rPr>
          <w:spacing w:val="-13"/>
        </w:rPr>
        <w:t> </w:t>
      </w:r>
      <w:r>
        <w:rPr/>
        <w:t>quelle</w:t>
      </w:r>
      <w:r>
        <w:rPr>
          <w:spacing w:val="-13"/>
        </w:rPr>
        <w:t> </w:t>
      </w:r>
      <w:r>
        <w:rPr/>
        <w:t>contenute</w:t>
      </w:r>
      <w:r>
        <w:rPr>
          <w:spacing w:val="-13"/>
        </w:rPr>
        <w:t> </w:t>
      </w:r>
      <w:r>
        <w:rPr/>
        <w:t>nel</w:t>
      </w:r>
      <w:r>
        <w:rPr>
          <w:spacing w:val="-13"/>
        </w:rPr>
        <w:t> </w:t>
      </w:r>
      <w:r>
        <w:rPr/>
        <w:t>decreto</w:t>
      </w:r>
      <w:r>
        <w:rPr>
          <w:spacing w:val="-12"/>
        </w:rPr>
        <w:t> </w:t>
      </w:r>
      <w:r>
        <w:rPr/>
        <w:t>‘Crescita’,</w:t>
      </w:r>
      <w:r>
        <w:rPr>
          <w:spacing w:val="-12"/>
        </w:rPr>
        <w:t> </w:t>
      </w:r>
      <w:r>
        <w:rPr/>
        <w:t>con</w:t>
      </w:r>
      <w:r>
        <w:rPr>
          <w:spacing w:val="-13"/>
        </w:rPr>
        <w:t> </w:t>
      </w:r>
      <w:r>
        <w:rPr/>
        <w:t>l’istituzione</w:t>
      </w:r>
      <w:r>
        <w:rPr>
          <w:spacing w:val="-12"/>
        </w:rPr>
        <w:t> </w:t>
      </w:r>
      <w:r>
        <w:rPr/>
        <w:t>del ‘marchio storico di interesse nazionale’, il relativo registro presso l’Ufficio italiano brevetti e marchi e il Fondo per la tutela di tali</w:t>
      </w:r>
      <w:r>
        <w:rPr>
          <w:spacing w:val="-12"/>
        </w:rPr>
        <w:t> </w:t>
      </w:r>
      <w:r>
        <w:rPr/>
        <w:t>marchi.</w:t>
      </w:r>
    </w:p>
    <w:p>
      <w:pPr>
        <w:pStyle w:val="BodyText"/>
        <w:spacing w:line="244" w:lineRule="auto"/>
        <w:ind w:left="278" w:right="2261" w:firstLine="453"/>
        <w:jc w:val="both"/>
      </w:pPr>
      <w:r>
        <w:rPr/>
        <w:t>La tutela del </w:t>
      </w:r>
      <w:r>
        <w:rPr>
          <w:i/>
        </w:rPr>
        <w:t>Made in Italy </w:t>
      </w:r>
      <w:r>
        <w:rPr/>
        <w:t>passa anche dalla valorizzazione del turismo e dell’industria culturale. In relazione alle politiche culturali, in prospettiva internazionale, si conferma la volontà del Governo di ricoprire un ruolo di </w:t>
      </w:r>
      <w:r>
        <w:rPr>
          <w:i/>
        </w:rPr>
        <w:t>leadership</w:t>
      </w:r>
      <w:r>
        <w:rPr/>
        <w:t>, promuovendo sia momenti di incontro e scambio tra i Paesi - come avvenuto con il G7 della Cultura nel 2017 - e con le Organizzazioni internazionali, sia azioni e programmi condivisi.</w:t>
      </w:r>
    </w:p>
    <w:p>
      <w:pPr>
        <w:pStyle w:val="BodyText"/>
        <w:spacing w:line="244" w:lineRule="auto" w:before="2"/>
        <w:ind w:left="278" w:right="2265" w:firstLine="453"/>
        <w:jc w:val="both"/>
      </w:pPr>
      <w:r>
        <w:rPr/>
        <w:t>Il potenziamento delle filiere del </w:t>
      </w:r>
      <w:r>
        <w:rPr>
          <w:i/>
        </w:rPr>
        <w:t>Made in Italy </w:t>
      </w:r>
      <w:r>
        <w:rPr/>
        <w:t>rientra anche tra gli obiettivi primari nel settore agricolo e agroalimentare. A tutela del consumatore si intende rafforzare l’etichettatura d’origine dei prodotti attraverso un lavoro costante in sede europea e nazionale. L’Italia è </w:t>
      </w:r>
      <w:r>
        <w:rPr>
          <w:i/>
        </w:rPr>
        <w:t>leader </w:t>
      </w:r>
      <w:r>
        <w:rPr/>
        <w:t>della qualità con un numero elevato di produzioni DOP/IGP/STG, una ricchezza da promuovere e salvaguardare: la</w:t>
      </w:r>
    </w:p>
    <w:p>
      <w:pPr>
        <w:spacing w:after="0" w:line="244" w:lineRule="auto"/>
        <w:jc w:val="both"/>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before="101"/>
        <w:ind w:left="1128"/>
        <w:jc w:val="both"/>
      </w:pPr>
      <w:r>
        <w:rPr/>
        <w:t>protezione delle indicazioni geografiche nel mondo e sul </w:t>
      </w:r>
      <w:r>
        <w:rPr>
          <w:i/>
        </w:rPr>
        <w:t>web </w:t>
      </w:r>
      <w:r>
        <w:rPr/>
        <w:t>costituisce una delle</w:t>
      </w:r>
    </w:p>
    <w:p>
      <w:pPr>
        <w:pStyle w:val="BodyText"/>
        <w:spacing w:before="7"/>
        <w:ind w:left="1128"/>
        <w:jc w:val="both"/>
      </w:pPr>
      <w:r>
        <w:rPr/>
        <w:t>azioni più importanti per limitare il fenomeno distorsivo dell’</w:t>
      </w:r>
      <w:r>
        <w:rPr>
          <w:i/>
        </w:rPr>
        <w:t>Italian sounding</w:t>
      </w:r>
      <w:r>
        <w:rPr/>
        <w:t>.</w:t>
      </w:r>
    </w:p>
    <w:p>
      <w:pPr>
        <w:pStyle w:val="BodyText"/>
        <w:rPr>
          <w:sz w:val="34"/>
        </w:rPr>
      </w:pPr>
    </w:p>
    <w:p>
      <w:pPr>
        <w:pStyle w:val="Heading5"/>
      </w:pPr>
      <w:r>
        <w:rPr/>
        <w:t>Efficienza della pubblica amministrazione</w:t>
      </w:r>
    </w:p>
    <w:p>
      <w:pPr>
        <w:spacing w:line="244" w:lineRule="auto" w:before="153"/>
        <w:ind w:left="1128" w:right="1412" w:firstLine="0"/>
        <w:jc w:val="both"/>
        <w:rPr>
          <w:rFonts w:ascii="Franklin Gothic Book" w:hAnsi="Franklin Gothic Book"/>
          <w:sz w:val="19"/>
        </w:rPr>
      </w:pPr>
      <w:r>
        <w:rPr/>
        <w:pict>
          <v:line style="position:absolute;mso-position-horizontal-relative:page;mso-position-vertical-relative:paragraph;z-index:-251435008;mso-wrap-distance-left:0;mso-wrap-distance-right:0" from="111.980003pt,101.655014pt" to="525.930003pt,101.655014pt" stroked="true" strokeweight="1.44pt" strokecolor="#006247">
            <v:stroke dashstyle="solid"/>
            <w10:wrap type="topAndBottom"/>
          </v:line>
        </w:pict>
      </w:r>
      <w:r>
        <w:rPr>
          <w:rFonts w:ascii="Franklin Gothic Heavy" w:hAnsi="Franklin Gothic Heavy"/>
          <w:b/>
          <w:color w:val="006247"/>
          <w:sz w:val="20"/>
        </w:rPr>
        <w:t>LINEE PROGRAMMATICHE: </w:t>
      </w:r>
      <w:r>
        <w:rPr>
          <w:rFonts w:ascii="Franklin Gothic Book" w:hAnsi="Franklin Gothic Book"/>
          <w:sz w:val="19"/>
        </w:rPr>
        <w:t>Il progetto di innovazione e digitalizzazione della P.A. è di importanza fondamentale per lo sviluppo e la crescita economica e culturale del Paese. A tal fine, sarà promossa l’integrazione delle tecnologie digitali nei processi decisionali, attraverso una sempre maggiore interoperabilità</w:t>
      </w:r>
      <w:r>
        <w:rPr>
          <w:rFonts w:ascii="Franklin Gothic Book" w:hAnsi="Franklin Gothic Book"/>
          <w:spacing w:val="-13"/>
          <w:sz w:val="19"/>
        </w:rPr>
        <w:t> </w:t>
      </w:r>
      <w:r>
        <w:rPr>
          <w:rFonts w:ascii="Franklin Gothic Book" w:hAnsi="Franklin Gothic Book"/>
          <w:sz w:val="19"/>
        </w:rPr>
        <w:t>delle</w:t>
      </w:r>
      <w:r>
        <w:rPr>
          <w:rFonts w:ascii="Franklin Gothic Book" w:hAnsi="Franklin Gothic Book"/>
          <w:spacing w:val="-13"/>
          <w:sz w:val="19"/>
        </w:rPr>
        <w:t> </w:t>
      </w:r>
      <w:r>
        <w:rPr>
          <w:rFonts w:ascii="Franklin Gothic Book" w:hAnsi="Franklin Gothic Book"/>
          <w:sz w:val="19"/>
        </w:rPr>
        <w:t>soluzioni</w:t>
      </w:r>
      <w:r>
        <w:rPr>
          <w:rFonts w:ascii="Franklin Gothic Book" w:hAnsi="Franklin Gothic Book"/>
          <w:spacing w:val="-10"/>
          <w:sz w:val="19"/>
        </w:rPr>
        <w:t> </w:t>
      </w:r>
      <w:r>
        <w:rPr>
          <w:rFonts w:ascii="Franklin Gothic Book" w:hAnsi="Franklin Gothic Book"/>
          <w:sz w:val="19"/>
        </w:rPr>
        <w:t>tecnologiche,</w:t>
      </w:r>
      <w:r>
        <w:rPr>
          <w:rFonts w:ascii="Franklin Gothic Book" w:hAnsi="Franklin Gothic Book"/>
          <w:spacing w:val="-12"/>
          <w:sz w:val="19"/>
        </w:rPr>
        <w:t> </w:t>
      </w:r>
      <w:r>
        <w:rPr>
          <w:rFonts w:ascii="Franklin Gothic Book" w:hAnsi="Franklin Gothic Book"/>
          <w:sz w:val="19"/>
        </w:rPr>
        <w:t>un</w:t>
      </w:r>
      <w:r>
        <w:rPr>
          <w:rFonts w:ascii="Franklin Gothic Book" w:hAnsi="Franklin Gothic Book"/>
          <w:spacing w:val="-12"/>
          <w:sz w:val="19"/>
        </w:rPr>
        <w:t> </w:t>
      </w:r>
      <w:r>
        <w:rPr>
          <w:rFonts w:ascii="Franklin Gothic Book" w:hAnsi="Franklin Gothic Book"/>
          <w:sz w:val="19"/>
        </w:rPr>
        <w:t>migliore</w:t>
      </w:r>
      <w:r>
        <w:rPr>
          <w:rFonts w:ascii="Franklin Gothic Book" w:hAnsi="Franklin Gothic Book"/>
          <w:spacing w:val="-13"/>
          <w:sz w:val="19"/>
        </w:rPr>
        <w:t> </w:t>
      </w:r>
      <w:r>
        <w:rPr>
          <w:rFonts w:ascii="Franklin Gothic Book" w:hAnsi="Franklin Gothic Book"/>
          <w:sz w:val="19"/>
        </w:rPr>
        <w:t>utilizzo</w:t>
      </w:r>
      <w:r>
        <w:rPr>
          <w:rFonts w:ascii="Franklin Gothic Book" w:hAnsi="Franklin Gothic Book"/>
          <w:spacing w:val="-13"/>
          <w:sz w:val="19"/>
        </w:rPr>
        <w:t> </w:t>
      </w:r>
      <w:r>
        <w:rPr>
          <w:rFonts w:ascii="Franklin Gothic Book" w:hAnsi="Franklin Gothic Book"/>
          <w:sz w:val="19"/>
        </w:rPr>
        <w:t>dei</w:t>
      </w:r>
      <w:r>
        <w:rPr>
          <w:rFonts w:ascii="Franklin Gothic Book" w:hAnsi="Franklin Gothic Book"/>
          <w:spacing w:val="-13"/>
          <w:sz w:val="19"/>
        </w:rPr>
        <w:t> </w:t>
      </w:r>
      <w:r>
        <w:rPr>
          <w:rFonts w:ascii="Franklin Gothic Book" w:hAnsi="Franklin Gothic Book"/>
          <w:sz w:val="19"/>
        </w:rPr>
        <w:t>dati</w:t>
      </w:r>
      <w:r>
        <w:rPr>
          <w:rFonts w:ascii="Franklin Gothic Book" w:hAnsi="Franklin Gothic Book"/>
          <w:spacing w:val="-13"/>
          <w:sz w:val="19"/>
        </w:rPr>
        <w:t> </w:t>
      </w:r>
      <w:r>
        <w:rPr>
          <w:rFonts w:ascii="Franklin Gothic Book" w:hAnsi="Franklin Gothic Book"/>
          <w:sz w:val="19"/>
        </w:rPr>
        <w:t>pubblici</w:t>
      </w:r>
      <w:r>
        <w:rPr>
          <w:rFonts w:ascii="Franklin Gothic Book" w:hAnsi="Franklin Gothic Book"/>
          <w:spacing w:val="-13"/>
          <w:sz w:val="19"/>
        </w:rPr>
        <w:t> </w:t>
      </w:r>
      <w:r>
        <w:rPr>
          <w:rFonts w:ascii="Franklin Gothic Book" w:hAnsi="Franklin Gothic Book"/>
          <w:sz w:val="19"/>
        </w:rPr>
        <w:t>e</w:t>
      </w:r>
      <w:r>
        <w:rPr>
          <w:rFonts w:ascii="Franklin Gothic Book" w:hAnsi="Franklin Gothic Book"/>
          <w:spacing w:val="-13"/>
          <w:sz w:val="19"/>
        </w:rPr>
        <w:t> </w:t>
      </w:r>
      <w:r>
        <w:rPr>
          <w:rFonts w:ascii="Franklin Gothic Book" w:hAnsi="Franklin Gothic Book"/>
          <w:sz w:val="19"/>
        </w:rPr>
        <w:t>l’adozione</w:t>
      </w:r>
      <w:r>
        <w:rPr>
          <w:rFonts w:ascii="Franklin Gothic Book" w:hAnsi="Franklin Gothic Book"/>
          <w:spacing w:val="-12"/>
          <w:sz w:val="19"/>
        </w:rPr>
        <w:t> </w:t>
      </w:r>
      <w:r>
        <w:rPr>
          <w:rFonts w:ascii="Franklin Gothic Book" w:hAnsi="Franklin Gothic Book"/>
          <w:sz w:val="19"/>
        </w:rPr>
        <w:t>di</w:t>
      </w:r>
      <w:r>
        <w:rPr>
          <w:rFonts w:ascii="Franklin Gothic Book" w:hAnsi="Franklin Gothic Book"/>
          <w:spacing w:val="-13"/>
          <w:sz w:val="19"/>
        </w:rPr>
        <w:t> </w:t>
      </w:r>
      <w:r>
        <w:rPr>
          <w:rFonts w:ascii="Franklin Gothic Book" w:hAnsi="Franklin Gothic Book"/>
          <w:sz w:val="19"/>
        </w:rPr>
        <w:t>standard comuni in termini di procedure e servizi forniti ai cittadini e alle imprese. Dal punto di vista della dotazione</w:t>
      </w:r>
      <w:r>
        <w:rPr>
          <w:rFonts w:ascii="Franklin Gothic Book" w:hAnsi="Franklin Gothic Book"/>
          <w:spacing w:val="-13"/>
          <w:sz w:val="19"/>
        </w:rPr>
        <w:t> </w:t>
      </w:r>
      <w:r>
        <w:rPr>
          <w:rFonts w:ascii="Franklin Gothic Book" w:hAnsi="Franklin Gothic Book"/>
          <w:sz w:val="19"/>
        </w:rPr>
        <w:t>di</w:t>
      </w:r>
      <w:r>
        <w:rPr>
          <w:rFonts w:ascii="Franklin Gothic Book" w:hAnsi="Franklin Gothic Book"/>
          <w:spacing w:val="-12"/>
          <w:sz w:val="19"/>
        </w:rPr>
        <w:t> </w:t>
      </w:r>
      <w:r>
        <w:rPr>
          <w:rFonts w:ascii="Franklin Gothic Book" w:hAnsi="Franklin Gothic Book"/>
          <w:sz w:val="19"/>
        </w:rPr>
        <w:t>personale,</w:t>
      </w:r>
      <w:r>
        <w:rPr>
          <w:rFonts w:ascii="Franklin Gothic Book" w:hAnsi="Franklin Gothic Book"/>
          <w:spacing w:val="-10"/>
          <w:sz w:val="19"/>
        </w:rPr>
        <w:t> </w:t>
      </w:r>
      <w:r>
        <w:rPr>
          <w:rFonts w:ascii="Franklin Gothic Book" w:hAnsi="Franklin Gothic Book"/>
          <w:sz w:val="19"/>
        </w:rPr>
        <w:t>saranno</w:t>
      </w:r>
      <w:r>
        <w:rPr>
          <w:rFonts w:ascii="Franklin Gothic Book" w:hAnsi="Franklin Gothic Book"/>
          <w:spacing w:val="-11"/>
          <w:sz w:val="19"/>
        </w:rPr>
        <w:t> </w:t>
      </w:r>
      <w:r>
        <w:rPr>
          <w:rFonts w:ascii="Franklin Gothic Book" w:hAnsi="Franklin Gothic Book"/>
          <w:sz w:val="19"/>
        </w:rPr>
        <w:t>assicurate</w:t>
      </w:r>
      <w:r>
        <w:rPr>
          <w:rFonts w:ascii="Franklin Gothic Book" w:hAnsi="Franklin Gothic Book"/>
          <w:spacing w:val="-12"/>
          <w:sz w:val="19"/>
        </w:rPr>
        <w:t> </w:t>
      </w:r>
      <w:r>
        <w:rPr>
          <w:rFonts w:ascii="Franklin Gothic Book" w:hAnsi="Franklin Gothic Book"/>
          <w:sz w:val="19"/>
        </w:rPr>
        <w:t>le</w:t>
      </w:r>
      <w:r>
        <w:rPr>
          <w:rFonts w:ascii="Franklin Gothic Book" w:hAnsi="Franklin Gothic Book"/>
          <w:spacing w:val="-12"/>
          <w:sz w:val="19"/>
        </w:rPr>
        <w:t> </w:t>
      </w:r>
      <w:r>
        <w:rPr>
          <w:rFonts w:ascii="Franklin Gothic Book" w:hAnsi="Franklin Gothic Book"/>
          <w:sz w:val="19"/>
        </w:rPr>
        <w:t>necessarie</w:t>
      </w:r>
      <w:r>
        <w:rPr>
          <w:rFonts w:ascii="Franklin Gothic Book" w:hAnsi="Franklin Gothic Book"/>
          <w:spacing w:val="-12"/>
          <w:sz w:val="19"/>
        </w:rPr>
        <w:t> </w:t>
      </w:r>
      <w:r>
        <w:rPr>
          <w:rFonts w:ascii="Franklin Gothic Book" w:hAnsi="Franklin Gothic Book"/>
          <w:sz w:val="19"/>
        </w:rPr>
        <w:t>assunzioni</w:t>
      </w:r>
      <w:r>
        <w:rPr>
          <w:rFonts w:ascii="Franklin Gothic Book" w:hAnsi="Franklin Gothic Book"/>
          <w:spacing w:val="-12"/>
          <w:sz w:val="19"/>
        </w:rPr>
        <w:t> </w:t>
      </w:r>
      <w:r>
        <w:rPr>
          <w:rFonts w:ascii="Franklin Gothic Book" w:hAnsi="Franklin Gothic Book"/>
          <w:sz w:val="19"/>
        </w:rPr>
        <w:t>in</w:t>
      </w:r>
      <w:r>
        <w:rPr>
          <w:rFonts w:ascii="Franklin Gothic Book" w:hAnsi="Franklin Gothic Book"/>
          <w:spacing w:val="-11"/>
          <w:sz w:val="19"/>
        </w:rPr>
        <w:t> </w:t>
      </w:r>
      <w:r>
        <w:rPr>
          <w:rFonts w:ascii="Franklin Gothic Book" w:hAnsi="Franklin Gothic Book"/>
          <w:sz w:val="19"/>
        </w:rPr>
        <w:t>specifici</w:t>
      </w:r>
      <w:r>
        <w:rPr>
          <w:rFonts w:ascii="Franklin Gothic Book" w:hAnsi="Franklin Gothic Book"/>
          <w:spacing w:val="-9"/>
          <w:sz w:val="19"/>
        </w:rPr>
        <w:t> </w:t>
      </w:r>
      <w:r>
        <w:rPr>
          <w:rFonts w:ascii="Franklin Gothic Book" w:hAnsi="Franklin Gothic Book"/>
          <w:sz w:val="19"/>
        </w:rPr>
        <w:t>comparti</w:t>
      </w:r>
      <w:r>
        <w:rPr>
          <w:rFonts w:ascii="Franklin Gothic Book" w:hAnsi="Franklin Gothic Book"/>
          <w:spacing w:val="-12"/>
          <w:sz w:val="19"/>
        </w:rPr>
        <w:t> </w:t>
      </w:r>
      <w:r>
        <w:rPr>
          <w:rFonts w:ascii="Franklin Gothic Book" w:hAnsi="Franklin Gothic Book"/>
          <w:sz w:val="19"/>
        </w:rPr>
        <w:t>e,</w:t>
      </w:r>
      <w:r>
        <w:rPr>
          <w:rFonts w:ascii="Franklin Gothic Book" w:hAnsi="Franklin Gothic Book"/>
          <w:spacing w:val="-9"/>
          <w:sz w:val="19"/>
        </w:rPr>
        <w:t> </w:t>
      </w:r>
      <w:r>
        <w:rPr>
          <w:rFonts w:ascii="Franklin Gothic Book" w:hAnsi="Franklin Gothic Book"/>
          <w:sz w:val="19"/>
        </w:rPr>
        <w:t>d’intesa</w:t>
      </w:r>
      <w:r>
        <w:rPr>
          <w:rFonts w:ascii="Franklin Gothic Book" w:hAnsi="Franklin Gothic Book"/>
          <w:spacing w:val="-11"/>
          <w:sz w:val="19"/>
        </w:rPr>
        <w:t> </w:t>
      </w:r>
      <w:r>
        <w:rPr>
          <w:rFonts w:ascii="Franklin Gothic Book" w:hAnsi="Franklin Gothic Book"/>
          <w:sz w:val="19"/>
        </w:rPr>
        <w:t>con le Regioni, sarà avviato un piano di reclutamento straordinario di medici e infermieri. Sarà inoltre valorizzato il personale della difesa, delle forze di polizia e dei vigili del</w:t>
      </w:r>
      <w:r>
        <w:rPr>
          <w:rFonts w:ascii="Franklin Gothic Book" w:hAnsi="Franklin Gothic Book"/>
          <w:spacing w:val="-14"/>
          <w:sz w:val="19"/>
        </w:rPr>
        <w:t> </w:t>
      </w:r>
      <w:r>
        <w:rPr>
          <w:rFonts w:ascii="Franklin Gothic Book" w:hAnsi="Franklin Gothic Book"/>
          <w:sz w:val="19"/>
        </w:rPr>
        <w:t>fuoco.</w:t>
      </w:r>
    </w:p>
    <w:p>
      <w:pPr>
        <w:pStyle w:val="BodyText"/>
        <w:spacing w:before="6"/>
        <w:rPr>
          <w:rFonts w:ascii="Franklin Gothic Book"/>
          <w:sz w:val="11"/>
        </w:rPr>
      </w:pPr>
    </w:p>
    <w:p>
      <w:pPr>
        <w:pStyle w:val="BodyText"/>
        <w:spacing w:line="252" w:lineRule="auto" w:before="101"/>
        <w:ind w:left="1128" w:right="1410" w:firstLine="453"/>
        <w:jc w:val="both"/>
      </w:pPr>
      <w:r>
        <w:rPr/>
        <w:t>La</w:t>
      </w:r>
      <w:r>
        <w:rPr>
          <w:spacing w:val="-13"/>
        </w:rPr>
        <w:t> </w:t>
      </w:r>
      <w:r>
        <w:rPr/>
        <w:t>disponibilità</w:t>
      </w:r>
      <w:r>
        <w:rPr>
          <w:spacing w:val="-13"/>
        </w:rPr>
        <w:t> </w:t>
      </w:r>
      <w:r>
        <w:rPr/>
        <w:t>di</w:t>
      </w:r>
      <w:r>
        <w:rPr>
          <w:spacing w:val="-13"/>
        </w:rPr>
        <w:t> </w:t>
      </w:r>
      <w:r>
        <w:rPr/>
        <w:t>servizi</w:t>
      </w:r>
      <w:r>
        <w:rPr>
          <w:spacing w:val="-14"/>
        </w:rPr>
        <w:t> </w:t>
      </w:r>
      <w:r>
        <w:rPr/>
        <w:t>pubblici</w:t>
      </w:r>
      <w:r>
        <w:rPr>
          <w:spacing w:val="-13"/>
        </w:rPr>
        <w:t> </w:t>
      </w:r>
      <w:r>
        <w:rPr/>
        <w:t>e</w:t>
      </w:r>
      <w:r>
        <w:rPr>
          <w:spacing w:val="-15"/>
        </w:rPr>
        <w:t> </w:t>
      </w:r>
      <w:r>
        <w:rPr/>
        <w:t>amministrativi</w:t>
      </w:r>
      <w:r>
        <w:rPr>
          <w:spacing w:val="-13"/>
        </w:rPr>
        <w:t> </w:t>
      </w:r>
      <w:r>
        <w:rPr/>
        <w:t>di</w:t>
      </w:r>
      <w:r>
        <w:rPr>
          <w:spacing w:val="-12"/>
        </w:rPr>
        <w:t> </w:t>
      </w:r>
      <w:r>
        <w:rPr/>
        <w:t>qualità</w:t>
      </w:r>
      <w:r>
        <w:rPr>
          <w:spacing w:val="-13"/>
        </w:rPr>
        <w:t> </w:t>
      </w:r>
      <w:r>
        <w:rPr/>
        <w:t>è</w:t>
      </w:r>
      <w:r>
        <w:rPr>
          <w:spacing w:val="-13"/>
        </w:rPr>
        <w:t> </w:t>
      </w:r>
      <w:r>
        <w:rPr/>
        <w:t>la</w:t>
      </w:r>
      <w:r>
        <w:rPr>
          <w:spacing w:val="-16"/>
        </w:rPr>
        <w:t> </w:t>
      </w:r>
      <w:r>
        <w:rPr/>
        <w:t>precondizione per creare un clima favorevole allo sviluppo delle attività imprenditoriali e al benessere dei cittadini. Per garantire tutto questo la Pubblica Amministrazione necessita di una strategia di rilancio della sua immagine e delle sue funzioni, favorendo</w:t>
      </w:r>
      <w:r>
        <w:rPr>
          <w:spacing w:val="-6"/>
        </w:rPr>
        <w:t> </w:t>
      </w:r>
      <w:r>
        <w:rPr/>
        <w:t>l’ingresso</w:t>
      </w:r>
      <w:r>
        <w:rPr>
          <w:spacing w:val="-7"/>
        </w:rPr>
        <w:t> </w:t>
      </w:r>
      <w:r>
        <w:rPr/>
        <w:t>di</w:t>
      </w:r>
      <w:r>
        <w:rPr>
          <w:spacing w:val="-6"/>
        </w:rPr>
        <w:t> </w:t>
      </w:r>
      <w:r>
        <w:rPr/>
        <w:t>giovani</w:t>
      </w:r>
      <w:r>
        <w:rPr>
          <w:spacing w:val="-6"/>
        </w:rPr>
        <w:t> </w:t>
      </w:r>
      <w:r>
        <w:rPr/>
        <w:t>e</w:t>
      </w:r>
      <w:r>
        <w:rPr>
          <w:spacing w:val="-6"/>
        </w:rPr>
        <w:t> </w:t>
      </w:r>
      <w:r>
        <w:rPr/>
        <w:t>migliorando</w:t>
      </w:r>
      <w:r>
        <w:rPr>
          <w:spacing w:val="-7"/>
        </w:rPr>
        <w:t> </w:t>
      </w:r>
      <w:r>
        <w:rPr/>
        <w:t>la</w:t>
      </w:r>
      <w:r>
        <w:rPr>
          <w:spacing w:val="-6"/>
        </w:rPr>
        <w:t> </w:t>
      </w:r>
      <w:r>
        <w:rPr/>
        <w:t>sua</w:t>
      </w:r>
      <w:r>
        <w:rPr>
          <w:spacing w:val="-7"/>
        </w:rPr>
        <w:t> </w:t>
      </w:r>
      <w:r>
        <w:rPr/>
        <w:t>capacità</w:t>
      </w:r>
      <w:r>
        <w:rPr>
          <w:spacing w:val="-6"/>
        </w:rPr>
        <w:t> </w:t>
      </w:r>
      <w:r>
        <w:rPr/>
        <w:t>di</w:t>
      </w:r>
      <w:r>
        <w:rPr>
          <w:spacing w:val="-6"/>
        </w:rPr>
        <w:t> </w:t>
      </w:r>
      <w:r>
        <w:rPr/>
        <w:t>innovare.</w:t>
      </w:r>
      <w:r>
        <w:rPr>
          <w:spacing w:val="-5"/>
        </w:rPr>
        <w:t> </w:t>
      </w:r>
      <w:r>
        <w:rPr/>
        <w:t>Sempre</w:t>
      </w:r>
      <w:r>
        <w:rPr>
          <w:spacing w:val="-6"/>
        </w:rPr>
        <w:t> </w:t>
      </w:r>
      <w:r>
        <w:rPr/>
        <w:t>in tale ottica si dovrà lavorare per una revisione delle dotazioni organiche, rafforzare gli strumenti e le azioni a supporto della formazione continua per valorizzare le competenze</w:t>
      </w:r>
      <w:r>
        <w:rPr>
          <w:spacing w:val="-5"/>
        </w:rPr>
        <w:t> </w:t>
      </w:r>
      <w:r>
        <w:rPr/>
        <w:t>del</w:t>
      </w:r>
      <w:r>
        <w:rPr>
          <w:spacing w:val="-4"/>
        </w:rPr>
        <w:t> </w:t>
      </w:r>
      <w:r>
        <w:rPr/>
        <w:t>personale</w:t>
      </w:r>
      <w:r>
        <w:rPr>
          <w:spacing w:val="-5"/>
        </w:rPr>
        <w:t> </w:t>
      </w:r>
      <w:r>
        <w:rPr/>
        <w:t>in</w:t>
      </w:r>
      <w:r>
        <w:rPr>
          <w:spacing w:val="-6"/>
        </w:rPr>
        <w:t> </w:t>
      </w:r>
      <w:r>
        <w:rPr/>
        <w:t>modo</w:t>
      </w:r>
      <w:r>
        <w:rPr>
          <w:spacing w:val="-6"/>
        </w:rPr>
        <w:t> </w:t>
      </w:r>
      <w:r>
        <w:rPr/>
        <w:t>tale</w:t>
      </w:r>
      <w:r>
        <w:rPr>
          <w:spacing w:val="-5"/>
        </w:rPr>
        <w:t> </w:t>
      </w:r>
      <w:r>
        <w:rPr/>
        <w:t>da</w:t>
      </w:r>
      <w:r>
        <w:rPr>
          <w:spacing w:val="-5"/>
        </w:rPr>
        <w:t> </w:t>
      </w:r>
      <w:r>
        <w:rPr/>
        <w:t>migliorare</w:t>
      </w:r>
      <w:r>
        <w:rPr>
          <w:spacing w:val="-5"/>
        </w:rPr>
        <w:t> </w:t>
      </w:r>
      <w:r>
        <w:rPr/>
        <w:t>la</w:t>
      </w:r>
      <w:r>
        <w:rPr>
          <w:spacing w:val="-5"/>
        </w:rPr>
        <w:t> </w:t>
      </w:r>
      <w:r>
        <w:rPr/>
        <w:t>produttività</w:t>
      </w:r>
      <w:r>
        <w:rPr>
          <w:spacing w:val="-5"/>
        </w:rPr>
        <w:t> </w:t>
      </w:r>
      <w:r>
        <w:rPr/>
        <w:t>della</w:t>
      </w:r>
      <w:r>
        <w:rPr>
          <w:spacing w:val="-5"/>
        </w:rPr>
        <w:t> </w:t>
      </w:r>
      <w:r>
        <w:rPr/>
        <w:t>Pubblica Amministrazione.</w:t>
      </w:r>
    </w:p>
    <w:p>
      <w:pPr>
        <w:pStyle w:val="BodyText"/>
        <w:spacing w:line="252" w:lineRule="auto" w:before="1"/>
        <w:ind w:left="1128" w:right="1412" w:firstLine="453"/>
        <w:jc w:val="both"/>
      </w:pPr>
      <w:r>
        <w:rPr/>
        <w:t>A giugno 2019 è stato approvato un disegno di legge</w:t>
      </w:r>
      <w:r>
        <w:rPr>
          <w:vertAlign w:val="superscript"/>
        </w:rPr>
        <w:t>15</w:t>
      </w:r>
      <w:r>
        <w:rPr>
          <w:vertAlign w:val="baseline"/>
        </w:rPr>
        <w:t> contenente misure volte a favorire l’efficienza delle Pubbliche Amministrazioni</w:t>
      </w:r>
      <w:r>
        <w:rPr>
          <w:b/>
          <w:vertAlign w:val="baseline"/>
        </w:rPr>
        <w:t>, </w:t>
      </w:r>
      <w:r>
        <w:rPr>
          <w:vertAlign w:val="baseline"/>
        </w:rPr>
        <w:t>per garantire assunzioni mirate, favorire il ricambio generazionale in tempi rapidi e migliorare il grado di digitalizzazione della PA, nonché per prevenire il fenomeno dell’assenteismo.</w:t>
      </w:r>
    </w:p>
    <w:p>
      <w:pPr>
        <w:pStyle w:val="BodyText"/>
        <w:spacing w:line="252" w:lineRule="auto"/>
        <w:ind w:left="1128" w:right="1416" w:firstLine="453"/>
        <w:jc w:val="both"/>
      </w:pPr>
      <w:r>
        <w:rPr/>
        <w:t>Inoltre, nell’ottica di modernizzazione della PA e della riduzione dei tempi di accesso al pubblico impiego, si introducono misure per accelerare le assunzioni mirate e il ricambio generazionale.</w:t>
      </w:r>
    </w:p>
    <w:p>
      <w:pPr>
        <w:pStyle w:val="BodyText"/>
        <w:spacing w:line="252" w:lineRule="auto"/>
        <w:ind w:left="1128" w:right="1411" w:firstLine="453"/>
        <w:jc w:val="both"/>
      </w:pPr>
      <w:r>
        <w:rPr/>
        <w:t>Tra</w:t>
      </w:r>
      <w:r>
        <w:rPr>
          <w:spacing w:val="-4"/>
        </w:rPr>
        <w:t> </w:t>
      </w:r>
      <w:r>
        <w:rPr/>
        <w:t>marzo</w:t>
      </w:r>
      <w:r>
        <w:rPr>
          <w:spacing w:val="-7"/>
        </w:rPr>
        <w:t> </w:t>
      </w:r>
      <w:r>
        <w:rPr/>
        <w:t>e</w:t>
      </w:r>
      <w:r>
        <w:rPr>
          <w:spacing w:val="-4"/>
        </w:rPr>
        <w:t> </w:t>
      </w:r>
      <w:r>
        <w:rPr/>
        <w:t>aprile</w:t>
      </w:r>
      <w:r>
        <w:rPr>
          <w:spacing w:val="-6"/>
        </w:rPr>
        <w:t> </w:t>
      </w:r>
      <w:r>
        <w:rPr/>
        <w:t>sono</w:t>
      </w:r>
      <w:r>
        <w:rPr>
          <w:spacing w:val="-8"/>
        </w:rPr>
        <w:t> </w:t>
      </w:r>
      <w:r>
        <w:rPr/>
        <w:t>stati</w:t>
      </w:r>
      <w:r>
        <w:rPr>
          <w:spacing w:val="-5"/>
        </w:rPr>
        <w:t> </w:t>
      </w:r>
      <w:r>
        <w:rPr/>
        <w:t>presentati</w:t>
      </w:r>
      <w:r>
        <w:rPr>
          <w:spacing w:val="-3"/>
        </w:rPr>
        <w:t> </w:t>
      </w:r>
      <w:r>
        <w:rPr/>
        <w:t>due</w:t>
      </w:r>
      <w:r>
        <w:rPr>
          <w:spacing w:val="-3"/>
        </w:rPr>
        <w:t> </w:t>
      </w:r>
      <w:r>
        <w:rPr/>
        <w:t>disegni</w:t>
      </w:r>
      <w:r>
        <w:rPr>
          <w:spacing w:val="-5"/>
        </w:rPr>
        <w:t> </w:t>
      </w:r>
      <w:r>
        <w:rPr/>
        <w:t>di</w:t>
      </w:r>
      <w:r>
        <w:rPr>
          <w:spacing w:val="-5"/>
        </w:rPr>
        <w:t> </w:t>
      </w:r>
      <w:r>
        <w:rPr/>
        <w:t>legge</w:t>
      </w:r>
      <w:r>
        <w:rPr>
          <w:spacing w:val="-7"/>
        </w:rPr>
        <w:t> </w:t>
      </w:r>
      <w:r>
        <w:rPr/>
        <w:t>recanti</w:t>
      </w:r>
      <w:r>
        <w:rPr>
          <w:spacing w:val="-4"/>
        </w:rPr>
        <w:t> </w:t>
      </w:r>
      <w:r>
        <w:rPr/>
        <w:t>deleghe</w:t>
      </w:r>
      <w:r>
        <w:rPr>
          <w:spacing w:val="-4"/>
        </w:rPr>
        <w:t> </w:t>
      </w:r>
      <w:r>
        <w:rPr/>
        <w:t>al Governo rispettivamente per il miglioramento della Pubblica Amministrazione e in materia di semplificazione e codificazione. Il primo provvedimento reca deleghe per</w:t>
      </w:r>
      <w:r>
        <w:rPr>
          <w:spacing w:val="-12"/>
        </w:rPr>
        <w:t> </w:t>
      </w:r>
      <w:r>
        <w:rPr/>
        <w:t>la</w:t>
      </w:r>
      <w:r>
        <w:rPr>
          <w:spacing w:val="-16"/>
        </w:rPr>
        <w:t> </w:t>
      </w:r>
      <w:r>
        <w:rPr/>
        <w:t>riforma</w:t>
      </w:r>
      <w:r>
        <w:rPr>
          <w:spacing w:val="-15"/>
        </w:rPr>
        <w:t> </w:t>
      </w:r>
      <w:r>
        <w:rPr/>
        <w:t>del</w:t>
      </w:r>
      <w:r>
        <w:rPr>
          <w:spacing w:val="-13"/>
        </w:rPr>
        <w:t> </w:t>
      </w:r>
      <w:r>
        <w:rPr/>
        <w:t>lavoro</w:t>
      </w:r>
      <w:r>
        <w:rPr>
          <w:spacing w:val="-16"/>
        </w:rPr>
        <w:t> </w:t>
      </w:r>
      <w:r>
        <w:rPr/>
        <w:t>alle</w:t>
      </w:r>
      <w:r>
        <w:rPr>
          <w:spacing w:val="-12"/>
        </w:rPr>
        <w:t> </w:t>
      </w:r>
      <w:r>
        <w:rPr/>
        <w:t>dipendenze</w:t>
      </w:r>
      <w:r>
        <w:rPr>
          <w:spacing w:val="-13"/>
        </w:rPr>
        <w:t> </w:t>
      </w:r>
      <w:r>
        <w:rPr/>
        <w:t>delle</w:t>
      </w:r>
      <w:r>
        <w:rPr>
          <w:spacing w:val="-14"/>
        </w:rPr>
        <w:t> </w:t>
      </w:r>
      <w:r>
        <w:rPr/>
        <w:t>pubbliche</w:t>
      </w:r>
      <w:r>
        <w:rPr>
          <w:spacing w:val="-13"/>
        </w:rPr>
        <w:t> </w:t>
      </w:r>
      <w:r>
        <w:rPr/>
        <w:t>amministrazioni,</w:t>
      </w:r>
      <w:r>
        <w:rPr>
          <w:spacing w:val="-12"/>
        </w:rPr>
        <w:t> </w:t>
      </w:r>
      <w:r>
        <w:rPr/>
        <w:t>l’accesso al pubblico impiego, il merito e la premialità e il riordino della disciplina della dirigenza. Il secondo disegno di legge</w:t>
      </w:r>
      <w:r>
        <w:rPr>
          <w:vertAlign w:val="superscript"/>
        </w:rPr>
        <w:t>16</w:t>
      </w:r>
      <w:r>
        <w:rPr>
          <w:vertAlign w:val="baseline"/>
        </w:rPr>
        <w:t> è volto ad avviare una più ampia e nuova fase di generale semplificazione e codificazione normativa con riguardo a diversi settori strategici per le esigenze economiche e sociali nazionali, con un approccio unitario</w:t>
      </w:r>
      <w:r>
        <w:rPr>
          <w:spacing w:val="-20"/>
          <w:vertAlign w:val="baseline"/>
        </w:rPr>
        <w:t> </w:t>
      </w:r>
      <w:r>
        <w:rPr>
          <w:vertAlign w:val="baseline"/>
        </w:rPr>
        <w:t>e</w:t>
      </w:r>
      <w:r>
        <w:rPr>
          <w:spacing w:val="-19"/>
          <w:vertAlign w:val="baseline"/>
        </w:rPr>
        <w:t> </w:t>
      </w:r>
      <w:r>
        <w:rPr>
          <w:vertAlign w:val="baseline"/>
        </w:rPr>
        <w:t>coordinato</w:t>
      </w:r>
      <w:r>
        <w:rPr>
          <w:spacing w:val="-19"/>
          <w:vertAlign w:val="baseline"/>
        </w:rPr>
        <w:t> </w:t>
      </w:r>
      <w:r>
        <w:rPr>
          <w:vertAlign w:val="baseline"/>
        </w:rPr>
        <w:t>che</w:t>
      </w:r>
      <w:r>
        <w:rPr>
          <w:spacing w:val="-17"/>
          <w:vertAlign w:val="baseline"/>
        </w:rPr>
        <w:t> </w:t>
      </w:r>
      <w:r>
        <w:rPr>
          <w:vertAlign w:val="baseline"/>
        </w:rPr>
        <w:t>permetta</w:t>
      </w:r>
      <w:r>
        <w:rPr>
          <w:spacing w:val="-19"/>
          <w:vertAlign w:val="baseline"/>
        </w:rPr>
        <w:t> </w:t>
      </w:r>
      <w:r>
        <w:rPr>
          <w:vertAlign w:val="baseline"/>
        </w:rPr>
        <w:t>di</w:t>
      </w:r>
      <w:r>
        <w:rPr>
          <w:spacing w:val="-21"/>
          <w:vertAlign w:val="baseline"/>
        </w:rPr>
        <w:t> </w:t>
      </w:r>
      <w:r>
        <w:rPr>
          <w:vertAlign w:val="baseline"/>
        </w:rPr>
        <w:t>potenziare</w:t>
      </w:r>
      <w:r>
        <w:rPr>
          <w:spacing w:val="-18"/>
          <w:vertAlign w:val="baseline"/>
        </w:rPr>
        <w:t> </w:t>
      </w:r>
      <w:r>
        <w:rPr>
          <w:vertAlign w:val="baseline"/>
        </w:rPr>
        <w:t>la</w:t>
      </w:r>
      <w:r>
        <w:rPr>
          <w:spacing w:val="-19"/>
          <w:vertAlign w:val="baseline"/>
        </w:rPr>
        <w:t> </w:t>
      </w:r>
      <w:r>
        <w:rPr>
          <w:vertAlign w:val="baseline"/>
        </w:rPr>
        <w:t>qualità</w:t>
      </w:r>
      <w:r>
        <w:rPr>
          <w:spacing w:val="-19"/>
          <w:vertAlign w:val="baseline"/>
        </w:rPr>
        <w:t> </w:t>
      </w:r>
      <w:r>
        <w:rPr>
          <w:vertAlign w:val="baseline"/>
        </w:rPr>
        <w:t>e</w:t>
      </w:r>
      <w:r>
        <w:rPr>
          <w:spacing w:val="-19"/>
          <w:vertAlign w:val="baseline"/>
        </w:rPr>
        <w:t> </w:t>
      </w:r>
      <w:r>
        <w:rPr>
          <w:vertAlign w:val="baseline"/>
        </w:rPr>
        <w:t>l’efficienza</w:t>
      </w:r>
      <w:r>
        <w:rPr>
          <w:spacing w:val="-20"/>
          <w:vertAlign w:val="baseline"/>
        </w:rPr>
        <w:t> </w:t>
      </w:r>
      <w:r>
        <w:rPr>
          <w:vertAlign w:val="baseline"/>
        </w:rPr>
        <w:t>dell’azione amministrativa,</w:t>
      </w:r>
      <w:r>
        <w:rPr>
          <w:spacing w:val="-14"/>
          <w:vertAlign w:val="baseline"/>
        </w:rPr>
        <w:t> </w:t>
      </w:r>
      <w:r>
        <w:rPr>
          <w:vertAlign w:val="baseline"/>
        </w:rPr>
        <w:t>assicurando</w:t>
      </w:r>
      <w:r>
        <w:rPr>
          <w:spacing w:val="-15"/>
          <w:vertAlign w:val="baseline"/>
        </w:rPr>
        <w:t> </w:t>
      </w:r>
      <w:r>
        <w:rPr>
          <w:vertAlign w:val="baseline"/>
        </w:rPr>
        <w:t>maggiore</w:t>
      </w:r>
      <w:r>
        <w:rPr>
          <w:spacing w:val="-14"/>
          <w:vertAlign w:val="baseline"/>
        </w:rPr>
        <w:t> </w:t>
      </w:r>
      <w:r>
        <w:rPr>
          <w:vertAlign w:val="baseline"/>
        </w:rPr>
        <w:t>certezza</w:t>
      </w:r>
      <w:r>
        <w:rPr>
          <w:spacing w:val="-15"/>
          <w:vertAlign w:val="baseline"/>
        </w:rPr>
        <w:t> </w:t>
      </w:r>
      <w:r>
        <w:rPr>
          <w:vertAlign w:val="baseline"/>
        </w:rPr>
        <w:t>dei</w:t>
      </w:r>
      <w:r>
        <w:rPr>
          <w:spacing w:val="-15"/>
          <w:vertAlign w:val="baseline"/>
        </w:rPr>
        <w:t> </w:t>
      </w:r>
      <w:r>
        <w:rPr>
          <w:vertAlign w:val="baseline"/>
        </w:rPr>
        <w:t>rapporti</w:t>
      </w:r>
      <w:r>
        <w:rPr>
          <w:spacing w:val="-15"/>
          <w:vertAlign w:val="baseline"/>
        </w:rPr>
        <w:t> </w:t>
      </w:r>
      <w:r>
        <w:rPr>
          <w:vertAlign w:val="baseline"/>
        </w:rPr>
        <w:t>giuridici</w:t>
      </w:r>
      <w:r>
        <w:rPr>
          <w:spacing w:val="-14"/>
          <w:vertAlign w:val="baseline"/>
        </w:rPr>
        <w:t> </w:t>
      </w:r>
      <w:r>
        <w:rPr>
          <w:vertAlign w:val="baseline"/>
        </w:rPr>
        <w:t>e</w:t>
      </w:r>
      <w:r>
        <w:rPr>
          <w:spacing w:val="-14"/>
          <w:vertAlign w:val="baseline"/>
        </w:rPr>
        <w:t> </w:t>
      </w:r>
      <w:r>
        <w:rPr>
          <w:vertAlign w:val="baseline"/>
        </w:rPr>
        <w:t>chiarezza</w:t>
      </w:r>
      <w:r>
        <w:rPr>
          <w:spacing w:val="-16"/>
          <w:vertAlign w:val="baseline"/>
        </w:rPr>
        <w:t> </w:t>
      </w:r>
      <w:r>
        <w:rPr>
          <w:vertAlign w:val="baseline"/>
        </w:rPr>
        <w:t>del diritto, e di ridurre gli oneri regolatori gravanti su cittadini e imprese nonché di accrescere la competitività del</w:t>
      </w:r>
      <w:r>
        <w:rPr>
          <w:spacing w:val="-6"/>
          <w:vertAlign w:val="baseline"/>
        </w:rPr>
        <w:t> </w:t>
      </w:r>
      <w:r>
        <w:rPr>
          <w:vertAlign w:val="baseline"/>
        </w:rPr>
        <w:t>Paese.</w:t>
      </w:r>
    </w:p>
    <w:p>
      <w:pPr>
        <w:pStyle w:val="BodyText"/>
        <w:spacing w:line="252" w:lineRule="auto"/>
        <w:ind w:left="1128" w:right="1413" w:firstLine="453"/>
        <w:jc w:val="both"/>
      </w:pPr>
      <w:r>
        <w:rPr/>
        <w:t>Il Governo intende dunque orientare la propria azione verso una concreta semplificazione normativa e amministrativa capace di rispondere alla naturale esigenza</w:t>
      </w:r>
      <w:r>
        <w:rPr>
          <w:spacing w:val="23"/>
        </w:rPr>
        <w:t> </w:t>
      </w:r>
      <w:r>
        <w:rPr/>
        <w:t>di</w:t>
      </w:r>
      <w:r>
        <w:rPr>
          <w:spacing w:val="22"/>
        </w:rPr>
        <w:t> </w:t>
      </w:r>
      <w:r>
        <w:rPr/>
        <w:t>cittadini</w:t>
      </w:r>
      <w:r>
        <w:rPr>
          <w:spacing w:val="22"/>
        </w:rPr>
        <w:t> </w:t>
      </w:r>
      <w:r>
        <w:rPr/>
        <w:t>e</w:t>
      </w:r>
      <w:r>
        <w:rPr>
          <w:spacing w:val="23"/>
        </w:rPr>
        <w:t> </w:t>
      </w:r>
      <w:r>
        <w:rPr/>
        <w:t>imprese</w:t>
      </w:r>
      <w:r>
        <w:rPr>
          <w:spacing w:val="23"/>
        </w:rPr>
        <w:t> </w:t>
      </w:r>
      <w:r>
        <w:rPr/>
        <w:t>di</w:t>
      </w:r>
      <w:r>
        <w:rPr>
          <w:spacing w:val="22"/>
        </w:rPr>
        <w:t> </w:t>
      </w:r>
      <w:r>
        <w:rPr/>
        <w:t>interloquire</w:t>
      </w:r>
      <w:r>
        <w:rPr>
          <w:spacing w:val="23"/>
        </w:rPr>
        <w:t> </w:t>
      </w:r>
      <w:r>
        <w:rPr/>
        <w:t>con</w:t>
      </w:r>
      <w:r>
        <w:rPr>
          <w:spacing w:val="23"/>
        </w:rPr>
        <w:t> </w:t>
      </w:r>
      <w:r>
        <w:rPr/>
        <w:t>una</w:t>
      </w:r>
      <w:r>
        <w:rPr>
          <w:spacing w:val="23"/>
        </w:rPr>
        <w:t> </w:t>
      </w:r>
      <w:r>
        <w:rPr/>
        <w:t>amministrazione</w:t>
      </w:r>
      <w:r>
        <w:rPr>
          <w:spacing w:val="23"/>
        </w:rPr>
        <w:t> </w:t>
      </w:r>
      <w:r>
        <w:rPr/>
        <w:t>pubblica</w:t>
      </w:r>
    </w:p>
    <w:p>
      <w:pPr>
        <w:pStyle w:val="BodyText"/>
        <w:rPr>
          <w:sz w:val="20"/>
        </w:rPr>
      </w:pPr>
    </w:p>
    <w:p>
      <w:pPr>
        <w:pStyle w:val="BodyText"/>
        <w:spacing w:before="8"/>
        <w:rPr>
          <w:sz w:val="17"/>
        </w:rPr>
      </w:pPr>
      <w:r>
        <w:rPr/>
        <w:pict>
          <v:group style="position:absolute;margin-left:136.100006pt;margin-top:12.259229pt;width:21.4pt;height:2.15pt;mso-position-horizontal-relative:page;mso-position-vertical-relative:paragraph;z-index:-251433984;mso-wrap-distance-left:0;mso-wrap-distance-right:0" coordorigin="2722,245" coordsize="428,43">
            <v:line style="position:absolute" from="2722,266" to="3149,266" stroked="true" strokeweight="2.050pt" strokecolor="#aaaaaa">
              <v:stroke dashstyle="solid"/>
            </v:line>
            <v:rect style="position:absolute;left:2722;top:247;width:5;height:5" filled="true" fillcolor="#9f9f9f" stroked="false">
              <v:fill type="solid"/>
            </v:rect>
            <v:rect style="position:absolute;left:2722;top:247;width:5;height:5" filled="true" fillcolor="#9f9f9f" stroked="false">
              <v:fill type="solid"/>
            </v:rect>
            <v:line style="position:absolute" from="2727,250" to="3144,250" stroked="true" strokeweight=".23999pt" strokecolor="#9f9f9f">
              <v:stroke dashstyle="solid"/>
            </v:line>
            <v:rect style="position:absolute;left:3144;top:247;width:5;height:5" filled="true" fillcolor="#e2e2e2" stroked="false">
              <v:fill type="solid"/>
            </v:rect>
            <v:rect style="position:absolute;left:3144;top:247;width:5;height:5" filled="true" fillcolor="#9f9f9f" stroked="false">
              <v:fill type="solid"/>
            </v:rect>
            <v:rect style="position:absolute;left:2722;top:252;width:5;height:32" filled="true" fillcolor="#9f9f9f" stroked="false">
              <v:fill type="solid"/>
            </v:rect>
            <v:rect style="position:absolute;left:3144;top:252;width:5;height:32" filled="true" fillcolor="#e2e2e2" stroked="false">
              <v:fill type="solid"/>
            </v:rect>
            <v:rect style="position:absolute;left:2722;top:283;width:5;height:5" filled="true" fillcolor="#9f9f9f" stroked="false">
              <v:fill type="solid"/>
            </v:rect>
            <v:rect style="position:absolute;left:2722;top:283;width:5;height:5" filled="true" fillcolor="#e2e2e2" stroked="false">
              <v:fill type="solid"/>
            </v:rect>
            <v:line style="position:absolute" from="2727,286" to="3144,286" stroked="true" strokeweight=".23999pt" strokecolor="#e2e2e2">
              <v:stroke dashstyle="solid"/>
            </v:line>
            <v:rect style="position:absolute;left:3144;top:283;width:5;height:5" filled="true" fillcolor="#e2e2e2" stroked="false">
              <v:fill type="solid"/>
            </v:rect>
            <v:rect style="position:absolute;left:3144;top:283;width:5;height:5" filled="true" fillcolor="#e2e2e2" stroked="false">
              <v:fill type="solid"/>
            </v:rect>
            <w10:wrap type="topAndBottom"/>
          </v:group>
        </w:pict>
      </w:r>
    </w:p>
    <w:p>
      <w:pPr>
        <w:spacing w:before="18"/>
        <w:ind w:left="1111" w:right="950" w:firstLine="0"/>
        <w:jc w:val="center"/>
        <w:rPr>
          <w:sz w:val="16"/>
        </w:rPr>
      </w:pPr>
      <w:r>
        <w:rPr>
          <w:position w:val="6"/>
          <w:sz w:val="10"/>
        </w:rPr>
        <w:t>15   </w:t>
      </w:r>
      <w:r>
        <w:rPr>
          <w:sz w:val="16"/>
        </w:rPr>
        <w:t>L.  56/2019  recante ‘Interventi per  la  concretezza  delle  azioni delle  pubbliche  amministrazioni e</w:t>
      </w:r>
      <w:r>
        <w:rPr>
          <w:spacing w:val="22"/>
          <w:sz w:val="16"/>
        </w:rPr>
        <w:t> </w:t>
      </w:r>
      <w:r>
        <w:rPr>
          <w:sz w:val="16"/>
        </w:rPr>
        <w:t>la</w:t>
      </w:r>
    </w:p>
    <w:p>
      <w:pPr>
        <w:spacing w:line="183" w:lineRule="exact" w:before="1"/>
        <w:ind w:left="1111" w:right="7381" w:firstLine="0"/>
        <w:jc w:val="center"/>
        <w:rPr>
          <w:sz w:val="16"/>
        </w:rPr>
      </w:pPr>
      <w:r>
        <w:rPr>
          <w:sz w:val="16"/>
        </w:rPr>
        <w:t>prevenzione dell’assenteismo’.</w:t>
      </w:r>
    </w:p>
    <w:p>
      <w:pPr>
        <w:spacing w:line="187" w:lineRule="exact" w:before="0"/>
        <w:ind w:left="1111" w:right="2852" w:firstLine="0"/>
        <w:jc w:val="center"/>
        <w:rPr>
          <w:sz w:val="16"/>
        </w:rPr>
      </w:pPr>
      <w:r>
        <w:rPr>
          <w:position w:val="6"/>
          <w:sz w:val="10"/>
        </w:rPr>
        <w:t>16 </w:t>
      </w:r>
      <w:r>
        <w:rPr>
          <w:sz w:val="16"/>
        </w:rPr>
        <w:t>Il cui esame è stato avviato presso la I Commissione della Camera dei deputati.</w:t>
      </w:r>
    </w:p>
    <w:p>
      <w:pPr>
        <w:spacing w:after="0" w:line="187" w:lineRule="exact"/>
        <w:jc w:val="center"/>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before="101"/>
        <w:ind w:left="278"/>
      </w:pPr>
      <w:r>
        <w:rPr/>
        <w:t>snella ed efficace, vicina all’utenza e al passo con le innovazioni tecnologiche e</w:t>
      </w:r>
    </w:p>
    <w:p>
      <w:pPr>
        <w:pStyle w:val="BodyText"/>
        <w:spacing w:before="14"/>
        <w:ind w:left="278"/>
      </w:pPr>
      <w:r>
        <w:rPr/>
        <w:t>organizzative.</w:t>
      </w:r>
    </w:p>
    <w:p>
      <w:pPr>
        <w:pStyle w:val="BodyText"/>
        <w:spacing w:line="252" w:lineRule="auto" w:before="13"/>
        <w:ind w:left="278" w:right="2261" w:firstLine="453"/>
        <w:jc w:val="both"/>
      </w:pPr>
      <w:r>
        <w:rPr/>
        <w:t>I miglioramenti della PA rivolgeranno una particolare attenzione al tema dell’inclusione e, in particolare, tutela e partecipazione dei disabili ai processi organizzativi e operativi, venendo incontro alle esigenze non solo dei dipendenti affetti da disabilità ma anche di coloro che hanno carichi di cura familiare.</w:t>
      </w:r>
    </w:p>
    <w:p>
      <w:pPr>
        <w:pStyle w:val="BodyText"/>
        <w:spacing w:before="5"/>
        <w:rPr>
          <w:sz w:val="33"/>
        </w:rPr>
      </w:pPr>
    </w:p>
    <w:p>
      <w:pPr>
        <w:pStyle w:val="Heading3"/>
      </w:pPr>
      <w:r>
        <w:rPr>
          <w:color w:val="585858"/>
        </w:rPr>
        <w:t>Giustizia e lotta alla corruzione - CSR n. 4</w:t>
      </w:r>
    </w:p>
    <w:p>
      <w:pPr>
        <w:spacing w:line="232" w:lineRule="auto" w:before="159"/>
        <w:ind w:left="278" w:right="2263" w:firstLine="0"/>
        <w:jc w:val="both"/>
        <w:rPr>
          <w:rFonts w:ascii="Franklin Gothic Book" w:hAnsi="Franklin Gothic Book"/>
          <w:sz w:val="20"/>
        </w:rPr>
      </w:pPr>
      <w:r>
        <w:rPr/>
        <w:pict>
          <v:line style="position:absolute;mso-position-horizontal-relative:page;mso-position-vertical-relative:paragraph;z-index:-251432960;mso-wrap-distance-left:0;mso-wrap-distance-right:0" from="69.503998pt,79.750084pt" to="483.453998pt,79.750084pt" stroked="true" strokeweight="1.44pt" strokecolor="#006247">
            <v:stroke dashstyle="solid"/>
            <w10:wrap type="topAndBottom"/>
          </v:line>
        </w:pict>
      </w:r>
      <w:r>
        <w:rPr>
          <w:rFonts w:ascii="Franklin Gothic Heavy" w:hAnsi="Franklin Gothic Heavy"/>
          <w:b/>
          <w:color w:val="006247"/>
          <w:sz w:val="20"/>
        </w:rPr>
        <w:t>LINEE PROGRAMMATICHE: </w:t>
      </w:r>
      <w:r>
        <w:rPr>
          <w:rFonts w:ascii="Franklin Gothic Book" w:hAnsi="Franklin Gothic Book"/>
          <w:sz w:val="20"/>
        </w:rPr>
        <w:t>occorre rendere più efficiente il sistema della giustizia con una drastica riduzione dei suoi tempi e accompagnare le riforme processuali con modifiche all’ordinamento giudiziario con finalità di razionalizzazione e miglioramento della trasparenza. È necessario potenziare la lotta alla criminalità organizzata e il contrasto all’evasione fiscale. Infine andrà sostenuto l’avanzamento delle politiche di digitalizzazione nonché lo sviluppo infrastrutturale dell’amministrazione giudiziaria.</w:t>
      </w:r>
    </w:p>
    <w:p>
      <w:pPr>
        <w:pStyle w:val="BodyText"/>
        <w:spacing w:before="6"/>
        <w:rPr>
          <w:rFonts w:ascii="Franklin Gothic Book"/>
          <w:sz w:val="11"/>
        </w:rPr>
      </w:pPr>
    </w:p>
    <w:p>
      <w:pPr>
        <w:pStyle w:val="BodyText"/>
        <w:spacing w:line="249" w:lineRule="auto" w:before="101"/>
        <w:ind w:left="278" w:right="2263" w:firstLine="453"/>
        <w:jc w:val="both"/>
      </w:pPr>
      <w:r>
        <w:rPr/>
        <w:t>Il Governo è impegnato a definire misure per riformare il sistema giudiziario, con particolare riguardo alla giustizia civile, penale e tributaria, nella convinzione che un sistema economico moderno richieda un sistema giuridico chiaro e stabile.</w:t>
      </w:r>
    </w:p>
    <w:p>
      <w:pPr>
        <w:pStyle w:val="BodyText"/>
        <w:spacing w:line="249" w:lineRule="auto" w:before="2"/>
        <w:ind w:left="278" w:right="2261" w:firstLine="453"/>
        <w:jc w:val="both"/>
      </w:pPr>
      <w:r>
        <w:rPr/>
        <w:t>La riduzione dei procedimenti civili pendenti, complessivamente intesi (civili, esecuzioni e fallimenti) è proseguita anche nel 2019 ma è necessario continuare a migliorare l’efficienza della giustizia. A tal fine verrà predisposta una riforma integrata della giustizia per renderla più efficiente ed efficace, avendo come obiettivo prioritario la riduzione della durata dei processi.</w:t>
      </w:r>
    </w:p>
    <w:p>
      <w:pPr>
        <w:pStyle w:val="BodyText"/>
        <w:spacing w:line="249" w:lineRule="auto" w:before="1"/>
        <w:ind w:left="278" w:right="2263" w:firstLine="453"/>
        <w:jc w:val="both"/>
      </w:pPr>
      <w:r>
        <w:rPr/>
        <w:t>La</w:t>
      </w:r>
      <w:r>
        <w:rPr>
          <w:spacing w:val="-9"/>
        </w:rPr>
        <w:t> </w:t>
      </w:r>
      <w:r>
        <w:rPr/>
        <w:t>proposta</w:t>
      </w:r>
      <w:r>
        <w:rPr>
          <w:spacing w:val="-9"/>
        </w:rPr>
        <w:t> </w:t>
      </w:r>
      <w:r>
        <w:rPr/>
        <w:t>di</w:t>
      </w:r>
      <w:r>
        <w:rPr>
          <w:spacing w:val="-9"/>
        </w:rPr>
        <w:t> </w:t>
      </w:r>
      <w:r>
        <w:rPr/>
        <w:t>riforma</w:t>
      </w:r>
      <w:r>
        <w:rPr>
          <w:spacing w:val="-10"/>
        </w:rPr>
        <w:t> </w:t>
      </w:r>
      <w:r>
        <w:rPr/>
        <w:t>del</w:t>
      </w:r>
      <w:r>
        <w:rPr>
          <w:spacing w:val="-8"/>
        </w:rPr>
        <w:t> </w:t>
      </w:r>
      <w:r>
        <w:rPr/>
        <w:t>rito</w:t>
      </w:r>
      <w:r>
        <w:rPr>
          <w:spacing w:val="-10"/>
        </w:rPr>
        <w:t> </w:t>
      </w:r>
      <w:r>
        <w:rPr/>
        <w:t>civile</w:t>
      </w:r>
      <w:r>
        <w:rPr>
          <w:spacing w:val="-9"/>
        </w:rPr>
        <w:t> </w:t>
      </w:r>
      <w:r>
        <w:rPr/>
        <w:t>punta</w:t>
      </w:r>
      <w:r>
        <w:rPr>
          <w:spacing w:val="-8"/>
        </w:rPr>
        <w:t> </w:t>
      </w:r>
      <w:r>
        <w:rPr/>
        <w:t>ad</w:t>
      </w:r>
      <w:r>
        <w:rPr>
          <w:spacing w:val="-9"/>
        </w:rPr>
        <w:t> </w:t>
      </w:r>
      <w:r>
        <w:rPr/>
        <w:t>una</w:t>
      </w:r>
      <w:r>
        <w:rPr>
          <w:spacing w:val="-8"/>
        </w:rPr>
        <w:t> </w:t>
      </w:r>
      <w:r>
        <w:rPr/>
        <w:t>semplificazione</w:t>
      </w:r>
      <w:r>
        <w:rPr>
          <w:spacing w:val="-10"/>
        </w:rPr>
        <w:t> </w:t>
      </w:r>
      <w:r>
        <w:rPr/>
        <w:t>del</w:t>
      </w:r>
      <w:r>
        <w:rPr>
          <w:spacing w:val="-9"/>
        </w:rPr>
        <w:t> </w:t>
      </w:r>
      <w:r>
        <w:rPr/>
        <w:t>processo civile monocratico prevedendo un rito unico semplificato destinato a costituire un modello unitario anche per i giudizi avanti al giudice di pace e destinato ad applicarsi, quantomeno per le fasi introduttiva e decisoria, anche per le cause di competenza del Tribunale in composizione collegiale e per il giudizio d’Appello. L’intervento di riforma interessa anche gli istituti della mediazione obbligatoria e della</w:t>
      </w:r>
      <w:r>
        <w:rPr>
          <w:spacing w:val="-7"/>
        </w:rPr>
        <w:t> </w:t>
      </w:r>
      <w:r>
        <w:rPr/>
        <w:t>negoziazione</w:t>
      </w:r>
      <w:r>
        <w:rPr>
          <w:spacing w:val="-7"/>
        </w:rPr>
        <w:t> </w:t>
      </w:r>
      <w:r>
        <w:rPr/>
        <w:t>assistita</w:t>
      </w:r>
      <w:r>
        <w:rPr>
          <w:vertAlign w:val="superscript"/>
        </w:rPr>
        <w:t>17</w:t>
      </w:r>
      <w:r>
        <w:rPr>
          <w:spacing w:val="-6"/>
          <w:vertAlign w:val="baseline"/>
        </w:rPr>
        <w:t> </w:t>
      </w:r>
      <w:r>
        <w:rPr>
          <w:vertAlign w:val="baseline"/>
        </w:rPr>
        <w:t>oltre</w:t>
      </w:r>
      <w:r>
        <w:rPr>
          <w:spacing w:val="-6"/>
          <w:vertAlign w:val="baseline"/>
        </w:rPr>
        <w:t> </w:t>
      </w:r>
      <w:r>
        <w:rPr>
          <w:vertAlign w:val="baseline"/>
        </w:rPr>
        <w:t>alla</w:t>
      </w:r>
      <w:r>
        <w:rPr>
          <w:spacing w:val="-6"/>
          <w:vertAlign w:val="baseline"/>
        </w:rPr>
        <w:t> </w:t>
      </w:r>
      <w:r>
        <w:rPr>
          <w:vertAlign w:val="baseline"/>
        </w:rPr>
        <w:t>disciplina</w:t>
      </w:r>
      <w:r>
        <w:rPr>
          <w:spacing w:val="-7"/>
          <w:vertAlign w:val="baseline"/>
        </w:rPr>
        <w:t> </w:t>
      </w:r>
      <w:r>
        <w:rPr>
          <w:vertAlign w:val="baseline"/>
        </w:rPr>
        <w:t>del</w:t>
      </w:r>
      <w:r>
        <w:rPr>
          <w:spacing w:val="-6"/>
          <w:vertAlign w:val="baseline"/>
        </w:rPr>
        <w:t> </w:t>
      </w:r>
      <w:r>
        <w:rPr>
          <w:vertAlign w:val="baseline"/>
        </w:rPr>
        <w:t>procedimento</w:t>
      </w:r>
      <w:r>
        <w:rPr>
          <w:spacing w:val="-7"/>
          <w:vertAlign w:val="baseline"/>
        </w:rPr>
        <w:t> </w:t>
      </w:r>
      <w:r>
        <w:rPr>
          <w:vertAlign w:val="baseline"/>
        </w:rPr>
        <w:t>notificatorio,</w:t>
      </w:r>
      <w:r>
        <w:rPr>
          <w:spacing w:val="-5"/>
          <w:vertAlign w:val="baseline"/>
        </w:rPr>
        <w:t> </w:t>
      </w:r>
      <w:r>
        <w:rPr>
          <w:vertAlign w:val="baseline"/>
        </w:rPr>
        <w:t>al fine di semplificarlo e</w:t>
      </w:r>
      <w:r>
        <w:rPr>
          <w:spacing w:val="-3"/>
          <w:vertAlign w:val="baseline"/>
        </w:rPr>
        <w:t> </w:t>
      </w:r>
      <w:r>
        <w:rPr>
          <w:vertAlign w:val="baseline"/>
        </w:rPr>
        <w:t>accelerarlo</w:t>
      </w:r>
      <w:r>
        <w:rPr>
          <w:vertAlign w:val="superscript"/>
        </w:rPr>
        <w:t>18</w:t>
      </w:r>
      <w:r>
        <w:rPr>
          <w:vertAlign w:val="baseline"/>
        </w:rPr>
        <w:t>.</w:t>
      </w:r>
    </w:p>
    <w:p>
      <w:pPr>
        <w:pStyle w:val="BodyText"/>
        <w:spacing w:line="249" w:lineRule="auto" w:before="4"/>
        <w:ind w:left="278" w:right="2261" w:firstLine="453"/>
        <w:jc w:val="both"/>
      </w:pPr>
      <w:r>
        <w:rPr/>
        <w:t>Parallelamente la proposta di riforma della disciplina del processo penale persegue l’obiettivo di assicurare la ragionevole durata del processo e recuperare l’efficienza</w:t>
      </w:r>
      <w:r>
        <w:rPr>
          <w:spacing w:val="-14"/>
        </w:rPr>
        <w:t> </w:t>
      </w:r>
      <w:r>
        <w:rPr/>
        <w:t>dell’intero</w:t>
      </w:r>
      <w:r>
        <w:rPr>
          <w:spacing w:val="-11"/>
        </w:rPr>
        <w:t> </w:t>
      </w:r>
      <w:r>
        <w:rPr/>
        <w:t>sistema,</w:t>
      </w:r>
      <w:r>
        <w:rPr>
          <w:spacing w:val="-9"/>
        </w:rPr>
        <w:t> </w:t>
      </w:r>
      <w:r>
        <w:rPr/>
        <w:t>nel</w:t>
      </w:r>
      <w:r>
        <w:rPr>
          <w:spacing w:val="-11"/>
        </w:rPr>
        <w:t> </w:t>
      </w:r>
      <w:r>
        <w:rPr/>
        <w:t>rispetto</w:t>
      </w:r>
      <w:r>
        <w:rPr>
          <w:spacing w:val="-11"/>
        </w:rPr>
        <w:t> </w:t>
      </w:r>
      <w:r>
        <w:rPr/>
        <w:t>delle</w:t>
      </w:r>
      <w:r>
        <w:rPr>
          <w:spacing w:val="-12"/>
        </w:rPr>
        <w:t> </w:t>
      </w:r>
      <w:r>
        <w:rPr/>
        <w:t>regole</w:t>
      </w:r>
      <w:r>
        <w:rPr>
          <w:spacing w:val="-10"/>
        </w:rPr>
        <w:t> </w:t>
      </w:r>
      <w:r>
        <w:rPr/>
        <w:t>del</w:t>
      </w:r>
      <w:r>
        <w:rPr>
          <w:spacing w:val="-13"/>
        </w:rPr>
        <w:t> </w:t>
      </w:r>
      <w:r>
        <w:rPr/>
        <w:t>‘giusto</w:t>
      </w:r>
      <w:r>
        <w:rPr>
          <w:spacing w:val="-11"/>
        </w:rPr>
        <w:t> </w:t>
      </w:r>
      <w:r>
        <w:rPr/>
        <w:t>processo’.</w:t>
      </w:r>
      <w:r>
        <w:rPr>
          <w:spacing w:val="-9"/>
        </w:rPr>
        <w:t> </w:t>
      </w:r>
      <w:r>
        <w:rPr/>
        <w:t>Sono previsti interventi in grado di calmierare il carico giudiziario, attraverso la riattivazione</w:t>
      </w:r>
      <w:r>
        <w:rPr>
          <w:spacing w:val="-11"/>
        </w:rPr>
        <w:t> </w:t>
      </w:r>
      <w:r>
        <w:rPr/>
        <w:t>o</w:t>
      </w:r>
      <w:r>
        <w:rPr>
          <w:spacing w:val="-11"/>
        </w:rPr>
        <w:t> </w:t>
      </w:r>
      <w:r>
        <w:rPr/>
        <w:t>la</w:t>
      </w:r>
      <w:r>
        <w:rPr>
          <w:spacing w:val="-11"/>
        </w:rPr>
        <w:t> </w:t>
      </w:r>
      <w:r>
        <w:rPr/>
        <w:t>rimodulazione</w:t>
      </w:r>
      <w:r>
        <w:rPr>
          <w:spacing w:val="-11"/>
        </w:rPr>
        <w:t> </w:t>
      </w:r>
      <w:r>
        <w:rPr/>
        <w:t>di</w:t>
      </w:r>
      <w:r>
        <w:rPr>
          <w:spacing w:val="-10"/>
        </w:rPr>
        <w:t> </w:t>
      </w:r>
      <w:r>
        <w:rPr/>
        <w:t>meccanismi</w:t>
      </w:r>
      <w:r>
        <w:rPr>
          <w:spacing w:val="-10"/>
        </w:rPr>
        <w:t> </w:t>
      </w:r>
      <w:r>
        <w:rPr/>
        <w:t>processuali</w:t>
      </w:r>
      <w:r>
        <w:rPr>
          <w:spacing w:val="-11"/>
        </w:rPr>
        <w:t> </w:t>
      </w:r>
      <w:r>
        <w:rPr/>
        <w:t>deflattivi</w:t>
      </w:r>
      <w:r>
        <w:rPr>
          <w:spacing w:val="-10"/>
        </w:rPr>
        <w:t> </w:t>
      </w:r>
      <w:r>
        <w:rPr/>
        <w:t>e</w:t>
      </w:r>
      <w:r>
        <w:rPr>
          <w:spacing w:val="-10"/>
        </w:rPr>
        <w:t> </w:t>
      </w:r>
      <w:r>
        <w:rPr/>
        <w:t>l’adozione</w:t>
      </w:r>
      <w:r>
        <w:rPr>
          <w:spacing w:val="-10"/>
        </w:rPr>
        <w:t> </w:t>
      </w:r>
      <w:r>
        <w:rPr/>
        <w:t>di misure che consentano di semplificare e velocizzare il procedimento</w:t>
      </w:r>
      <w:r>
        <w:rPr>
          <w:spacing w:val="-23"/>
        </w:rPr>
        <w:t> </w:t>
      </w:r>
      <w:r>
        <w:rPr/>
        <w:t>penale</w:t>
      </w:r>
      <w:r>
        <w:rPr>
          <w:vertAlign w:val="superscript"/>
        </w:rPr>
        <w:t>19</w:t>
      </w:r>
      <w:r>
        <w:rPr>
          <w:vertAlign w:val="baseline"/>
        </w:rPr>
        <w:t>.</w:t>
      </w:r>
    </w:p>
    <w:p>
      <w:pPr>
        <w:pStyle w:val="BodyText"/>
        <w:rPr>
          <w:sz w:val="20"/>
        </w:rPr>
      </w:pPr>
    </w:p>
    <w:p>
      <w:pPr>
        <w:pStyle w:val="BodyText"/>
        <w:spacing w:before="1"/>
        <w:rPr>
          <w:sz w:val="27"/>
        </w:rPr>
      </w:pPr>
      <w:r>
        <w:rPr/>
        <w:pict>
          <v:group style="position:absolute;margin-left:93.599998pt;margin-top:17.708925pt;width:21.4pt;height:2.15pt;mso-position-horizontal-relative:page;mso-position-vertical-relative:paragraph;z-index:-251431936;mso-wrap-distance-left:0;mso-wrap-distance-right:0" coordorigin="1872,354" coordsize="428,43">
            <v:line style="position:absolute" from="1872,375" to="2299,375" stroked="true" strokeweight="2.050pt" strokecolor="#aaaaaa">
              <v:stroke dashstyle="solid"/>
            </v:line>
            <v:rect style="position:absolute;left:1872;top:355;width:5;height:5" filled="true" fillcolor="#9f9f9f" stroked="false">
              <v:fill type="solid"/>
            </v:rect>
            <v:rect style="position:absolute;left:1872;top:355;width:5;height:5" filled="true" fillcolor="#9f9f9f" stroked="false">
              <v:fill type="solid"/>
            </v:rect>
            <v:line style="position:absolute" from="1877,358" to="2295,358" stroked="true" strokeweight=".23999pt" strokecolor="#9f9f9f">
              <v:stroke dashstyle="solid"/>
            </v:line>
            <v:rect style="position:absolute;left:2294;top:355;width:5;height:5" filled="true" fillcolor="#e2e2e2" stroked="false">
              <v:fill type="solid"/>
            </v:rect>
            <v:rect style="position:absolute;left:2294;top:355;width:5;height:5" filled="true" fillcolor="#9f9f9f" stroked="false">
              <v:fill type="solid"/>
            </v:rect>
            <v:rect style="position:absolute;left:1872;top:360;width:5;height:32" filled="true" fillcolor="#9f9f9f" stroked="false">
              <v:fill type="solid"/>
            </v:rect>
            <v:rect style="position:absolute;left:2294;top:360;width:5;height:32" filled="true" fillcolor="#e2e2e2" stroked="false">
              <v:fill type="solid"/>
            </v:rect>
            <v:rect style="position:absolute;left:1872;top:391;width:5;height:5" filled="true" fillcolor="#9f9f9f" stroked="false">
              <v:fill type="solid"/>
            </v:rect>
            <v:rect style="position:absolute;left:1872;top:391;width:5;height:5" filled="true" fillcolor="#e2e2e2" stroked="false">
              <v:fill type="solid"/>
            </v:rect>
            <v:line style="position:absolute" from="1877,394" to="2295,394" stroked="true" strokeweight=".23999pt" strokecolor="#e2e2e2">
              <v:stroke dashstyle="solid"/>
            </v:line>
            <v:rect style="position:absolute;left:2294;top:391;width:5;height:5" filled="true" fillcolor="#e2e2e2" stroked="false">
              <v:fill type="solid"/>
            </v:rect>
            <v:rect style="position:absolute;left:2294;top:391;width:5;height:5" filled="true" fillcolor="#e2e2e2" stroked="false">
              <v:fill type="solid"/>
            </v:rect>
            <w10:wrap type="topAndBottom"/>
          </v:group>
        </w:pict>
      </w:r>
    </w:p>
    <w:p>
      <w:pPr>
        <w:spacing w:line="240" w:lineRule="auto" w:before="20"/>
        <w:ind w:left="278" w:right="2264" w:firstLine="453"/>
        <w:jc w:val="both"/>
        <w:rPr>
          <w:sz w:val="16"/>
        </w:rPr>
      </w:pPr>
      <w:r>
        <w:rPr>
          <w:position w:val="6"/>
          <w:sz w:val="10"/>
        </w:rPr>
        <w:t>17</w:t>
      </w:r>
      <w:r>
        <w:rPr>
          <w:spacing w:val="12"/>
          <w:position w:val="6"/>
          <w:sz w:val="10"/>
        </w:rPr>
        <w:t> </w:t>
      </w:r>
      <w:r>
        <w:rPr>
          <w:sz w:val="16"/>
        </w:rPr>
        <w:t>Quanto</w:t>
      </w:r>
      <w:r>
        <w:rPr>
          <w:spacing w:val="-6"/>
          <w:sz w:val="16"/>
        </w:rPr>
        <w:t> </w:t>
      </w:r>
      <w:r>
        <w:rPr>
          <w:sz w:val="16"/>
        </w:rPr>
        <w:t>alla</w:t>
      </w:r>
      <w:r>
        <w:rPr>
          <w:spacing w:val="-6"/>
          <w:sz w:val="16"/>
        </w:rPr>
        <w:t> </w:t>
      </w:r>
      <w:r>
        <w:rPr>
          <w:sz w:val="16"/>
        </w:rPr>
        <w:t>mediazione</w:t>
      </w:r>
      <w:r>
        <w:rPr>
          <w:spacing w:val="-8"/>
          <w:sz w:val="16"/>
        </w:rPr>
        <w:t> </w:t>
      </w:r>
      <w:r>
        <w:rPr>
          <w:sz w:val="16"/>
        </w:rPr>
        <w:t>obbligatoria,</w:t>
      </w:r>
      <w:r>
        <w:rPr>
          <w:spacing w:val="-4"/>
          <w:sz w:val="16"/>
        </w:rPr>
        <w:t> </w:t>
      </w:r>
      <w:r>
        <w:rPr>
          <w:sz w:val="16"/>
        </w:rPr>
        <w:t>l’obiettivo</w:t>
      </w:r>
      <w:r>
        <w:rPr>
          <w:spacing w:val="-6"/>
          <w:sz w:val="16"/>
        </w:rPr>
        <w:t> </w:t>
      </w:r>
      <w:r>
        <w:rPr>
          <w:sz w:val="16"/>
        </w:rPr>
        <w:t>è</w:t>
      </w:r>
      <w:r>
        <w:rPr>
          <w:spacing w:val="-7"/>
          <w:sz w:val="16"/>
        </w:rPr>
        <w:t> </w:t>
      </w:r>
      <w:r>
        <w:rPr>
          <w:sz w:val="16"/>
        </w:rPr>
        <w:t>di</w:t>
      </w:r>
      <w:r>
        <w:rPr>
          <w:spacing w:val="-5"/>
          <w:sz w:val="16"/>
        </w:rPr>
        <w:t> </w:t>
      </w:r>
      <w:r>
        <w:rPr>
          <w:sz w:val="16"/>
        </w:rPr>
        <w:t>mantenerla</w:t>
      </w:r>
      <w:r>
        <w:rPr>
          <w:spacing w:val="-6"/>
          <w:sz w:val="16"/>
        </w:rPr>
        <w:t> </w:t>
      </w:r>
      <w:r>
        <w:rPr>
          <w:sz w:val="16"/>
        </w:rPr>
        <w:t>come</w:t>
      </w:r>
      <w:r>
        <w:rPr>
          <w:spacing w:val="-5"/>
          <w:sz w:val="16"/>
        </w:rPr>
        <w:t> </w:t>
      </w:r>
      <w:r>
        <w:rPr>
          <w:sz w:val="16"/>
        </w:rPr>
        <w:t>condizione</w:t>
      </w:r>
      <w:r>
        <w:rPr>
          <w:spacing w:val="-4"/>
          <w:sz w:val="16"/>
        </w:rPr>
        <w:t> </w:t>
      </w:r>
      <w:r>
        <w:rPr>
          <w:sz w:val="16"/>
        </w:rPr>
        <w:t>di</w:t>
      </w:r>
      <w:r>
        <w:rPr>
          <w:spacing w:val="-6"/>
          <w:sz w:val="16"/>
        </w:rPr>
        <w:t> </w:t>
      </w:r>
      <w:r>
        <w:rPr>
          <w:sz w:val="16"/>
        </w:rPr>
        <w:t>procedibilità</w:t>
      </w:r>
      <w:r>
        <w:rPr>
          <w:spacing w:val="-7"/>
          <w:sz w:val="16"/>
        </w:rPr>
        <w:t> </w:t>
      </w:r>
      <w:r>
        <w:rPr>
          <w:sz w:val="16"/>
        </w:rPr>
        <w:t>solo</w:t>
      </w:r>
      <w:r>
        <w:rPr>
          <w:spacing w:val="-5"/>
          <w:sz w:val="16"/>
        </w:rPr>
        <w:t> </w:t>
      </w:r>
      <w:r>
        <w:rPr>
          <w:sz w:val="16"/>
        </w:rPr>
        <w:t>nei settori in cui si è dimostrata efficace, come ad esempio i patti di famiglia, i diritti reali, l’affitto d’azienda, le controversie in materia successoria. Quanto alla negoziazione assistita, invece, si prevede che la relativa convenzione</w:t>
      </w:r>
      <w:r>
        <w:rPr>
          <w:spacing w:val="-8"/>
          <w:sz w:val="16"/>
        </w:rPr>
        <w:t> </w:t>
      </w:r>
      <w:r>
        <w:rPr>
          <w:sz w:val="16"/>
        </w:rPr>
        <w:t>possa</w:t>
      </w:r>
      <w:r>
        <w:rPr>
          <w:spacing w:val="-9"/>
          <w:sz w:val="16"/>
        </w:rPr>
        <w:t> </w:t>
      </w:r>
      <w:r>
        <w:rPr>
          <w:sz w:val="16"/>
        </w:rPr>
        <w:t>comprendere</w:t>
      </w:r>
      <w:r>
        <w:rPr>
          <w:spacing w:val="-7"/>
          <w:sz w:val="16"/>
        </w:rPr>
        <w:t> </w:t>
      </w:r>
      <w:r>
        <w:rPr>
          <w:sz w:val="16"/>
        </w:rPr>
        <w:t>lo</w:t>
      </w:r>
      <w:r>
        <w:rPr>
          <w:spacing w:val="-8"/>
          <w:sz w:val="16"/>
        </w:rPr>
        <w:t> </w:t>
      </w:r>
      <w:r>
        <w:rPr>
          <w:sz w:val="16"/>
        </w:rPr>
        <w:t>svolgimento</w:t>
      </w:r>
      <w:r>
        <w:rPr>
          <w:spacing w:val="-8"/>
          <w:sz w:val="16"/>
        </w:rPr>
        <w:t> </w:t>
      </w:r>
      <w:r>
        <w:rPr>
          <w:sz w:val="16"/>
        </w:rPr>
        <w:t>di</w:t>
      </w:r>
      <w:r>
        <w:rPr>
          <w:spacing w:val="-8"/>
          <w:sz w:val="16"/>
        </w:rPr>
        <w:t> </w:t>
      </w:r>
      <w:r>
        <w:rPr>
          <w:sz w:val="16"/>
        </w:rPr>
        <w:t>attività</w:t>
      </w:r>
      <w:r>
        <w:rPr>
          <w:spacing w:val="-9"/>
          <w:sz w:val="16"/>
        </w:rPr>
        <w:t> </w:t>
      </w:r>
      <w:r>
        <w:rPr>
          <w:sz w:val="16"/>
        </w:rPr>
        <w:t>istruttoria</w:t>
      </w:r>
      <w:r>
        <w:rPr>
          <w:spacing w:val="-8"/>
          <w:sz w:val="16"/>
        </w:rPr>
        <w:t> </w:t>
      </w:r>
      <w:r>
        <w:rPr>
          <w:sz w:val="16"/>
        </w:rPr>
        <w:t>stragiudiziaria,</w:t>
      </w:r>
      <w:r>
        <w:rPr>
          <w:spacing w:val="-8"/>
          <w:sz w:val="16"/>
        </w:rPr>
        <w:t> </w:t>
      </w:r>
      <w:r>
        <w:rPr>
          <w:sz w:val="16"/>
        </w:rPr>
        <w:t>con</w:t>
      </w:r>
      <w:r>
        <w:rPr>
          <w:spacing w:val="-8"/>
          <w:sz w:val="16"/>
        </w:rPr>
        <w:t> </w:t>
      </w:r>
      <w:r>
        <w:rPr>
          <w:sz w:val="16"/>
        </w:rPr>
        <w:t>l’obiettivo</w:t>
      </w:r>
      <w:r>
        <w:rPr>
          <w:spacing w:val="-7"/>
          <w:sz w:val="16"/>
        </w:rPr>
        <w:t> </w:t>
      </w:r>
      <w:r>
        <w:rPr>
          <w:sz w:val="16"/>
        </w:rPr>
        <w:t>di</w:t>
      </w:r>
      <w:r>
        <w:rPr>
          <w:spacing w:val="-9"/>
          <w:sz w:val="16"/>
        </w:rPr>
        <w:t> </w:t>
      </w:r>
      <w:r>
        <w:rPr>
          <w:sz w:val="16"/>
        </w:rPr>
        <w:t>favorire</w:t>
      </w:r>
      <w:r>
        <w:rPr>
          <w:spacing w:val="-9"/>
          <w:sz w:val="16"/>
        </w:rPr>
        <w:t> </w:t>
      </w:r>
      <w:r>
        <w:rPr>
          <w:sz w:val="16"/>
        </w:rPr>
        <w:t>una soluzione conciliativa della lite e, in caso contrario, di precostituire materiale probatorio, soggetto alla libera valutazione del giudice della successiva causa, con possibili ricadute positive sulla durata di</w:t>
      </w:r>
      <w:r>
        <w:rPr>
          <w:spacing w:val="-29"/>
          <w:sz w:val="16"/>
        </w:rPr>
        <w:t> </w:t>
      </w:r>
      <w:r>
        <w:rPr>
          <w:sz w:val="16"/>
        </w:rPr>
        <w:t>quest’ultime.</w:t>
      </w:r>
    </w:p>
    <w:p>
      <w:pPr>
        <w:spacing w:line="240" w:lineRule="auto" w:before="0"/>
        <w:ind w:left="278" w:right="2266" w:firstLine="453"/>
        <w:jc w:val="both"/>
        <w:rPr>
          <w:sz w:val="16"/>
        </w:rPr>
      </w:pPr>
      <w:r>
        <w:rPr>
          <w:position w:val="6"/>
          <w:sz w:val="10"/>
        </w:rPr>
        <w:t>18 </w:t>
      </w:r>
      <w:r>
        <w:rPr>
          <w:sz w:val="16"/>
        </w:rPr>
        <w:t>Si intende valorizzare il principio di responsabilità, che impone ai soggetti obbligati a munirsi di un domicilio digitale di verificarne costantemente il buon funzionamento e di consultarlo con regolarità ed incentivazione dell’utilizzo di strumenti informatici e di più avanzate tecnologie.</w:t>
      </w:r>
    </w:p>
    <w:p>
      <w:pPr>
        <w:spacing w:line="240" w:lineRule="auto" w:before="0"/>
        <w:ind w:left="278" w:right="2268" w:firstLine="453"/>
        <w:jc w:val="both"/>
        <w:rPr>
          <w:sz w:val="16"/>
        </w:rPr>
      </w:pPr>
      <w:r>
        <w:rPr>
          <w:position w:val="6"/>
          <w:sz w:val="10"/>
        </w:rPr>
        <w:t>19</w:t>
      </w:r>
      <w:r>
        <w:rPr>
          <w:spacing w:val="12"/>
          <w:position w:val="6"/>
          <w:sz w:val="10"/>
        </w:rPr>
        <w:t> </w:t>
      </w:r>
      <w:r>
        <w:rPr>
          <w:sz w:val="16"/>
        </w:rPr>
        <w:t>In</w:t>
      </w:r>
      <w:r>
        <w:rPr>
          <w:spacing w:val="-4"/>
          <w:sz w:val="16"/>
        </w:rPr>
        <w:t> </w:t>
      </w:r>
      <w:r>
        <w:rPr>
          <w:sz w:val="16"/>
        </w:rPr>
        <w:t>particolare</w:t>
      </w:r>
      <w:r>
        <w:rPr>
          <w:spacing w:val="-4"/>
          <w:sz w:val="16"/>
        </w:rPr>
        <w:t> </w:t>
      </w:r>
      <w:r>
        <w:rPr>
          <w:sz w:val="16"/>
        </w:rPr>
        <w:t>si</w:t>
      </w:r>
      <w:r>
        <w:rPr>
          <w:spacing w:val="-6"/>
          <w:sz w:val="16"/>
        </w:rPr>
        <w:t> </w:t>
      </w:r>
      <w:r>
        <w:rPr>
          <w:sz w:val="16"/>
        </w:rPr>
        <w:t>valuta</w:t>
      </w:r>
      <w:r>
        <w:rPr>
          <w:spacing w:val="-6"/>
          <w:sz w:val="16"/>
        </w:rPr>
        <w:t> </w:t>
      </w:r>
      <w:r>
        <w:rPr>
          <w:sz w:val="16"/>
        </w:rPr>
        <w:t>la</w:t>
      </w:r>
      <w:r>
        <w:rPr>
          <w:spacing w:val="-6"/>
          <w:sz w:val="16"/>
        </w:rPr>
        <w:t> </w:t>
      </w:r>
      <w:r>
        <w:rPr>
          <w:sz w:val="16"/>
        </w:rPr>
        <w:t>necessità</w:t>
      </w:r>
      <w:r>
        <w:rPr>
          <w:spacing w:val="-6"/>
          <w:sz w:val="16"/>
        </w:rPr>
        <w:t> </w:t>
      </w:r>
      <w:r>
        <w:rPr>
          <w:sz w:val="16"/>
        </w:rPr>
        <w:t>di</w:t>
      </w:r>
      <w:r>
        <w:rPr>
          <w:spacing w:val="-6"/>
          <w:sz w:val="16"/>
        </w:rPr>
        <w:t> </w:t>
      </w:r>
      <w:r>
        <w:rPr>
          <w:sz w:val="16"/>
        </w:rPr>
        <w:t>introdurre</w:t>
      </w:r>
      <w:r>
        <w:rPr>
          <w:spacing w:val="-4"/>
          <w:sz w:val="16"/>
        </w:rPr>
        <w:t> </w:t>
      </w:r>
      <w:r>
        <w:rPr>
          <w:sz w:val="16"/>
        </w:rPr>
        <w:t>alcuni</w:t>
      </w:r>
      <w:r>
        <w:rPr>
          <w:spacing w:val="-5"/>
          <w:sz w:val="16"/>
        </w:rPr>
        <w:t> </w:t>
      </w:r>
      <w:r>
        <w:rPr>
          <w:sz w:val="16"/>
        </w:rPr>
        <w:t>correttivi</w:t>
      </w:r>
      <w:r>
        <w:rPr>
          <w:spacing w:val="-6"/>
          <w:sz w:val="16"/>
        </w:rPr>
        <w:t> </w:t>
      </w:r>
      <w:r>
        <w:rPr>
          <w:sz w:val="16"/>
        </w:rPr>
        <w:t>quali:</w:t>
      </w:r>
      <w:r>
        <w:rPr>
          <w:spacing w:val="-7"/>
          <w:sz w:val="16"/>
        </w:rPr>
        <w:t> </w:t>
      </w:r>
      <w:r>
        <w:rPr>
          <w:sz w:val="16"/>
        </w:rPr>
        <w:t>misure</w:t>
      </w:r>
      <w:r>
        <w:rPr>
          <w:spacing w:val="-4"/>
          <w:sz w:val="16"/>
        </w:rPr>
        <w:t> </w:t>
      </w:r>
      <w:r>
        <w:rPr>
          <w:sz w:val="16"/>
        </w:rPr>
        <w:t>per</w:t>
      </w:r>
      <w:r>
        <w:rPr>
          <w:spacing w:val="-5"/>
          <w:sz w:val="16"/>
        </w:rPr>
        <w:t> </w:t>
      </w:r>
      <w:r>
        <w:rPr>
          <w:sz w:val="16"/>
        </w:rPr>
        <w:t>razionalizzare,</w:t>
      </w:r>
      <w:r>
        <w:rPr>
          <w:spacing w:val="-5"/>
          <w:sz w:val="16"/>
        </w:rPr>
        <w:t> </w:t>
      </w:r>
      <w:r>
        <w:rPr>
          <w:sz w:val="16"/>
        </w:rPr>
        <w:t>snellire e accelerare il procedimento penale, nel rispetto dei diritti della difesa e della struttura dialettica del metodo di conoscenza</w:t>
      </w:r>
      <w:r>
        <w:rPr>
          <w:spacing w:val="25"/>
          <w:sz w:val="16"/>
        </w:rPr>
        <w:t> </w:t>
      </w:r>
      <w:r>
        <w:rPr>
          <w:sz w:val="16"/>
        </w:rPr>
        <w:t>giudiziaria,</w:t>
      </w:r>
      <w:r>
        <w:rPr>
          <w:spacing w:val="25"/>
          <w:sz w:val="16"/>
        </w:rPr>
        <w:t> </w:t>
      </w:r>
      <w:r>
        <w:rPr>
          <w:sz w:val="16"/>
        </w:rPr>
        <w:t>attraverso</w:t>
      </w:r>
      <w:r>
        <w:rPr>
          <w:spacing w:val="26"/>
          <w:sz w:val="16"/>
        </w:rPr>
        <w:t> </w:t>
      </w:r>
      <w:r>
        <w:rPr>
          <w:sz w:val="16"/>
        </w:rPr>
        <w:t>l’introduzione</w:t>
      </w:r>
      <w:r>
        <w:rPr>
          <w:spacing w:val="26"/>
          <w:sz w:val="16"/>
        </w:rPr>
        <w:t> </w:t>
      </w:r>
      <w:r>
        <w:rPr>
          <w:sz w:val="16"/>
        </w:rPr>
        <w:t>dello</w:t>
      </w:r>
      <w:r>
        <w:rPr>
          <w:spacing w:val="26"/>
          <w:sz w:val="16"/>
        </w:rPr>
        <w:t> </w:t>
      </w:r>
      <w:r>
        <w:rPr>
          <w:sz w:val="16"/>
        </w:rPr>
        <w:t>strumento</w:t>
      </w:r>
      <w:r>
        <w:rPr>
          <w:spacing w:val="22"/>
          <w:sz w:val="16"/>
        </w:rPr>
        <w:t> </w:t>
      </w:r>
      <w:r>
        <w:rPr>
          <w:sz w:val="16"/>
        </w:rPr>
        <w:t>telematico</w:t>
      </w:r>
      <w:r>
        <w:rPr>
          <w:spacing w:val="26"/>
          <w:sz w:val="16"/>
        </w:rPr>
        <w:t> </w:t>
      </w:r>
      <w:r>
        <w:rPr>
          <w:sz w:val="16"/>
        </w:rPr>
        <w:t>per</w:t>
      </w:r>
      <w:r>
        <w:rPr>
          <w:spacing w:val="25"/>
          <w:sz w:val="16"/>
        </w:rPr>
        <w:t> </w:t>
      </w:r>
      <w:r>
        <w:rPr>
          <w:sz w:val="16"/>
        </w:rPr>
        <w:t>il</w:t>
      </w:r>
      <w:r>
        <w:rPr>
          <w:spacing w:val="26"/>
          <w:sz w:val="16"/>
        </w:rPr>
        <w:t> </w:t>
      </w:r>
      <w:r>
        <w:rPr>
          <w:sz w:val="16"/>
        </w:rPr>
        <w:t>deposito</w:t>
      </w:r>
      <w:r>
        <w:rPr>
          <w:spacing w:val="25"/>
          <w:sz w:val="16"/>
        </w:rPr>
        <w:t> </w:t>
      </w:r>
      <w:r>
        <w:rPr>
          <w:sz w:val="16"/>
        </w:rPr>
        <w:t>degli</w:t>
      </w:r>
      <w:r>
        <w:rPr>
          <w:spacing w:val="23"/>
          <w:sz w:val="16"/>
        </w:rPr>
        <w:t> </w:t>
      </w:r>
      <w:r>
        <w:rPr>
          <w:sz w:val="16"/>
        </w:rPr>
        <w:t>atti,</w:t>
      </w:r>
      <w:r>
        <w:rPr>
          <w:spacing w:val="25"/>
          <w:sz w:val="16"/>
        </w:rPr>
        <w:t> </w:t>
      </w:r>
      <w:r>
        <w:rPr>
          <w:sz w:val="16"/>
        </w:rPr>
        <w:t>per</w:t>
      </w:r>
      <w:r>
        <w:rPr>
          <w:spacing w:val="25"/>
          <w:sz w:val="16"/>
        </w:rPr>
        <w:t> </w:t>
      </w:r>
      <w:r>
        <w:rPr>
          <w:sz w:val="16"/>
        </w:rPr>
        <w:t>le</w:t>
      </w:r>
    </w:p>
    <w:p>
      <w:pPr>
        <w:spacing w:after="0" w:line="240" w:lineRule="auto"/>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49" w:lineRule="auto" w:before="101"/>
        <w:ind w:left="1128" w:right="1410" w:firstLine="453"/>
        <w:jc w:val="both"/>
      </w:pPr>
      <w:r>
        <w:rPr/>
        <w:t>Fa da complemento alle riforme processuali la riforma ordinamentale della magistratura con l’introduzione di modifiche relative all’accesso alla magistratura, al sistema degli illeciti disciplinari e delle incompatibilità dei magistrati, a quello delle</w:t>
      </w:r>
      <w:r>
        <w:rPr>
          <w:spacing w:val="-5"/>
        </w:rPr>
        <w:t> </w:t>
      </w:r>
      <w:r>
        <w:rPr/>
        <w:t>valutazioni</w:t>
      </w:r>
      <w:r>
        <w:rPr>
          <w:spacing w:val="-5"/>
        </w:rPr>
        <w:t> </w:t>
      </w:r>
      <w:r>
        <w:rPr/>
        <w:t>di</w:t>
      </w:r>
      <w:r>
        <w:rPr>
          <w:spacing w:val="-3"/>
        </w:rPr>
        <w:t> </w:t>
      </w:r>
      <w:r>
        <w:rPr/>
        <w:t>professionalità</w:t>
      </w:r>
      <w:r>
        <w:rPr>
          <w:spacing w:val="-3"/>
        </w:rPr>
        <w:t> </w:t>
      </w:r>
      <w:r>
        <w:rPr/>
        <w:t>e</w:t>
      </w:r>
      <w:r>
        <w:rPr>
          <w:spacing w:val="-4"/>
        </w:rPr>
        <w:t> </w:t>
      </w:r>
      <w:r>
        <w:rPr/>
        <w:t>al</w:t>
      </w:r>
      <w:r>
        <w:rPr>
          <w:spacing w:val="-5"/>
        </w:rPr>
        <w:t> </w:t>
      </w:r>
      <w:r>
        <w:rPr/>
        <w:t>conferimento</w:t>
      </w:r>
      <w:r>
        <w:rPr>
          <w:spacing w:val="-5"/>
        </w:rPr>
        <w:t> </w:t>
      </w:r>
      <w:r>
        <w:rPr/>
        <w:t>degli</w:t>
      </w:r>
      <w:r>
        <w:rPr>
          <w:spacing w:val="-5"/>
        </w:rPr>
        <w:t> </w:t>
      </w:r>
      <w:r>
        <w:rPr/>
        <w:t>incarichi.</w:t>
      </w:r>
      <w:r>
        <w:rPr>
          <w:spacing w:val="-3"/>
        </w:rPr>
        <w:t> </w:t>
      </w:r>
      <w:r>
        <w:rPr/>
        <w:t>Con</w:t>
      </w:r>
      <w:r>
        <w:rPr>
          <w:spacing w:val="-5"/>
        </w:rPr>
        <w:t> </w:t>
      </w:r>
      <w:r>
        <w:rPr/>
        <w:t>la</w:t>
      </w:r>
      <w:r>
        <w:rPr>
          <w:spacing w:val="-6"/>
        </w:rPr>
        <w:t> </w:t>
      </w:r>
      <w:r>
        <w:rPr/>
        <w:t>finalità di</w:t>
      </w:r>
      <w:r>
        <w:rPr>
          <w:spacing w:val="-7"/>
        </w:rPr>
        <w:t> </w:t>
      </w:r>
      <w:r>
        <w:rPr/>
        <w:t>rafforzare</w:t>
      </w:r>
      <w:r>
        <w:rPr>
          <w:spacing w:val="-5"/>
        </w:rPr>
        <w:t> </w:t>
      </w:r>
      <w:r>
        <w:rPr/>
        <w:t>la</w:t>
      </w:r>
      <w:r>
        <w:rPr>
          <w:spacing w:val="-6"/>
        </w:rPr>
        <w:t> </w:t>
      </w:r>
      <w:r>
        <w:rPr/>
        <w:t>prerogativa</w:t>
      </w:r>
      <w:r>
        <w:rPr>
          <w:spacing w:val="-7"/>
        </w:rPr>
        <w:t> </w:t>
      </w:r>
      <w:r>
        <w:rPr/>
        <w:t>costituzionale</w:t>
      </w:r>
      <w:r>
        <w:rPr>
          <w:spacing w:val="-4"/>
        </w:rPr>
        <w:t> </w:t>
      </w:r>
      <w:r>
        <w:rPr/>
        <w:t>della</w:t>
      </w:r>
      <w:r>
        <w:rPr>
          <w:spacing w:val="-6"/>
        </w:rPr>
        <w:t> </w:t>
      </w:r>
      <w:r>
        <w:rPr/>
        <w:t>indipendenza</w:t>
      </w:r>
      <w:r>
        <w:rPr>
          <w:spacing w:val="-7"/>
        </w:rPr>
        <w:t> </w:t>
      </w:r>
      <w:r>
        <w:rPr/>
        <w:t>della</w:t>
      </w:r>
      <w:r>
        <w:rPr>
          <w:spacing w:val="-6"/>
        </w:rPr>
        <w:t> </w:t>
      </w:r>
      <w:r>
        <w:rPr/>
        <w:t>magistratura,</w:t>
      </w:r>
      <w:r>
        <w:rPr>
          <w:spacing w:val="-4"/>
        </w:rPr>
        <w:t> </w:t>
      </w:r>
      <w:r>
        <w:rPr/>
        <w:t>si intende inoltre regolare l’eleggibilità e il ricollocamento in ruolo dei magistrati in occasione</w:t>
      </w:r>
      <w:r>
        <w:rPr>
          <w:spacing w:val="-11"/>
        </w:rPr>
        <w:t> </w:t>
      </w:r>
      <w:r>
        <w:rPr/>
        <w:t>di</w:t>
      </w:r>
      <w:r>
        <w:rPr>
          <w:spacing w:val="-11"/>
        </w:rPr>
        <w:t> </w:t>
      </w:r>
      <w:r>
        <w:rPr/>
        <w:t>elezioni</w:t>
      </w:r>
      <w:r>
        <w:rPr>
          <w:spacing w:val="-11"/>
        </w:rPr>
        <w:t> </w:t>
      </w:r>
      <w:r>
        <w:rPr/>
        <w:t>politiche</w:t>
      </w:r>
      <w:r>
        <w:rPr>
          <w:spacing w:val="-9"/>
        </w:rPr>
        <w:t> </w:t>
      </w:r>
      <w:r>
        <w:rPr/>
        <w:t>e</w:t>
      </w:r>
      <w:r>
        <w:rPr>
          <w:spacing w:val="-10"/>
        </w:rPr>
        <w:t> </w:t>
      </w:r>
      <w:r>
        <w:rPr/>
        <w:t>amministrative</w:t>
      </w:r>
      <w:r>
        <w:rPr>
          <w:spacing w:val="-8"/>
        </w:rPr>
        <w:t> </w:t>
      </w:r>
      <w:r>
        <w:rPr/>
        <w:t>nonché</w:t>
      </w:r>
      <w:r>
        <w:rPr>
          <w:spacing w:val="-10"/>
        </w:rPr>
        <w:t> </w:t>
      </w:r>
      <w:r>
        <w:rPr/>
        <w:t>di</w:t>
      </w:r>
      <w:r>
        <w:rPr>
          <w:spacing w:val="-10"/>
        </w:rPr>
        <w:t> </w:t>
      </w:r>
      <w:r>
        <w:rPr/>
        <w:t>assunzione</w:t>
      </w:r>
      <w:r>
        <w:rPr>
          <w:spacing w:val="-11"/>
        </w:rPr>
        <w:t> </w:t>
      </w:r>
      <w:r>
        <w:rPr/>
        <w:t>di</w:t>
      </w:r>
      <w:r>
        <w:rPr>
          <w:spacing w:val="-11"/>
        </w:rPr>
        <w:t> </w:t>
      </w:r>
      <w:r>
        <w:rPr/>
        <w:t>incarichi</w:t>
      </w:r>
      <w:r>
        <w:rPr>
          <w:spacing w:val="-10"/>
        </w:rPr>
        <w:t> </w:t>
      </w:r>
      <w:r>
        <w:rPr/>
        <w:t>di governo.</w:t>
      </w:r>
    </w:p>
    <w:p>
      <w:pPr>
        <w:pStyle w:val="BodyText"/>
        <w:spacing w:line="249" w:lineRule="auto" w:before="4"/>
        <w:ind w:left="1128" w:right="1412" w:firstLine="453"/>
        <w:jc w:val="both"/>
      </w:pPr>
      <w:r>
        <w:rPr/>
        <w:t>Infine, la riforma della giustizia in chiave di maggiore efficienza e trasparenza è condizionata dal buon funzionamento del CSM. Si intende riformare il sistema elettorale del CSM e le norme che incidono sulla sua costituzione e sul suo funzionamento.</w:t>
      </w:r>
    </w:p>
    <w:p>
      <w:pPr>
        <w:pStyle w:val="BodyText"/>
        <w:spacing w:line="249" w:lineRule="auto" w:before="3"/>
        <w:ind w:left="1128" w:right="1413" w:firstLine="453"/>
        <w:jc w:val="both"/>
      </w:pPr>
      <w:r>
        <w:rPr/>
        <w:t>Per quanto riguarda l’organizzazione giudiziaria e come misura per il funzionamento degli uffici giudiziari si prevede l’introduzione di una dotazione flessibile di magistrati a livello distrettuale, anche per far fronte a situazioni di criticità gestionale degli uffici stessi.</w:t>
      </w:r>
    </w:p>
    <w:p>
      <w:pPr>
        <w:pStyle w:val="BodyText"/>
        <w:spacing w:line="249" w:lineRule="auto" w:before="1"/>
        <w:ind w:left="1128" w:right="1413" w:firstLine="453"/>
        <w:jc w:val="both"/>
      </w:pPr>
      <w:r>
        <w:rPr/>
        <w:t>Complementare</w:t>
      </w:r>
      <w:r>
        <w:rPr>
          <w:spacing w:val="-7"/>
        </w:rPr>
        <w:t> </w:t>
      </w:r>
      <w:r>
        <w:rPr/>
        <w:t>alla</w:t>
      </w:r>
      <w:r>
        <w:rPr>
          <w:spacing w:val="-8"/>
        </w:rPr>
        <w:t> </w:t>
      </w:r>
      <w:r>
        <w:rPr/>
        <w:t>riforma</w:t>
      </w:r>
      <w:r>
        <w:rPr>
          <w:spacing w:val="-8"/>
        </w:rPr>
        <w:t> </w:t>
      </w:r>
      <w:r>
        <w:rPr/>
        <w:t>processuale</w:t>
      </w:r>
      <w:r>
        <w:rPr>
          <w:spacing w:val="-8"/>
        </w:rPr>
        <w:t> </w:t>
      </w:r>
      <w:r>
        <w:rPr/>
        <w:t>e</w:t>
      </w:r>
      <w:r>
        <w:rPr>
          <w:spacing w:val="-10"/>
        </w:rPr>
        <w:t> </w:t>
      </w:r>
      <w:r>
        <w:rPr/>
        <w:t>ordinamentale</w:t>
      </w:r>
      <w:r>
        <w:rPr>
          <w:spacing w:val="-8"/>
        </w:rPr>
        <w:t> </w:t>
      </w:r>
      <w:r>
        <w:rPr/>
        <w:t>è</w:t>
      </w:r>
      <w:r>
        <w:rPr>
          <w:spacing w:val="-8"/>
        </w:rPr>
        <w:t> </w:t>
      </w:r>
      <w:r>
        <w:rPr/>
        <w:t>l’iniziativa</w:t>
      </w:r>
      <w:r>
        <w:rPr>
          <w:spacing w:val="-8"/>
        </w:rPr>
        <w:t> </w:t>
      </w:r>
      <w:r>
        <w:rPr/>
        <w:t>–</w:t>
      </w:r>
      <w:r>
        <w:rPr>
          <w:spacing w:val="-12"/>
        </w:rPr>
        <w:t> </w:t>
      </w:r>
      <w:r>
        <w:rPr/>
        <w:t>in</w:t>
      </w:r>
      <w:r>
        <w:rPr>
          <w:spacing w:val="-8"/>
        </w:rPr>
        <w:t> </w:t>
      </w:r>
      <w:r>
        <w:rPr/>
        <w:t>uno stato avanzato di elaborazione – volta ad attribuire centralità al tema delle spese di funzionamento degli uffici giudiziari e dell’edilizia giudiziaria. Inoltre, in via ordinamentale</w:t>
      </w:r>
      <w:r>
        <w:rPr>
          <w:spacing w:val="-8"/>
        </w:rPr>
        <w:t> </w:t>
      </w:r>
      <w:r>
        <w:rPr/>
        <w:t>si</w:t>
      </w:r>
      <w:r>
        <w:rPr>
          <w:spacing w:val="-8"/>
        </w:rPr>
        <w:t> </w:t>
      </w:r>
      <w:r>
        <w:rPr/>
        <w:t>ipotizza</w:t>
      </w:r>
      <w:r>
        <w:rPr>
          <w:spacing w:val="-8"/>
        </w:rPr>
        <w:t> </w:t>
      </w:r>
      <w:r>
        <w:rPr/>
        <w:t>di</w:t>
      </w:r>
      <w:r>
        <w:rPr>
          <w:spacing w:val="-8"/>
        </w:rPr>
        <w:t> </w:t>
      </w:r>
      <w:r>
        <w:rPr/>
        <w:t>realizzare</w:t>
      </w:r>
      <w:r>
        <w:rPr>
          <w:spacing w:val="-7"/>
        </w:rPr>
        <w:t> </w:t>
      </w:r>
      <w:r>
        <w:rPr/>
        <w:t>una</w:t>
      </w:r>
      <w:r>
        <w:rPr>
          <w:spacing w:val="-8"/>
        </w:rPr>
        <w:t> </w:t>
      </w:r>
      <w:r>
        <w:rPr/>
        <w:t>ridefinizione</w:t>
      </w:r>
      <w:r>
        <w:rPr>
          <w:spacing w:val="-8"/>
        </w:rPr>
        <w:t> </w:t>
      </w:r>
      <w:r>
        <w:rPr/>
        <w:t>dell’assetto</w:t>
      </w:r>
      <w:r>
        <w:rPr>
          <w:spacing w:val="-8"/>
        </w:rPr>
        <w:t> </w:t>
      </w:r>
      <w:r>
        <w:rPr/>
        <w:t>delle</w:t>
      </w:r>
      <w:r>
        <w:rPr>
          <w:spacing w:val="-8"/>
        </w:rPr>
        <w:t> </w:t>
      </w:r>
      <w:r>
        <w:rPr/>
        <w:t>strutture periferiche dell’amministrazione</w:t>
      </w:r>
      <w:r>
        <w:rPr>
          <w:spacing w:val="-2"/>
        </w:rPr>
        <w:t> </w:t>
      </w:r>
      <w:r>
        <w:rPr/>
        <w:t>giudiziaria.</w:t>
      </w:r>
    </w:p>
    <w:p>
      <w:pPr>
        <w:pStyle w:val="BodyText"/>
        <w:spacing w:line="249" w:lineRule="auto" w:before="1"/>
        <w:ind w:left="1128" w:right="1411" w:firstLine="453"/>
        <w:jc w:val="both"/>
      </w:pPr>
      <w:r>
        <w:rPr/>
        <w:t>Fondamentali restano le iniziative in tema di rafforzamento della digitalizzazione del processo civile e penale e della messa in sicurezza dei sistemi: a</w:t>
      </w:r>
      <w:r>
        <w:rPr>
          <w:spacing w:val="-8"/>
        </w:rPr>
        <w:t> </w:t>
      </w:r>
      <w:r>
        <w:rPr/>
        <w:t>quattro</w:t>
      </w:r>
      <w:r>
        <w:rPr>
          <w:spacing w:val="-8"/>
        </w:rPr>
        <w:t> </w:t>
      </w:r>
      <w:r>
        <w:rPr/>
        <w:t>anni</w:t>
      </w:r>
      <w:r>
        <w:rPr>
          <w:spacing w:val="-7"/>
        </w:rPr>
        <w:t> </w:t>
      </w:r>
      <w:r>
        <w:rPr/>
        <w:t>dall’avvio</w:t>
      </w:r>
      <w:r>
        <w:rPr>
          <w:spacing w:val="-6"/>
        </w:rPr>
        <w:t> </w:t>
      </w:r>
      <w:r>
        <w:rPr/>
        <w:t>del</w:t>
      </w:r>
      <w:r>
        <w:rPr>
          <w:spacing w:val="-8"/>
        </w:rPr>
        <w:t> </w:t>
      </w:r>
      <w:r>
        <w:rPr/>
        <w:t>processo</w:t>
      </w:r>
      <w:r>
        <w:rPr>
          <w:spacing w:val="-8"/>
        </w:rPr>
        <w:t> </w:t>
      </w:r>
      <w:r>
        <w:rPr/>
        <w:t>civile</w:t>
      </w:r>
      <w:r>
        <w:rPr>
          <w:spacing w:val="-8"/>
        </w:rPr>
        <w:t> </w:t>
      </w:r>
      <w:r>
        <w:rPr/>
        <w:t>telematico</w:t>
      </w:r>
      <w:r>
        <w:rPr>
          <w:spacing w:val="-7"/>
        </w:rPr>
        <w:t> </w:t>
      </w:r>
      <w:r>
        <w:rPr/>
        <w:t>in</w:t>
      </w:r>
      <w:r>
        <w:rPr>
          <w:spacing w:val="-8"/>
        </w:rPr>
        <w:t> </w:t>
      </w:r>
      <w:r>
        <w:rPr/>
        <w:t>primo</w:t>
      </w:r>
      <w:r>
        <w:rPr>
          <w:spacing w:val="-7"/>
        </w:rPr>
        <w:t> </w:t>
      </w:r>
      <w:r>
        <w:rPr/>
        <w:t>e</w:t>
      </w:r>
      <w:r>
        <w:rPr>
          <w:spacing w:val="-8"/>
        </w:rPr>
        <w:t> </w:t>
      </w:r>
      <w:r>
        <w:rPr/>
        <w:t>secondo</w:t>
      </w:r>
      <w:r>
        <w:rPr>
          <w:spacing w:val="-8"/>
        </w:rPr>
        <w:t> </w:t>
      </w:r>
      <w:r>
        <w:rPr/>
        <w:t>grado,</w:t>
      </w:r>
      <w:r>
        <w:rPr>
          <w:spacing w:val="-6"/>
        </w:rPr>
        <w:t> </w:t>
      </w:r>
      <w:r>
        <w:rPr/>
        <w:t>il Ministero della giustizia sta proseguendo la digitalizzazione del processo civile presso il giudice di pace e l’importante avvio in Cassazione. In quattro anni il deposito</w:t>
      </w:r>
      <w:r>
        <w:rPr>
          <w:spacing w:val="-6"/>
        </w:rPr>
        <w:t> </w:t>
      </w:r>
      <w:r>
        <w:rPr/>
        <w:t>esterno</w:t>
      </w:r>
      <w:r>
        <w:rPr>
          <w:spacing w:val="-6"/>
        </w:rPr>
        <w:t> </w:t>
      </w:r>
      <w:r>
        <w:rPr/>
        <w:t>dei</w:t>
      </w:r>
      <w:r>
        <w:rPr>
          <w:spacing w:val="-6"/>
        </w:rPr>
        <w:t> </w:t>
      </w:r>
      <w:r>
        <w:rPr/>
        <w:t>professionisti</w:t>
      </w:r>
      <w:r>
        <w:rPr>
          <w:spacing w:val="-5"/>
        </w:rPr>
        <w:t> </w:t>
      </w:r>
      <w:r>
        <w:rPr/>
        <w:t>è</w:t>
      </w:r>
      <w:r>
        <w:rPr>
          <w:spacing w:val="-5"/>
        </w:rPr>
        <w:t> </w:t>
      </w:r>
      <w:r>
        <w:rPr/>
        <w:t>passato</w:t>
      </w:r>
      <w:r>
        <w:rPr>
          <w:spacing w:val="-6"/>
        </w:rPr>
        <w:t> </w:t>
      </w:r>
      <w:r>
        <w:rPr/>
        <w:t>da</w:t>
      </w:r>
      <w:r>
        <w:rPr>
          <w:spacing w:val="-6"/>
        </w:rPr>
        <w:t> </w:t>
      </w:r>
      <w:r>
        <w:rPr/>
        <w:t>poco</w:t>
      </w:r>
      <w:r>
        <w:rPr>
          <w:spacing w:val="-5"/>
        </w:rPr>
        <w:t> </w:t>
      </w:r>
      <w:r>
        <w:rPr/>
        <w:t>più</w:t>
      </w:r>
      <w:r>
        <w:rPr>
          <w:spacing w:val="-8"/>
        </w:rPr>
        <w:t> </w:t>
      </w:r>
      <w:r>
        <w:rPr/>
        <w:t>di</w:t>
      </w:r>
      <w:r>
        <w:rPr>
          <w:spacing w:val="-6"/>
        </w:rPr>
        <w:t> </w:t>
      </w:r>
      <w:r>
        <w:rPr/>
        <w:t>un</w:t>
      </w:r>
      <w:r>
        <w:rPr>
          <w:spacing w:val="-8"/>
        </w:rPr>
        <w:t> </w:t>
      </w:r>
      <w:r>
        <w:rPr/>
        <w:t>milione</w:t>
      </w:r>
      <w:r>
        <w:rPr>
          <w:spacing w:val="-4"/>
        </w:rPr>
        <w:t> </w:t>
      </w:r>
      <w:r>
        <w:rPr/>
        <w:t>del</w:t>
      </w:r>
      <w:r>
        <w:rPr>
          <w:spacing w:val="-8"/>
        </w:rPr>
        <w:t> </w:t>
      </w:r>
      <w:r>
        <w:rPr/>
        <w:t>2014</w:t>
      </w:r>
      <w:r>
        <w:rPr>
          <w:spacing w:val="-6"/>
        </w:rPr>
        <w:t> </w:t>
      </w:r>
      <w:r>
        <w:rPr/>
        <w:t>agli 8.695.991 del 2018. Per i sistemi del penale, la chiusura della gara europea sta permettendo una completa reingegnerizzazione della relativa infrastruttura e dei vari</w:t>
      </w:r>
      <w:r>
        <w:rPr>
          <w:spacing w:val="-15"/>
        </w:rPr>
        <w:t> </w:t>
      </w:r>
      <w:r>
        <w:rPr/>
        <w:t>applicativi</w:t>
      </w:r>
      <w:r>
        <w:rPr>
          <w:spacing w:val="-15"/>
        </w:rPr>
        <w:t> </w:t>
      </w:r>
      <w:r>
        <w:rPr/>
        <w:t>in</w:t>
      </w:r>
      <w:r>
        <w:rPr>
          <w:spacing w:val="-15"/>
        </w:rPr>
        <w:t> </w:t>
      </w:r>
      <w:r>
        <w:rPr/>
        <w:t>passato</w:t>
      </w:r>
      <w:r>
        <w:rPr>
          <w:spacing w:val="-15"/>
        </w:rPr>
        <w:t> </w:t>
      </w:r>
      <w:r>
        <w:rPr/>
        <w:t>ad</w:t>
      </w:r>
      <w:r>
        <w:rPr>
          <w:spacing w:val="-15"/>
        </w:rPr>
        <w:t> </w:t>
      </w:r>
      <w:r>
        <w:rPr/>
        <w:t>essa</w:t>
      </w:r>
      <w:r>
        <w:rPr>
          <w:spacing w:val="-16"/>
        </w:rPr>
        <w:t> </w:t>
      </w:r>
      <w:r>
        <w:rPr/>
        <w:t>destinati.</w:t>
      </w:r>
      <w:r>
        <w:rPr>
          <w:spacing w:val="-14"/>
        </w:rPr>
        <w:t> </w:t>
      </w:r>
      <w:r>
        <w:rPr/>
        <w:t>Questo</w:t>
      </w:r>
      <w:r>
        <w:rPr>
          <w:spacing w:val="-15"/>
        </w:rPr>
        <w:t> </w:t>
      </w:r>
      <w:r>
        <w:rPr/>
        <w:t>sforzo</w:t>
      </w:r>
      <w:r>
        <w:rPr>
          <w:spacing w:val="-15"/>
        </w:rPr>
        <w:t> </w:t>
      </w:r>
      <w:r>
        <w:rPr/>
        <w:t>di</w:t>
      </w:r>
      <w:r>
        <w:rPr>
          <w:spacing w:val="-16"/>
        </w:rPr>
        <w:t> </w:t>
      </w:r>
      <w:r>
        <w:rPr/>
        <w:t>digitalizzazione</w:t>
      </w:r>
      <w:r>
        <w:rPr>
          <w:spacing w:val="-14"/>
        </w:rPr>
        <w:t> </w:t>
      </w:r>
      <w:r>
        <w:rPr/>
        <w:t>colloca l’Italia tra i paesi europei più avanzati in questo</w:t>
      </w:r>
      <w:r>
        <w:rPr>
          <w:spacing w:val="-8"/>
        </w:rPr>
        <w:t> </w:t>
      </w:r>
      <w:r>
        <w:rPr/>
        <w:t>ambito.</w:t>
      </w:r>
    </w:p>
    <w:p>
      <w:pPr>
        <w:pStyle w:val="BodyText"/>
        <w:spacing w:line="249" w:lineRule="auto" w:before="6"/>
        <w:ind w:left="1128" w:right="1412" w:firstLine="453"/>
        <w:jc w:val="both"/>
      </w:pPr>
      <w:r>
        <w:rPr/>
        <w:t>Resta inoltre centrale nell’azione di Governo il tema del diritto della crisi d’impresa dopo l’approvazione, a gennaio 2019, del decreto legislativo di attuazione della delega</w:t>
      </w:r>
      <w:r>
        <w:rPr>
          <w:vertAlign w:val="superscript"/>
        </w:rPr>
        <w:t>20</w:t>
      </w:r>
      <w:r>
        <w:rPr>
          <w:vertAlign w:val="baseline"/>
        </w:rPr>
        <w:t> al Governo per la riforma delle discipline della crisi di impresa</w:t>
      </w:r>
      <w:r>
        <w:rPr>
          <w:spacing w:val="-6"/>
          <w:vertAlign w:val="baseline"/>
        </w:rPr>
        <w:t> </w:t>
      </w:r>
      <w:r>
        <w:rPr>
          <w:vertAlign w:val="baseline"/>
        </w:rPr>
        <w:t>e</w:t>
      </w:r>
      <w:r>
        <w:rPr>
          <w:spacing w:val="-4"/>
          <w:vertAlign w:val="baseline"/>
        </w:rPr>
        <w:t> </w:t>
      </w:r>
      <w:r>
        <w:rPr>
          <w:vertAlign w:val="baseline"/>
        </w:rPr>
        <w:t>dell’insolvenza</w:t>
      </w:r>
      <w:r>
        <w:rPr>
          <w:spacing w:val="-6"/>
          <w:vertAlign w:val="baseline"/>
        </w:rPr>
        <w:t> </w:t>
      </w:r>
      <w:r>
        <w:rPr>
          <w:vertAlign w:val="baseline"/>
        </w:rPr>
        <w:t>(si</w:t>
      </w:r>
      <w:r>
        <w:rPr>
          <w:spacing w:val="-5"/>
          <w:vertAlign w:val="baseline"/>
        </w:rPr>
        <w:t> </w:t>
      </w:r>
      <w:r>
        <w:rPr>
          <w:vertAlign w:val="baseline"/>
        </w:rPr>
        <w:t>veda</w:t>
      </w:r>
      <w:r>
        <w:rPr>
          <w:spacing w:val="-6"/>
          <w:vertAlign w:val="baseline"/>
        </w:rPr>
        <w:t> </w:t>
      </w:r>
      <w:r>
        <w:rPr>
          <w:vertAlign w:val="baseline"/>
        </w:rPr>
        <w:t>il</w:t>
      </w:r>
      <w:r>
        <w:rPr>
          <w:spacing w:val="-7"/>
          <w:vertAlign w:val="baseline"/>
        </w:rPr>
        <w:t> </w:t>
      </w:r>
      <w:r>
        <w:rPr>
          <w:vertAlign w:val="baseline"/>
        </w:rPr>
        <w:t>PNR</w:t>
      </w:r>
      <w:r>
        <w:rPr>
          <w:spacing w:val="-4"/>
          <w:vertAlign w:val="baseline"/>
        </w:rPr>
        <w:t> </w:t>
      </w:r>
      <w:r>
        <w:rPr>
          <w:vertAlign w:val="baseline"/>
        </w:rPr>
        <w:t>2019).</w:t>
      </w:r>
      <w:r>
        <w:rPr>
          <w:spacing w:val="-3"/>
          <w:vertAlign w:val="baseline"/>
        </w:rPr>
        <w:t> </w:t>
      </w:r>
      <w:r>
        <w:rPr>
          <w:vertAlign w:val="baseline"/>
        </w:rPr>
        <w:t>È</w:t>
      </w:r>
      <w:r>
        <w:rPr>
          <w:spacing w:val="-8"/>
          <w:vertAlign w:val="baseline"/>
        </w:rPr>
        <w:t> </w:t>
      </w:r>
      <w:r>
        <w:rPr>
          <w:vertAlign w:val="baseline"/>
        </w:rPr>
        <w:t>in</w:t>
      </w:r>
      <w:r>
        <w:rPr>
          <w:spacing w:val="-5"/>
          <w:vertAlign w:val="baseline"/>
        </w:rPr>
        <w:t> </w:t>
      </w:r>
      <w:r>
        <w:rPr>
          <w:vertAlign w:val="baseline"/>
        </w:rPr>
        <w:t>corso</w:t>
      </w:r>
      <w:r>
        <w:rPr>
          <w:spacing w:val="-4"/>
          <w:vertAlign w:val="baseline"/>
        </w:rPr>
        <w:t> </w:t>
      </w:r>
      <w:r>
        <w:rPr>
          <w:vertAlign w:val="baseline"/>
        </w:rPr>
        <w:t>di</w:t>
      </w:r>
      <w:r>
        <w:rPr>
          <w:spacing w:val="-5"/>
          <w:vertAlign w:val="baseline"/>
        </w:rPr>
        <w:t> </w:t>
      </w:r>
      <w:r>
        <w:rPr>
          <w:vertAlign w:val="baseline"/>
        </w:rPr>
        <w:t>studio</w:t>
      </w:r>
      <w:r>
        <w:rPr>
          <w:spacing w:val="-6"/>
          <w:vertAlign w:val="baseline"/>
        </w:rPr>
        <w:t> </w:t>
      </w:r>
      <w:r>
        <w:rPr>
          <w:vertAlign w:val="baseline"/>
        </w:rPr>
        <w:t>ed</w:t>
      </w:r>
      <w:r>
        <w:rPr>
          <w:spacing w:val="-6"/>
          <w:vertAlign w:val="baseline"/>
        </w:rPr>
        <w:t> </w:t>
      </w:r>
      <w:r>
        <w:rPr>
          <w:vertAlign w:val="baseline"/>
        </w:rPr>
        <w:t>elaborazione il</w:t>
      </w:r>
      <w:r>
        <w:rPr>
          <w:spacing w:val="-8"/>
          <w:vertAlign w:val="baseline"/>
        </w:rPr>
        <w:t> </w:t>
      </w:r>
      <w:r>
        <w:rPr>
          <w:vertAlign w:val="baseline"/>
        </w:rPr>
        <w:t>primo</w:t>
      </w:r>
      <w:r>
        <w:rPr>
          <w:spacing w:val="-7"/>
          <w:vertAlign w:val="baseline"/>
        </w:rPr>
        <w:t> </w:t>
      </w:r>
      <w:r>
        <w:rPr>
          <w:vertAlign w:val="baseline"/>
        </w:rPr>
        <w:t>decreto</w:t>
      </w:r>
      <w:r>
        <w:rPr>
          <w:spacing w:val="-11"/>
          <w:vertAlign w:val="baseline"/>
        </w:rPr>
        <w:t> </w:t>
      </w:r>
      <w:r>
        <w:rPr>
          <w:vertAlign w:val="baseline"/>
        </w:rPr>
        <w:t>correttivo</w:t>
      </w:r>
      <w:r>
        <w:rPr>
          <w:spacing w:val="-7"/>
          <w:vertAlign w:val="baseline"/>
        </w:rPr>
        <w:t> </w:t>
      </w:r>
      <w:r>
        <w:rPr>
          <w:vertAlign w:val="baseline"/>
        </w:rPr>
        <w:t>della</w:t>
      </w:r>
      <w:r>
        <w:rPr>
          <w:spacing w:val="-10"/>
          <w:vertAlign w:val="baseline"/>
        </w:rPr>
        <w:t> </w:t>
      </w:r>
      <w:r>
        <w:rPr>
          <w:vertAlign w:val="baseline"/>
        </w:rPr>
        <w:t>riforma,</w:t>
      </w:r>
      <w:r>
        <w:rPr>
          <w:spacing w:val="-8"/>
          <w:vertAlign w:val="baseline"/>
        </w:rPr>
        <w:t> </w:t>
      </w:r>
      <w:r>
        <w:rPr>
          <w:vertAlign w:val="baseline"/>
        </w:rPr>
        <w:t>per</w:t>
      </w:r>
      <w:r>
        <w:rPr>
          <w:spacing w:val="-8"/>
          <w:vertAlign w:val="baseline"/>
        </w:rPr>
        <w:t> </w:t>
      </w:r>
      <w:r>
        <w:rPr>
          <w:vertAlign w:val="baseline"/>
        </w:rPr>
        <w:t>superare</w:t>
      </w:r>
      <w:r>
        <w:rPr>
          <w:spacing w:val="-8"/>
          <w:vertAlign w:val="baseline"/>
        </w:rPr>
        <w:t> </w:t>
      </w:r>
      <w:r>
        <w:rPr>
          <w:vertAlign w:val="baseline"/>
        </w:rPr>
        <w:t>le</w:t>
      </w:r>
      <w:r>
        <w:rPr>
          <w:spacing w:val="-12"/>
          <w:vertAlign w:val="baseline"/>
        </w:rPr>
        <w:t> </w:t>
      </w:r>
      <w:r>
        <w:rPr>
          <w:vertAlign w:val="baseline"/>
        </w:rPr>
        <w:t>criticità</w:t>
      </w:r>
      <w:r>
        <w:rPr>
          <w:spacing w:val="-8"/>
          <w:vertAlign w:val="baseline"/>
        </w:rPr>
        <w:t> </w:t>
      </w:r>
      <w:r>
        <w:rPr>
          <w:vertAlign w:val="baseline"/>
        </w:rPr>
        <w:t>già</w:t>
      </w:r>
      <w:r>
        <w:rPr>
          <w:spacing w:val="-9"/>
          <w:vertAlign w:val="baseline"/>
        </w:rPr>
        <w:t> </w:t>
      </w:r>
      <w:r>
        <w:rPr>
          <w:vertAlign w:val="baseline"/>
        </w:rPr>
        <w:t>rilevate</w:t>
      </w:r>
      <w:r>
        <w:rPr>
          <w:spacing w:val="-7"/>
          <w:vertAlign w:val="baseline"/>
        </w:rPr>
        <w:t> </w:t>
      </w:r>
      <w:r>
        <w:rPr>
          <w:vertAlign w:val="baseline"/>
        </w:rPr>
        <w:t>ancor prima della entrata in vigore del nuovo</w:t>
      </w:r>
      <w:r>
        <w:rPr>
          <w:spacing w:val="-7"/>
          <w:vertAlign w:val="baseline"/>
        </w:rPr>
        <w:t> </w:t>
      </w:r>
      <w:r>
        <w:rPr>
          <w:vertAlign w:val="baseline"/>
        </w:rPr>
        <w:t>codice.</w:t>
      </w:r>
    </w:p>
    <w:p>
      <w:pPr>
        <w:pStyle w:val="BodyText"/>
        <w:spacing w:line="249" w:lineRule="auto" w:before="2"/>
        <w:ind w:left="1128" w:right="1413" w:firstLine="453"/>
        <w:jc w:val="both"/>
      </w:pPr>
      <w:r>
        <w:rPr/>
        <w:t>Va inoltre segnalata l’attenzione al tema della riforma dei reati in materia agroalimentare, che assumerà la forma di un disegno di legge e mira alla delimitazione della categoria dei reati di pericolo contro la salute e la rivisitazione del sistema sanzionatorio delle frodi alimentari.</w:t>
      </w:r>
    </w:p>
    <w:p>
      <w:pPr>
        <w:pStyle w:val="BodyText"/>
        <w:spacing w:line="252" w:lineRule="auto" w:before="2"/>
        <w:ind w:left="1128" w:right="1413" w:firstLine="453"/>
        <w:jc w:val="both"/>
      </w:pPr>
      <w:r>
        <w:rPr/>
        <w:t>Prosegue lo sforzo di migliorare le condizioni e il funzionamento del sistema penitenziario, per superare le carenze strutturali delle carceri. Continua,</w:t>
      </w:r>
      <w:r>
        <w:rPr>
          <w:spacing w:val="60"/>
        </w:rPr>
        <w:t> </w:t>
      </w:r>
      <w:r>
        <w:rPr/>
        <w:t>in</w:t>
      </w:r>
    </w:p>
    <w:p>
      <w:pPr>
        <w:pStyle w:val="BodyText"/>
        <w:rPr>
          <w:sz w:val="20"/>
        </w:rPr>
      </w:pPr>
    </w:p>
    <w:p>
      <w:pPr>
        <w:pStyle w:val="BodyText"/>
        <w:spacing w:before="10"/>
        <w:rPr>
          <w:sz w:val="15"/>
        </w:rPr>
      </w:pPr>
      <w:r>
        <w:rPr/>
        <w:pict>
          <v:group style="position:absolute;margin-left:136.100006pt;margin-top:11.211953pt;width:21.4pt;height:2.15pt;mso-position-horizontal-relative:page;mso-position-vertical-relative:paragraph;z-index:-251430912;mso-wrap-distance-left:0;mso-wrap-distance-right:0" coordorigin="2722,224" coordsize="428,43">
            <v:line style="position:absolute" from="2722,245" to="3149,245" stroked="true" strokeweight="2.050pt" strokecolor="#aaaaaa">
              <v:stroke dashstyle="solid"/>
            </v:line>
            <v:rect style="position:absolute;left:2722;top:226;width:5;height:5" filled="true" fillcolor="#9f9f9f" stroked="false">
              <v:fill type="solid"/>
            </v:rect>
            <v:rect style="position:absolute;left:2722;top:226;width:5;height:5" filled="true" fillcolor="#9f9f9f" stroked="false">
              <v:fill type="solid"/>
            </v:rect>
            <v:line style="position:absolute" from="2727,229" to="3144,229" stroked="true" strokeweight=".23999pt" strokecolor="#9f9f9f">
              <v:stroke dashstyle="solid"/>
            </v:line>
            <v:rect style="position:absolute;left:3144;top:226;width:5;height:5" filled="true" fillcolor="#e2e2e2" stroked="false">
              <v:fill type="solid"/>
            </v:rect>
            <v:rect style="position:absolute;left:3144;top:226;width:5;height:5" filled="true" fillcolor="#9f9f9f" stroked="false">
              <v:fill type="solid"/>
            </v:rect>
            <v:rect style="position:absolute;left:2722;top:231;width:5;height:32" filled="true" fillcolor="#9f9f9f" stroked="false">
              <v:fill type="solid"/>
            </v:rect>
            <v:rect style="position:absolute;left:3144;top:231;width:5;height:32" filled="true" fillcolor="#e2e2e2" stroked="false">
              <v:fill type="solid"/>
            </v:rect>
            <v:rect style="position:absolute;left:2722;top:262;width:5;height:5" filled="true" fillcolor="#9f9f9f" stroked="false">
              <v:fill type="solid"/>
            </v:rect>
            <v:rect style="position:absolute;left:2722;top:262;width:5;height:5" filled="true" fillcolor="#e2e2e2" stroked="false">
              <v:fill type="solid"/>
            </v:rect>
            <v:line style="position:absolute" from="2727,265" to="3144,265" stroked="true" strokeweight=".23999pt" strokecolor="#e2e2e2">
              <v:stroke dashstyle="solid"/>
            </v:line>
            <v:rect style="position:absolute;left:3144;top:262;width:5;height:5" filled="true" fillcolor="#e2e2e2" stroked="false">
              <v:fill type="solid"/>
            </v:rect>
            <v:rect style="position:absolute;left:3144;top:262;width:5;height:5" filled="true" fillcolor="#e2e2e2" stroked="false">
              <v:fill type="solid"/>
            </v:rect>
            <w10:wrap type="topAndBottom"/>
          </v:group>
        </w:pict>
      </w:r>
    </w:p>
    <w:p>
      <w:pPr>
        <w:spacing w:before="21"/>
        <w:ind w:left="1128" w:right="1419" w:firstLine="0"/>
        <w:jc w:val="both"/>
        <w:rPr>
          <w:sz w:val="16"/>
        </w:rPr>
      </w:pPr>
      <w:r>
        <w:rPr>
          <w:sz w:val="16"/>
        </w:rPr>
        <w:t>comunicazioni e per le notificazioni a persona diversa dall’imputato e la revisione della disciplina riguardante le notificazioni, le indagini e l’udienza preliminare, i riti alternativi, la celebrazione del dibattimento e le impugnazioni.</w:t>
      </w:r>
    </w:p>
    <w:p>
      <w:pPr>
        <w:spacing w:before="0"/>
        <w:ind w:left="1128" w:right="1416" w:firstLine="453"/>
        <w:jc w:val="both"/>
        <w:rPr>
          <w:sz w:val="16"/>
        </w:rPr>
      </w:pPr>
      <w:r>
        <w:rPr>
          <w:position w:val="6"/>
          <w:sz w:val="10"/>
        </w:rPr>
        <w:t>20 </w:t>
      </w:r>
      <w:r>
        <w:rPr>
          <w:sz w:val="16"/>
        </w:rPr>
        <w:t>Decreto legislativo n. 14/2019, recante Codice della crisi d'impresa e dell'insolvenza in attuazione della legge n. 155/2017.</w:t>
      </w:r>
    </w:p>
    <w:p>
      <w:pPr>
        <w:spacing w:after="0"/>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49" w:lineRule="auto" w:before="101"/>
        <w:ind w:left="278" w:right="2262"/>
        <w:jc w:val="both"/>
      </w:pPr>
      <w:r>
        <w:rPr/>
        <w:t>particolare, l’impegno per la razionalizzazione e modernizzazione del patrimonio demaniale in uso all’Amministrazione penitenziaria, con l’obiettivo sia di conferire adeguate</w:t>
      </w:r>
      <w:r>
        <w:rPr>
          <w:spacing w:val="-9"/>
        </w:rPr>
        <w:t> </w:t>
      </w:r>
      <w:r>
        <w:rPr/>
        <w:t>condizioni</w:t>
      </w:r>
      <w:r>
        <w:rPr>
          <w:spacing w:val="-10"/>
        </w:rPr>
        <w:t> </w:t>
      </w:r>
      <w:r>
        <w:rPr/>
        <w:t>di</w:t>
      </w:r>
      <w:r>
        <w:rPr>
          <w:spacing w:val="-10"/>
        </w:rPr>
        <w:t> </w:t>
      </w:r>
      <w:r>
        <w:rPr/>
        <w:t>dignità</w:t>
      </w:r>
      <w:r>
        <w:rPr>
          <w:spacing w:val="-9"/>
        </w:rPr>
        <w:t> </w:t>
      </w:r>
      <w:r>
        <w:rPr/>
        <w:t>e</w:t>
      </w:r>
      <w:r>
        <w:rPr>
          <w:spacing w:val="-8"/>
        </w:rPr>
        <w:t> </w:t>
      </w:r>
      <w:r>
        <w:rPr/>
        <w:t>vivibilità</w:t>
      </w:r>
      <w:r>
        <w:rPr>
          <w:spacing w:val="-9"/>
        </w:rPr>
        <w:t> </w:t>
      </w:r>
      <w:r>
        <w:rPr/>
        <w:t>ai</w:t>
      </w:r>
      <w:r>
        <w:rPr>
          <w:spacing w:val="-9"/>
        </w:rPr>
        <w:t> </w:t>
      </w:r>
      <w:r>
        <w:rPr/>
        <w:t>detenuti</w:t>
      </w:r>
      <w:r>
        <w:rPr>
          <w:spacing w:val="-9"/>
        </w:rPr>
        <w:t> </w:t>
      </w:r>
      <w:r>
        <w:rPr/>
        <w:t>e</w:t>
      </w:r>
      <w:r>
        <w:rPr>
          <w:spacing w:val="-9"/>
        </w:rPr>
        <w:t> </w:t>
      </w:r>
      <w:r>
        <w:rPr/>
        <w:t>agli</w:t>
      </w:r>
      <w:r>
        <w:rPr>
          <w:spacing w:val="-9"/>
        </w:rPr>
        <w:t> </w:t>
      </w:r>
      <w:r>
        <w:rPr/>
        <w:t>operatori</w:t>
      </w:r>
      <w:r>
        <w:rPr>
          <w:spacing w:val="-8"/>
        </w:rPr>
        <w:t> </w:t>
      </w:r>
      <w:r>
        <w:rPr/>
        <w:t>in</w:t>
      </w:r>
      <w:r>
        <w:rPr>
          <w:spacing w:val="-10"/>
        </w:rPr>
        <w:t> </w:t>
      </w:r>
      <w:r>
        <w:rPr/>
        <w:t>carcere,</w:t>
      </w:r>
      <w:r>
        <w:rPr>
          <w:spacing w:val="-8"/>
        </w:rPr>
        <w:t> </w:t>
      </w:r>
      <w:r>
        <w:rPr/>
        <w:t>sia di contrastare l’emergenza del sovraffollamento mediante l’attuazione delle specifiche in materia di edilizia penitenziaria contenute nel decreto legge ‘semplificazione’</w:t>
      </w:r>
      <w:r>
        <w:rPr>
          <w:vertAlign w:val="superscript"/>
        </w:rPr>
        <w:t>21</w:t>
      </w:r>
      <w:r>
        <w:rPr>
          <w:vertAlign w:val="baseline"/>
        </w:rPr>
        <w:t>.</w:t>
      </w:r>
    </w:p>
    <w:p>
      <w:pPr>
        <w:pStyle w:val="BodyText"/>
        <w:spacing w:line="249" w:lineRule="auto" w:before="2"/>
        <w:ind w:left="278" w:right="2265" w:firstLine="453"/>
        <w:jc w:val="both"/>
      </w:pPr>
      <w:r>
        <w:rPr/>
        <w:t>A</w:t>
      </w:r>
      <w:r>
        <w:rPr>
          <w:spacing w:val="-10"/>
        </w:rPr>
        <w:t> </w:t>
      </w:r>
      <w:r>
        <w:rPr/>
        <w:t>maggio</w:t>
      </w:r>
      <w:r>
        <w:rPr>
          <w:spacing w:val="-10"/>
        </w:rPr>
        <w:t> </w:t>
      </w:r>
      <w:r>
        <w:rPr/>
        <w:t>sono</w:t>
      </w:r>
      <w:r>
        <w:rPr>
          <w:spacing w:val="-10"/>
        </w:rPr>
        <w:t> </w:t>
      </w:r>
      <w:r>
        <w:rPr/>
        <w:t>stati</w:t>
      </w:r>
      <w:r>
        <w:rPr>
          <w:spacing w:val="-9"/>
        </w:rPr>
        <w:t> </w:t>
      </w:r>
      <w:r>
        <w:rPr/>
        <w:t>approvati</w:t>
      </w:r>
      <w:r>
        <w:rPr>
          <w:spacing w:val="-10"/>
        </w:rPr>
        <w:t> </w:t>
      </w:r>
      <w:r>
        <w:rPr/>
        <w:t>due</w:t>
      </w:r>
      <w:r>
        <w:rPr>
          <w:spacing w:val="-9"/>
        </w:rPr>
        <w:t> </w:t>
      </w:r>
      <w:r>
        <w:rPr/>
        <w:t>disegni</w:t>
      </w:r>
      <w:r>
        <w:rPr>
          <w:spacing w:val="-9"/>
        </w:rPr>
        <w:t> </w:t>
      </w:r>
      <w:r>
        <w:rPr/>
        <w:t>di</w:t>
      </w:r>
      <w:r>
        <w:rPr>
          <w:spacing w:val="-10"/>
        </w:rPr>
        <w:t> </w:t>
      </w:r>
      <w:r>
        <w:rPr/>
        <w:t>legge</w:t>
      </w:r>
      <w:r>
        <w:rPr>
          <w:spacing w:val="-10"/>
        </w:rPr>
        <w:t> </w:t>
      </w:r>
      <w:r>
        <w:rPr/>
        <w:t>governativi,</w:t>
      </w:r>
      <w:r>
        <w:rPr>
          <w:spacing w:val="-9"/>
        </w:rPr>
        <w:t> </w:t>
      </w:r>
      <w:r>
        <w:rPr/>
        <w:t>il</w:t>
      </w:r>
      <w:r>
        <w:rPr>
          <w:spacing w:val="-10"/>
        </w:rPr>
        <w:t> </w:t>
      </w:r>
      <w:r>
        <w:rPr/>
        <w:t>primo</w:t>
      </w:r>
      <w:r>
        <w:rPr>
          <w:spacing w:val="-10"/>
        </w:rPr>
        <w:t> </w:t>
      </w:r>
      <w:r>
        <w:rPr/>
        <w:t>relativo al</w:t>
      </w:r>
      <w:r>
        <w:rPr>
          <w:spacing w:val="-13"/>
        </w:rPr>
        <w:t> </w:t>
      </w:r>
      <w:r>
        <w:rPr/>
        <w:t>gratuito</w:t>
      </w:r>
      <w:r>
        <w:rPr>
          <w:spacing w:val="-12"/>
        </w:rPr>
        <w:t> </w:t>
      </w:r>
      <w:r>
        <w:rPr/>
        <w:t>patrocinio</w:t>
      </w:r>
      <w:r>
        <w:rPr>
          <w:spacing w:val="-13"/>
        </w:rPr>
        <w:t> </w:t>
      </w:r>
      <w:r>
        <w:rPr/>
        <w:t>di</w:t>
      </w:r>
      <w:r>
        <w:rPr>
          <w:spacing w:val="-17"/>
        </w:rPr>
        <w:t> </w:t>
      </w:r>
      <w:r>
        <w:rPr/>
        <w:t>cui</w:t>
      </w:r>
      <w:r>
        <w:rPr>
          <w:spacing w:val="-12"/>
        </w:rPr>
        <w:t> </w:t>
      </w:r>
      <w:r>
        <w:rPr/>
        <w:t>al</w:t>
      </w:r>
      <w:r>
        <w:rPr>
          <w:spacing w:val="-15"/>
        </w:rPr>
        <w:t> </w:t>
      </w:r>
      <w:r>
        <w:rPr/>
        <w:t>testo</w:t>
      </w:r>
      <w:r>
        <w:rPr>
          <w:spacing w:val="-12"/>
        </w:rPr>
        <w:t> </w:t>
      </w:r>
      <w:r>
        <w:rPr/>
        <w:t>unico</w:t>
      </w:r>
      <w:r>
        <w:rPr>
          <w:spacing w:val="-15"/>
        </w:rPr>
        <w:t> </w:t>
      </w:r>
      <w:r>
        <w:rPr/>
        <w:t>delle</w:t>
      </w:r>
      <w:r>
        <w:rPr>
          <w:spacing w:val="-12"/>
        </w:rPr>
        <w:t> </w:t>
      </w:r>
      <w:r>
        <w:rPr/>
        <w:t>spese</w:t>
      </w:r>
      <w:r>
        <w:rPr>
          <w:spacing w:val="-12"/>
        </w:rPr>
        <w:t> </w:t>
      </w:r>
      <w:r>
        <w:rPr/>
        <w:t>di</w:t>
      </w:r>
      <w:r>
        <w:rPr>
          <w:spacing w:val="-13"/>
        </w:rPr>
        <w:t> </w:t>
      </w:r>
      <w:r>
        <w:rPr/>
        <w:t>giustizia,</w:t>
      </w:r>
      <w:r>
        <w:rPr>
          <w:spacing w:val="-13"/>
        </w:rPr>
        <w:t> </w:t>
      </w:r>
      <w:r>
        <w:rPr/>
        <w:t>il</w:t>
      </w:r>
      <w:r>
        <w:rPr>
          <w:spacing w:val="-13"/>
        </w:rPr>
        <w:t> </w:t>
      </w:r>
      <w:r>
        <w:rPr/>
        <w:t>secondo</w:t>
      </w:r>
      <w:r>
        <w:rPr>
          <w:spacing w:val="-13"/>
        </w:rPr>
        <w:t> </w:t>
      </w:r>
      <w:r>
        <w:rPr/>
        <w:t>in</w:t>
      </w:r>
      <w:r>
        <w:rPr>
          <w:spacing w:val="-13"/>
        </w:rPr>
        <w:t> </w:t>
      </w:r>
      <w:r>
        <w:rPr/>
        <w:t>tema di magistratura onoraria; infine, nel mese di luglio, il Parlamento ha approvato in via definitiva il disegno di legge governativo denominato ‘Codice rosso’</w:t>
      </w:r>
      <w:r>
        <w:rPr>
          <w:vertAlign w:val="superscript"/>
        </w:rPr>
        <w:t>22</w:t>
      </w:r>
      <w:r>
        <w:rPr>
          <w:vertAlign w:val="baseline"/>
        </w:rPr>
        <w:t> contenente</w:t>
      </w:r>
      <w:r>
        <w:rPr>
          <w:spacing w:val="-10"/>
          <w:vertAlign w:val="baseline"/>
        </w:rPr>
        <w:t> </w:t>
      </w:r>
      <w:r>
        <w:rPr>
          <w:vertAlign w:val="baseline"/>
        </w:rPr>
        <w:t>disposizioni</w:t>
      </w:r>
      <w:r>
        <w:rPr>
          <w:spacing w:val="-11"/>
          <w:vertAlign w:val="baseline"/>
        </w:rPr>
        <w:t> </w:t>
      </w:r>
      <w:r>
        <w:rPr>
          <w:vertAlign w:val="baseline"/>
        </w:rPr>
        <w:t>in</w:t>
      </w:r>
      <w:r>
        <w:rPr>
          <w:spacing w:val="-10"/>
          <w:vertAlign w:val="baseline"/>
        </w:rPr>
        <w:t> </w:t>
      </w:r>
      <w:r>
        <w:rPr>
          <w:vertAlign w:val="baseline"/>
        </w:rPr>
        <w:t>materia</w:t>
      </w:r>
      <w:r>
        <w:rPr>
          <w:spacing w:val="-11"/>
          <w:vertAlign w:val="baseline"/>
        </w:rPr>
        <w:t> </w:t>
      </w:r>
      <w:r>
        <w:rPr>
          <w:vertAlign w:val="baseline"/>
        </w:rPr>
        <w:t>di</w:t>
      </w:r>
      <w:r>
        <w:rPr>
          <w:spacing w:val="-10"/>
          <w:vertAlign w:val="baseline"/>
        </w:rPr>
        <w:t> </w:t>
      </w:r>
      <w:r>
        <w:rPr>
          <w:vertAlign w:val="baseline"/>
        </w:rPr>
        <w:t>tutela</w:t>
      </w:r>
      <w:r>
        <w:rPr>
          <w:spacing w:val="-10"/>
          <w:vertAlign w:val="baseline"/>
        </w:rPr>
        <w:t> </w:t>
      </w:r>
      <w:r>
        <w:rPr>
          <w:vertAlign w:val="baseline"/>
        </w:rPr>
        <w:t>delle</w:t>
      </w:r>
      <w:r>
        <w:rPr>
          <w:spacing w:val="-8"/>
          <w:vertAlign w:val="baseline"/>
        </w:rPr>
        <w:t> </w:t>
      </w:r>
      <w:r>
        <w:rPr>
          <w:vertAlign w:val="baseline"/>
        </w:rPr>
        <w:t>vittime</w:t>
      </w:r>
      <w:r>
        <w:rPr>
          <w:spacing w:val="-9"/>
          <w:vertAlign w:val="baseline"/>
        </w:rPr>
        <w:t> </w:t>
      </w:r>
      <w:r>
        <w:rPr>
          <w:vertAlign w:val="baseline"/>
        </w:rPr>
        <w:t>di</w:t>
      </w:r>
      <w:r>
        <w:rPr>
          <w:spacing w:val="-9"/>
          <w:vertAlign w:val="baseline"/>
        </w:rPr>
        <w:t> </w:t>
      </w:r>
      <w:r>
        <w:rPr>
          <w:vertAlign w:val="baseline"/>
        </w:rPr>
        <w:t>violenza</w:t>
      </w:r>
      <w:r>
        <w:rPr>
          <w:spacing w:val="-11"/>
          <w:vertAlign w:val="baseline"/>
        </w:rPr>
        <w:t> </w:t>
      </w:r>
      <w:r>
        <w:rPr>
          <w:vertAlign w:val="baseline"/>
        </w:rPr>
        <w:t>domestica</w:t>
      </w:r>
      <w:r>
        <w:rPr>
          <w:spacing w:val="-9"/>
          <w:vertAlign w:val="baseline"/>
        </w:rPr>
        <w:t> </w:t>
      </w:r>
      <w:r>
        <w:rPr>
          <w:vertAlign w:val="baseline"/>
        </w:rPr>
        <w:t>e</w:t>
      </w:r>
      <w:r>
        <w:rPr>
          <w:spacing w:val="-10"/>
          <w:vertAlign w:val="baseline"/>
        </w:rPr>
        <w:t> </w:t>
      </w:r>
      <w:r>
        <w:rPr>
          <w:vertAlign w:val="baseline"/>
        </w:rPr>
        <w:t>di genere.</w:t>
      </w:r>
    </w:p>
    <w:p>
      <w:pPr>
        <w:pStyle w:val="BodyText"/>
        <w:spacing w:line="247" w:lineRule="auto" w:before="5"/>
        <w:ind w:left="278" w:right="2261" w:firstLine="453"/>
        <w:jc w:val="both"/>
      </w:pPr>
      <w:r>
        <w:rPr/>
        <w:t>Sotto il profilo della prevenzione della corruzione si deve segnalare che la Commissione Europea, nel </w:t>
      </w:r>
      <w:r>
        <w:rPr>
          <w:i/>
        </w:rPr>
        <w:t>Country Report </w:t>
      </w:r>
      <w:r>
        <w:rPr/>
        <w:t>2019</w:t>
      </w:r>
      <w:r>
        <w:rPr>
          <w:vertAlign w:val="superscript"/>
        </w:rPr>
        <w:t>23</w:t>
      </w:r>
      <w:r>
        <w:rPr>
          <w:vertAlign w:val="baseline"/>
        </w:rPr>
        <w:t>, ha dato conto dei miglioramenti che</w:t>
      </w:r>
      <w:r>
        <w:rPr>
          <w:spacing w:val="-17"/>
          <w:vertAlign w:val="baseline"/>
        </w:rPr>
        <w:t> </w:t>
      </w:r>
      <w:r>
        <w:rPr>
          <w:vertAlign w:val="baseline"/>
        </w:rPr>
        <w:t>si</w:t>
      </w:r>
      <w:r>
        <w:rPr>
          <w:spacing w:val="-17"/>
          <w:vertAlign w:val="baseline"/>
        </w:rPr>
        <w:t> </w:t>
      </w:r>
      <w:r>
        <w:rPr>
          <w:vertAlign w:val="baseline"/>
        </w:rPr>
        <w:t>sono</w:t>
      </w:r>
      <w:r>
        <w:rPr>
          <w:spacing w:val="-17"/>
          <w:vertAlign w:val="baseline"/>
        </w:rPr>
        <w:t> </w:t>
      </w:r>
      <w:r>
        <w:rPr>
          <w:vertAlign w:val="baseline"/>
        </w:rPr>
        <w:t>verificati</w:t>
      </w:r>
      <w:r>
        <w:rPr>
          <w:spacing w:val="-17"/>
          <w:vertAlign w:val="baseline"/>
        </w:rPr>
        <w:t> </w:t>
      </w:r>
      <w:r>
        <w:rPr>
          <w:vertAlign w:val="baseline"/>
        </w:rPr>
        <w:t>nel</w:t>
      </w:r>
      <w:r>
        <w:rPr>
          <w:spacing w:val="-16"/>
          <w:vertAlign w:val="baseline"/>
        </w:rPr>
        <w:t> </w:t>
      </w:r>
      <w:r>
        <w:rPr>
          <w:vertAlign w:val="baseline"/>
        </w:rPr>
        <w:t>settore;</w:t>
      </w:r>
      <w:r>
        <w:rPr>
          <w:spacing w:val="-14"/>
          <w:vertAlign w:val="baseline"/>
        </w:rPr>
        <w:t> </w:t>
      </w:r>
      <w:r>
        <w:rPr>
          <w:vertAlign w:val="baseline"/>
        </w:rPr>
        <w:t>in</w:t>
      </w:r>
      <w:r>
        <w:rPr>
          <w:spacing w:val="-17"/>
          <w:vertAlign w:val="baseline"/>
        </w:rPr>
        <w:t> </w:t>
      </w:r>
      <w:r>
        <w:rPr>
          <w:vertAlign w:val="baseline"/>
        </w:rPr>
        <w:t>particolare</w:t>
      </w:r>
      <w:r>
        <w:rPr>
          <w:spacing w:val="-16"/>
          <w:vertAlign w:val="baseline"/>
        </w:rPr>
        <w:t> </w:t>
      </w:r>
      <w:r>
        <w:rPr>
          <w:vertAlign w:val="baseline"/>
        </w:rPr>
        <w:t>è</w:t>
      </w:r>
      <w:r>
        <w:rPr>
          <w:spacing w:val="-18"/>
          <w:vertAlign w:val="baseline"/>
        </w:rPr>
        <w:t> </w:t>
      </w:r>
      <w:r>
        <w:rPr>
          <w:vertAlign w:val="baseline"/>
        </w:rPr>
        <w:t>stato</w:t>
      </w:r>
      <w:r>
        <w:rPr>
          <w:spacing w:val="-17"/>
          <w:vertAlign w:val="baseline"/>
        </w:rPr>
        <w:t> </w:t>
      </w:r>
      <w:r>
        <w:rPr>
          <w:vertAlign w:val="baseline"/>
        </w:rPr>
        <w:t>apprezzato</w:t>
      </w:r>
      <w:r>
        <w:rPr>
          <w:spacing w:val="-16"/>
          <w:vertAlign w:val="baseline"/>
        </w:rPr>
        <w:t> </w:t>
      </w:r>
      <w:r>
        <w:rPr>
          <w:vertAlign w:val="baseline"/>
        </w:rPr>
        <w:t>il</w:t>
      </w:r>
      <w:r>
        <w:rPr>
          <w:spacing w:val="-17"/>
          <w:vertAlign w:val="baseline"/>
        </w:rPr>
        <w:t> </w:t>
      </w:r>
      <w:r>
        <w:rPr>
          <w:vertAlign w:val="baseline"/>
        </w:rPr>
        <w:t>rafforzato</w:t>
      </w:r>
      <w:r>
        <w:rPr>
          <w:spacing w:val="-17"/>
          <w:vertAlign w:val="baseline"/>
        </w:rPr>
        <w:t> </w:t>
      </w:r>
      <w:r>
        <w:rPr>
          <w:vertAlign w:val="baseline"/>
        </w:rPr>
        <w:t>ruolo e le nuove responsabilità attribuite all’Autorità Nazionale Anticorruzione, con riferimento specifico non soltanto al settore degli appalti pubblici. Il Rapporto sottolinea la puntuale attività di vigilanza preventiva dell’Autorità - attuata anche grazie alle numerose segnalazioni pervenute da operatori economici e cittadini – e la tutela del dipendente pubblico che segnala</w:t>
      </w:r>
      <w:r>
        <w:rPr>
          <w:spacing w:val="-9"/>
          <w:vertAlign w:val="baseline"/>
        </w:rPr>
        <w:t> </w:t>
      </w:r>
      <w:r>
        <w:rPr>
          <w:vertAlign w:val="baseline"/>
        </w:rPr>
        <w:t>illeciti.</w:t>
      </w:r>
    </w:p>
    <w:p>
      <w:pPr>
        <w:pStyle w:val="BodyText"/>
        <w:spacing w:before="3"/>
        <w:rPr>
          <w:sz w:val="33"/>
        </w:rPr>
      </w:pPr>
    </w:p>
    <w:p>
      <w:pPr>
        <w:pStyle w:val="Heading3"/>
        <w:jc w:val="both"/>
      </w:pPr>
      <w:r>
        <w:rPr>
          <w:color w:val="585858"/>
        </w:rPr>
        <w:t>Sistema bancario e accesso al credito delle PMI - CSR n. 5</w:t>
      </w:r>
    </w:p>
    <w:p>
      <w:pPr>
        <w:spacing w:line="232" w:lineRule="auto" w:before="159"/>
        <w:ind w:left="278" w:right="2264" w:firstLine="0"/>
        <w:jc w:val="both"/>
        <w:rPr>
          <w:rFonts w:ascii="Franklin Gothic Book" w:hAnsi="Franklin Gothic Book"/>
          <w:sz w:val="20"/>
        </w:rPr>
      </w:pPr>
      <w:r>
        <w:rPr/>
        <w:pict>
          <v:line style="position:absolute;mso-position-horizontal-relative:page;mso-position-vertical-relative:paragraph;z-index:-251429888;mso-wrap-distance-left:0;mso-wrap-distance-right:0" from="69.503998pt,46.720078pt" to="483.453998pt,46.720078pt" stroked="true" strokeweight="1.44pt" strokecolor="#006247">
            <v:stroke dashstyle="solid"/>
            <w10:wrap type="topAndBottom"/>
          </v:line>
        </w:pict>
      </w:r>
      <w:r>
        <w:rPr>
          <w:rFonts w:ascii="Franklin Gothic Heavy" w:hAnsi="Franklin Gothic Heavy"/>
          <w:b/>
          <w:color w:val="006247"/>
          <w:sz w:val="20"/>
        </w:rPr>
        <w:t>LINEE</w:t>
      </w:r>
      <w:r>
        <w:rPr>
          <w:rFonts w:ascii="Franklin Gothic Heavy" w:hAnsi="Franklin Gothic Heavy"/>
          <w:b/>
          <w:color w:val="006247"/>
          <w:spacing w:val="-14"/>
          <w:sz w:val="20"/>
        </w:rPr>
        <w:t> </w:t>
      </w:r>
      <w:r>
        <w:rPr>
          <w:rFonts w:ascii="Franklin Gothic Heavy" w:hAnsi="Franklin Gothic Heavy"/>
          <w:b/>
          <w:color w:val="006247"/>
          <w:sz w:val="20"/>
        </w:rPr>
        <w:t>PROGRAMMATICHE:</w:t>
      </w:r>
      <w:r>
        <w:rPr>
          <w:rFonts w:ascii="Franklin Gothic Heavy" w:hAnsi="Franklin Gothic Heavy"/>
          <w:b/>
          <w:color w:val="006247"/>
          <w:spacing w:val="-12"/>
          <w:sz w:val="20"/>
        </w:rPr>
        <w:t> </w:t>
      </w:r>
      <w:r>
        <w:rPr>
          <w:rFonts w:ascii="Franklin Gothic Book" w:hAnsi="Franklin Gothic Book"/>
          <w:sz w:val="20"/>
        </w:rPr>
        <w:t>il</w:t>
      </w:r>
      <w:r>
        <w:rPr>
          <w:rFonts w:ascii="Franklin Gothic Book" w:hAnsi="Franklin Gothic Book"/>
          <w:spacing w:val="-15"/>
          <w:sz w:val="20"/>
        </w:rPr>
        <w:t> </w:t>
      </w:r>
      <w:r>
        <w:rPr>
          <w:rFonts w:ascii="Franklin Gothic Book" w:hAnsi="Franklin Gothic Book"/>
          <w:sz w:val="20"/>
        </w:rPr>
        <w:t>Governo</w:t>
      </w:r>
      <w:r>
        <w:rPr>
          <w:rFonts w:ascii="Franklin Gothic Book" w:hAnsi="Franklin Gothic Book"/>
          <w:spacing w:val="-14"/>
          <w:sz w:val="20"/>
        </w:rPr>
        <w:t> </w:t>
      </w:r>
      <w:r>
        <w:rPr>
          <w:rFonts w:ascii="Franklin Gothic Book" w:hAnsi="Franklin Gothic Book"/>
          <w:sz w:val="20"/>
        </w:rPr>
        <w:t>intende</w:t>
      </w:r>
      <w:r>
        <w:rPr>
          <w:rFonts w:ascii="Franklin Gothic Book" w:hAnsi="Franklin Gothic Book"/>
          <w:spacing w:val="-15"/>
          <w:sz w:val="20"/>
        </w:rPr>
        <w:t> </w:t>
      </w:r>
      <w:r>
        <w:rPr>
          <w:rFonts w:ascii="Franklin Gothic Book" w:hAnsi="Franklin Gothic Book"/>
          <w:sz w:val="20"/>
        </w:rPr>
        <w:t>completare</w:t>
      </w:r>
      <w:r>
        <w:rPr>
          <w:rFonts w:ascii="Franklin Gothic Book" w:hAnsi="Franklin Gothic Book"/>
          <w:spacing w:val="-15"/>
          <w:sz w:val="20"/>
        </w:rPr>
        <w:t> </w:t>
      </w:r>
      <w:r>
        <w:rPr>
          <w:rFonts w:ascii="Franklin Gothic Book" w:hAnsi="Franklin Gothic Book"/>
          <w:sz w:val="20"/>
        </w:rPr>
        <w:t>il</w:t>
      </w:r>
      <w:r>
        <w:rPr>
          <w:rFonts w:ascii="Franklin Gothic Book" w:hAnsi="Franklin Gothic Book"/>
          <w:spacing w:val="-14"/>
          <w:sz w:val="20"/>
        </w:rPr>
        <w:t> </w:t>
      </w:r>
      <w:r>
        <w:rPr>
          <w:rFonts w:ascii="Franklin Gothic Book" w:hAnsi="Franklin Gothic Book"/>
          <w:sz w:val="20"/>
        </w:rPr>
        <w:t>processo</w:t>
      </w:r>
      <w:r>
        <w:rPr>
          <w:rFonts w:ascii="Franklin Gothic Book" w:hAnsi="Franklin Gothic Book"/>
          <w:spacing w:val="-15"/>
          <w:sz w:val="20"/>
        </w:rPr>
        <w:t> </w:t>
      </w:r>
      <w:r>
        <w:rPr>
          <w:rFonts w:ascii="Franklin Gothic Book" w:hAnsi="Franklin Gothic Book"/>
          <w:sz w:val="20"/>
        </w:rPr>
        <w:t>di</w:t>
      </w:r>
      <w:r>
        <w:rPr>
          <w:rFonts w:ascii="Franklin Gothic Book" w:hAnsi="Franklin Gothic Book"/>
          <w:spacing w:val="-13"/>
          <w:sz w:val="20"/>
        </w:rPr>
        <w:t> </w:t>
      </w:r>
      <w:r>
        <w:rPr>
          <w:rFonts w:ascii="Franklin Gothic Book" w:hAnsi="Franklin Gothic Book"/>
          <w:sz w:val="20"/>
        </w:rPr>
        <w:t>risanamento</w:t>
      </w:r>
      <w:r>
        <w:rPr>
          <w:rFonts w:ascii="Franklin Gothic Book" w:hAnsi="Franklin Gothic Book"/>
          <w:spacing w:val="-11"/>
          <w:sz w:val="20"/>
        </w:rPr>
        <w:t> </w:t>
      </w:r>
      <w:r>
        <w:rPr>
          <w:rFonts w:ascii="Franklin Gothic Book" w:hAnsi="Franklin Gothic Book"/>
          <w:sz w:val="20"/>
        </w:rPr>
        <w:t>del</w:t>
      </w:r>
      <w:r>
        <w:rPr>
          <w:rFonts w:ascii="Franklin Gothic Book" w:hAnsi="Franklin Gothic Book"/>
          <w:spacing w:val="-16"/>
          <w:sz w:val="20"/>
        </w:rPr>
        <w:t> </w:t>
      </w:r>
      <w:r>
        <w:rPr>
          <w:rFonts w:ascii="Franklin Gothic Book" w:hAnsi="Franklin Gothic Book"/>
          <w:sz w:val="20"/>
        </w:rPr>
        <w:t>sistema bancario</w:t>
      </w:r>
      <w:r>
        <w:rPr>
          <w:rFonts w:ascii="Franklin Gothic Book" w:hAnsi="Franklin Gothic Book"/>
          <w:spacing w:val="-6"/>
          <w:sz w:val="20"/>
        </w:rPr>
        <w:t> </w:t>
      </w:r>
      <w:r>
        <w:rPr>
          <w:rFonts w:ascii="Franklin Gothic Book" w:hAnsi="Franklin Gothic Book"/>
          <w:sz w:val="20"/>
        </w:rPr>
        <w:t>e</w:t>
      </w:r>
      <w:r>
        <w:rPr>
          <w:rFonts w:ascii="Franklin Gothic Book" w:hAnsi="Franklin Gothic Book"/>
          <w:spacing w:val="-3"/>
          <w:sz w:val="20"/>
        </w:rPr>
        <w:t> </w:t>
      </w:r>
      <w:r>
        <w:rPr>
          <w:rFonts w:ascii="Franklin Gothic Book" w:hAnsi="Franklin Gothic Book"/>
          <w:sz w:val="20"/>
        </w:rPr>
        <w:t>rafforzare</w:t>
      </w:r>
      <w:r>
        <w:rPr>
          <w:rFonts w:ascii="Franklin Gothic Book" w:hAnsi="Franklin Gothic Book"/>
          <w:spacing w:val="-4"/>
          <w:sz w:val="20"/>
        </w:rPr>
        <w:t> </w:t>
      </w:r>
      <w:r>
        <w:rPr>
          <w:rFonts w:ascii="Franklin Gothic Book" w:hAnsi="Franklin Gothic Book"/>
          <w:sz w:val="20"/>
        </w:rPr>
        <w:t>la</w:t>
      </w:r>
      <w:r>
        <w:rPr>
          <w:rFonts w:ascii="Franklin Gothic Book" w:hAnsi="Franklin Gothic Book"/>
          <w:spacing w:val="-5"/>
          <w:sz w:val="20"/>
        </w:rPr>
        <w:t> </w:t>
      </w:r>
      <w:r>
        <w:rPr>
          <w:rFonts w:ascii="Franklin Gothic Book" w:hAnsi="Franklin Gothic Book"/>
          <w:sz w:val="20"/>
        </w:rPr>
        <w:t>tutela</w:t>
      </w:r>
      <w:r>
        <w:rPr>
          <w:rFonts w:ascii="Franklin Gothic Book" w:hAnsi="Franklin Gothic Book"/>
          <w:spacing w:val="-5"/>
          <w:sz w:val="20"/>
        </w:rPr>
        <w:t> </w:t>
      </w:r>
      <w:r>
        <w:rPr>
          <w:rFonts w:ascii="Franklin Gothic Book" w:hAnsi="Franklin Gothic Book"/>
          <w:sz w:val="20"/>
        </w:rPr>
        <w:t>dei</w:t>
      </w:r>
      <w:r>
        <w:rPr>
          <w:rFonts w:ascii="Franklin Gothic Book" w:hAnsi="Franklin Gothic Book"/>
          <w:spacing w:val="-6"/>
          <w:sz w:val="20"/>
        </w:rPr>
        <w:t> </w:t>
      </w:r>
      <w:r>
        <w:rPr>
          <w:rFonts w:ascii="Franklin Gothic Book" w:hAnsi="Franklin Gothic Book"/>
          <w:sz w:val="20"/>
        </w:rPr>
        <w:t>risparmiatori</w:t>
      </w:r>
      <w:r>
        <w:rPr>
          <w:rFonts w:ascii="Franklin Gothic Book" w:hAnsi="Franklin Gothic Book"/>
          <w:spacing w:val="-4"/>
          <w:sz w:val="20"/>
        </w:rPr>
        <w:t> </w:t>
      </w:r>
      <w:r>
        <w:rPr>
          <w:rFonts w:ascii="Franklin Gothic Book" w:hAnsi="Franklin Gothic Book"/>
          <w:sz w:val="20"/>
        </w:rPr>
        <w:t>e</w:t>
      </w:r>
      <w:r>
        <w:rPr>
          <w:rFonts w:ascii="Franklin Gothic Book" w:hAnsi="Franklin Gothic Book"/>
          <w:spacing w:val="-2"/>
          <w:sz w:val="20"/>
        </w:rPr>
        <w:t> </w:t>
      </w:r>
      <w:r>
        <w:rPr>
          <w:rFonts w:ascii="Franklin Gothic Book" w:hAnsi="Franklin Gothic Book"/>
          <w:sz w:val="20"/>
        </w:rPr>
        <w:t>la</w:t>
      </w:r>
      <w:r>
        <w:rPr>
          <w:rFonts w:ascii="Franklin Gothic Book" w:hAnsi="Franklin Gothic Book"/>
          <w:spacing w:val="-3"/>
          <w:sz w:val="20"/>
        </w:rPr>
        <w:t> </w:t>
      </w:r>
      <w:r>
        <w:rPr>
          <w:rFonts w:ascii="Franklin Gothic Book" w:hAnsi="Franklin Gothic Book"/>
          <w:sz w:val="20"/>
        </w:rPr>
        <w:t>promozione</w:t>
      </w:r>
      <w:r>
        <w:rPr>
          <w:rFonts w:ascii="Franklin Gothic Book" w:hAnsi="Franklin Gothic Book"/>
          <w:spacing w:val="-5"/>
          <w:sz w:val="20"/>
        </w:rPr>
        <w:t> </w:t>
      </w:r>
      <w:r>
        <w:rPr>
          <w:rFonts w:ascii="Franklin Gothic Book" w:hAnsi="Franklin Gothic Book"/>
          <w:sz w:val="20"/>
        </w:rPr>
        <w:t>del</w:t>
      </w:r>
      <w:r>
        <w:rPr>
          <w:rFonts w:ascii="Franklin Gothic Book" w:hAnsi="Franklin Gothic Book"/>
          <w:spacing w:val="-3"/>
          <w:sz w:val="20"/>
        </w:rPr>
        <w:t> </w:t>
      </w:r>
      <w:r>
        <w:rPr>
          <w:rFonts w:ascii="Franklin Gothic Book" w:hAnsi="Franklin Gothic Book"/>
          <w:sz w:val="20"/>
        </w:rPr>
        <w:t>risparmio</w:t>
      </w:r>
      <w:r>
        <w:rPr>
          <w:rFonts w:ascii="Franklin Gothic Book" w:hAnsi="Franklin Gothic Book"/>
          <w:spacing w:val="-5"/>
          <w:sz w:val="20"/>
        </w:rPr>
        <w:t> </w:t>
      </w:r>
      <w:r>
        <w:rPr>
          <w:rFonts w:ascii="Franklin Gothic Book" w:hAnsi="Franklin Gothic Book"/>
          <w:sz w:val="20"/>
        </w:rPr>
        <w:t>nonché</w:t>
      </w:r>
      <w:r>
        <w:rPr>
          <w:rFonts w:ascii="Franklin Gothic Book" w:hAnsi="Franklin Gothic Book"/>
          <w:spacing w:val="-1"/>
          <w:sz w:val="20"/>
        </w:rPr>
        <w:t> </w:t>
      </w:r>
      <w:r>
        <w:rPr>
          <w:rFonts w:ascii="Franklin Gothic Book" w:hAnsi="Franklin Gothic Book"/>
          <w:sz w:val="20"/>
        </w:rPr>
        <w:t>sostenere</w:t>
      </w:r>
      <w:r>
        <w:rPr>
          <w:rFonts w:ascii="Franklin Gothic Book" w:hAnsi="Franklin Gothic Book"/>
          <w:spacing w:val="-6"/>
          <w:sz w:val="20"/>
        </w:rPr>
        <w:t> </w:t>
      </w:r>
      <w:r>
        <w:rPr>
          <w:rFonts w:ascii="Franklin Gothic Book" w:hAnsi="Franklin Gothic Book"/>
          <w:sz w:val="20"/>
        </w:rPr>
        <w:t>le imprese per l’accesso al credito attraverso canali alternativi a quello</w:t>
      </w:r>
      <w:r>
        <w:rPr>
          <w:rFonts w:ascii="Franklin Gothic Book" w:hAnsi="Franklin Gothic Book"/>
          <w:spacing w:val="-8"/>
          <w:sz w:val="20"/>
        </w:rPr>
        <w:t> </w:t>
      </w:r>
      <w:r>
        <w:rPr>
          <w:rFonts w:ascii="Franklin Gothic Book" w:hAnsi="Franklin Gothic Book"/>
          <w:sz w:val="20"/>
        </w:rPr>
        <w:t>bancario.</w:t>
      </w:r>
    </w:p>
    <w:p>
      <w:pPr>
        <w:pStyle w:val="BodyText"/>
        <w:spacing w:before="6"/>
        <w:rPr>
          <w:rFonts w:ascii="Franklin Gothic Book"/>
          <w:sz w:val="11"/>
        </w:rPr>
      </w:pPr>
    </w:p>
    <w:p>
      <w:pPr>
        <w:pStyle w:val="BodyText"/>
        <w:spacing w:line="252" w:lineRule="auto" w:before="101"/>
        <w:ind w:left="278" w:right="2263" w:firstLine="453"/>
        <w:jc w:val="both"/>
      </w:pPr>
      <w:r>
        <w:rPr/>
        <w:t>Le condizioni complessive del sistema bancario italiano continuano a migliorare, in termini di redditività, coefficienti di capitalizzazione e smaltimento dei crediti in sofferenza.</w:t>
      </w:r>
    </w:p>
    <w:p>
      <w:pPr>
        <w:pStyle w:val="BodyText"/>
        <w:spacing w:line="252" w:lineRule="auto" w:before="2"/>
        <w:ind w:left="278" w:right="2264" w:firstLine="453"/>
        <w:jc w:val="both"/>
      </w:pPr>
      <w:r>
        <w:rPr/>
        <w:t>In merito alle cartolarizzazioni di crediti deteriorati, sta per diventare operativo il Fondo della Società di Gestione Attività (SGA), controllata dal MEF e compartecipata da alcune banche, in cui verranno convogliati inizialmente 2 miliardi di crediti semi-deteriorati di natura immobiliare, con la possibilità di allargare il perimetro di operatività fino a 3-4 miliardi.</w:t>
      </w:r>
    </w:p>
    <w:p>
      <w:pPr>
        <w:pStyle w:val="BodyText"/>
        <w:spacing w:line="252" w:lineRule="auto"/>
        <w:ind w:left="278" w:right="2261" w:firstLine="453"/>
        <w:jc w:val="both"/>
      </w:pPr>
      <w:r>
        <w:rPr/>
        <w:t>Con il decreto ‘Crescita’ e con il successivo decreto attuativo è stato reso operativo il Fondo Indennizzo Risparmiatori (FIR), previsto dalla Legge di bilancio per il 2019 per indennizzare i risparmiatori coinvolti dai crac bancari. Il Fondo ha una</w:t>
      </w:r>
      <w:r>
        <w:rPr>
          <w:spacing w:val="-13"/>
        </w:rPr>
        <w:t> </w:t>
      </w:r>
      <w:r>
        <w:rPr/>
        <w:t>dotazione</w:t>
      </w:r>
      <w:r>
        <w:rPr>
          <w:spacing w:val="-12"/>
        </w:rPr>
        <w:t> </w:t>
      </w:r>
      <w:r>
        <w:rPr/>
        <w:t>iniziale</w:t>
      </w:r>
      <w:r>
        <w:rPr>
          <w:spacing w:val="-13"/>
        </w:rPr>
        <w:t> </w:t>
      </w:r>
      <w:r>
        <w:rPr/>
        <w:t>di</w:t>
      </w:r>
      <w:r>
        <w:rPr>
          <w:spacing w:val="-12"/>
        </w:rPr>
        <w:t> </w:t>
      </w:r>
      <w:r>
        <w:rPr/>
        <w:t>oltre</w:t>
      </w:r>
      <w:r>
        <w:rPr>
          <w:spacing w:val="-12"/>
        </w:rPr>
        <w:t> </w:t>
      </w:r>
      <w:r>
        <w:rPr/>
        <w:t>1,5</w:t>
      </w:r>
      <w:r>
        <w:rPr>
          <w:spacing w:val="-12"/>
        </w:rPr>
        <w:t> </w:t>
      </w:r>
      <w:r>
        <w:rPr/>
        <w:t>miliardi:</w:t>
      </w:r>
      <w:r>
        <w:rPr>
          <w:spacing w:val="-12"/>
        </w:rPr>
        <w:t> </w:t>
      </w:r>
      <w:r>
        <w:rPr/>
        <w:t>525</w:t>
      </w:r>
      <w:r>
        <w:rPr>
          <w:spacing w:val="-12"/>
        </w:rPr>
        <w:t> </w:t>
      </w:r>
      <w:r>
        <w:rPr/>
        <w:t>milioni</w:t>
      </w:r>
      <w:r>
        <w:rPr>
          <w:spacing w:val="-12"/>
        </w:rPr>
        <w:t> </w:t>
      </w:r>
      <w:r>
        <w:rPr/>
        <w:t>per</w:t>
      </w:r>
      <w:r>
        <w:rPr>
          <w:spacing w:val="-12"/>
        </w:rPr>
        <w:t> </w:t>
      </w:r>
      <w:r>
        <w:rPr/>
        <w:t>ciascuno</w:t>
      </w:r>
      <w:r>
        <w:rPr>
          <w:spacing w:val="-13"/>
        </w:rPr>
        <w:t> </w:t>
      </w:r>
      <w:r>
        <w:rPr/>
        <w:t>degli</w:t>
      </w:r>
      <w:r>
        <w:rPr>
          <w:spacing w:val="-15"/>
        </w:rPr>
        <w:t> </w:t>
      </w:r>
      <w:r>
        <w:rPr/>
        <w:t>anni</w:t>
      </w:r>
      <w:r>
        <w:rPr>
          <w:spacing w:val="-12"/>
        </w:rPr>
        <w:t> </w:t>
      </w:r>
      <w:r>
        <w:rPr/>
        <w:t>2019, 2020 e</w:t>
      </w:r>
      <w:r>
        <w:rPr>
          <w:spacing w:val="-2"/>
        </w:rPr>
        <w:t> </w:t>
      </w:r>
      <w:r>
        <w:rPr/>
        <w:t>2021.</w:t>
      </w:r>
    </w:p>
    <w:p>
      <w:pPr>
        <w:pStyle w:val="BodyText"/>
        <w:spacing w:line="252" w:lineRule="auto"/>
        <w:ind w:left="278" w:right="2262" w:firstLine="453"/>
        <w:jc w:val="both"/>
      </w:pPr>
      <w:r>
        <w:rPr/>
        <w:t>Si è recentemente concluso il processo di riforma del settore del credito cooperativo con la costituzione dei due gruppi – facenti capo rispettivamente a ICCREA</w:t>
      </w:r>
      <w:r>
        <w:rPr>
          <w:spacing w:val="14"/>
        </w:rPr>
        <w:t> </w:t>
      </w:r>
      <w:r>
        <w:rPr/>
        <w:t>e</w:t>
      </w:r>
      <w:r>
        <w:rPr>
          <w:spacing w:val="12"/>
        </w:rPr>
        <w:t> </w:t>
      </w:r>
      <w:r>
        <w:rPr/>
        <w:t>a</w:t>
      </w:r>
      <w:r>
        <w:rPr>
          <w:spacing w:val="14"/>
        </w:rPr>
        <w:t> </w:t>
      </w:r>
      <w:r>
        <w:rPr/>
        <w:t>Cassa</w:t>
      </w:r>
      <w:r>
        <w:rPr>
          <w:spacing w:val="15"/>
        </w:rPr>
        <w:t> </w:t>
      </w:r>
      <w:r>
        <w:rPr/>
        <w:t>Centrale</w:t>
      </w:r>
      <w:r>
        <w:rPr>
          <w:spacing w:val="16"/>
        </w:rPr>
        <w:t> </w:t>
      </w:r>
      <w:r>
        <w:rPr/>
        <w:t>Banca</w:t>
      </w:r>
      <w:r>
        <w:rPr>
          <w:spacing w:val="15"/>
        </w:rPr>
        <w:t> </w:t>
      </w:r>
      <w:r>
        <w:rPr/>
        <w:t>–</w:t>
      </w:r>
      <w:r>
        <w:rPr>
          <w:spacing w:val="13"/>
        </w:rPr>
        <w:t> </w:t>
      </w:r>
      <w:r>
        <w:rPr/>
        <w:t>cui</w:t>
      </w:r>
      <w:r>
        <w:rPr>
          <w:spacing w:val="15"/>
        </w:rPr>
        <w:t> </w:t>
      </w:r>
      <w:r>
        <w:rPr/>
        <w:t>hanno</w:t>
      </w:r>
      <w:r>
        <w:rPr>
          <w:spacing w:val="14"/>
        </w:rPr>
        <w:t> </w:t>
      </w:r>
      <w:r>
        <w:rPr/>
        <w:t>aderito</w:t>
      </w:r>
      <w:r>
        <w:rPr>
          <w:spacing w:val="14"/>
        </w:rPr>
        <w:t> </w:t>
      </w:r>
      <w:r>
        <w:rPr/>
        <w:t>complessivamente</w:t>
      </w:r>
      <w:r>
        <w:rPr>
          <w:spacing w:val="16"/>
        </w:rPr>
        <w:t> </w:t>
      </w:r>
      <w:r>
        <w:rPr/>
        <w:t>oltre</w:t>
      </w:r>
      <w:r>
        <w:rPr>
          <w:spacing w:val="15"/>
        </w:rPr>
        <w:t> </w:t>
      </w:r>
      <w:r>
        <w:rPr/>
        <w:t>220</w:t>
      </w:r>
    </w:p>
    <w:p>
      <w:pPr>
        <w:pStyle w:val="BodyText"/>
        <w:rPr>
          <w:sz w:val="20"/>
        </w:rPr>
      </w:pPr>
    </w:p>
    <w:p>
      <w:pPr>
        <w:pStyle w:val="BodyText"/>
        <w:spacing w:before="8"/>
        <w:rPr>
          <w:sz w:val="12"/>
        </w:rPr>
      </w:pPr>
      <w:r>
        <w:rPr/>
        <w:pict>
          <v:group style="position:absolute;margin-left:93.599998pt;margin-top:9.345489pt;width:21.4pt;height:2.15pt;mso-position-horizontal-relative:page;mso-position-vertical-relative:paragraph;z-index:-251428864;mso-wrap-distance-left:0;mso-wrap-distance-right:0" coordorigin="1872,187" coordsize="428,43">
            <v:line style="position:absolute" from="1872,207" to="2299,207" stroked="true" strokeweight="2.050pt" strokecolor="#aaaaaa">
              <v:stroke dashstyle="solid"/>
            </v:line>
            <v:rect style="position:absolute;left:1872;top:189;width:5;height:5" filled="true" fillcolor="#9f9f9f" stroked="false">
              <v:fill type="solid"/>
            </v:rect>
            <v:rect style="position:absolute;left:1872;top:189;width:5;height:5" filled="true" fillcolor="#9f9f9f" stroked="false">
              <v:fill type="solid"/>
            </v:rect>
            <v:line style="position:absolute" from="1877,192" to="2295,192" stroked="true" strokeweight=".23999pt" strokecolor="#9f9f9f">
              <v:stroke dashstyle="solid"/>
            </v:line>
            <v:rect style="position:absolute;left:2294;top:189;width:5;height:5" filled="true" fillcolor="#e2e2e2" stroked="false">
              <v:fill type="solid"/>
            </v:rect>
            <v:rect style="position:absolute;left:2294;top:189;width:5;height:5" filled="true" fillcolor="#9f9f9f" stroked="false">
              <v:fill type="solid"/>
            </v:rect>
            <v:rect style="position:absolute;left:1872;top:193;width:5;height:32" filled="true" fillcolor="#9f9f9f" stroked="false">
              <v:fill type="solid"/>
            </v:rect>
            <v:rect style="position:absolute;left:2294;top:193;width:5;height:32" filled="true" fillcolor="#e2e2e2" stroked="false">
              <v:fill type="solid"/>
            </v:rect>
            <v:rect style="position:absolute;left:1872;top:225;width:5;height:5" filled="true" fillcolor="#9f9f9f" stroked="false">
              <v:fill type="solid"/>
            </v:rect>
            <v:rect style="position:absolute;left:1872;top:225;width:5;height:5" filled="true" fillcolor="#e2e2e2" stroked="false">
              <v:fill type="solid"/>
            </v:rect>
            <v:line style="position:absolute" from="1877,228" to="2295,228" stroked="true" strokeweight=".23999pt" strokecolor="#e2e2e2">
              <v:stroke dashstyle="solid"/>
            </v:line>
            <v:rect style="position:absolute;left:2294;top:225;width:5;height:5" filled="true" fillcolor="#e2e2e2" stroked="false">
              <v:fill type="solid"/>
            </v:rect>
            <v:rect style="position:absolute;left:2294;top:225;width:5;height:5" filled="true" fillcolor="#e2e2e2" stroked="false">
              <v:fill type="solid"/>
            </v:rect>
            <w10:wrap type="topAndBottom"/>
          </v:group>
        </w:pict>
      </w:r>
    </w:p>
    <w:p>
      <w:pPr>
        <w:spacing w:before="18"/>
        <w:ind w:left="732" w:right="0" w:firstLine="0"/>
        <w:jc w:val="left"/>
        <w:rPr>
          <w:sz w:val="16"/>
        </w:rPr>
      </w:pPr>
      <w:r>
        <w:rPr>
          <w:position w:val="6"/>
          <w:sz w:val="10"/>
        </w:rPr>
        <w:t>21     </w:t>
      </w:r>
      <w:r>
        <w:rPr>
          <w:sz w:val="16"/>
        </w:rPr>
        <w:t>Il   decreto   ha   previsto   eccezionalmente   la   possibilità   di   utilizzare   le   competenze </w:t>
      </w:r>
      <w:r>
        <w:rPr>
          <w:spacing w:val="13"/>
          <w:sz w:val="16"/>
        </w:rPr>
        <w:t> </w:t>
      </w:r>
      <w:r>
        <w:rPr>
          <w:sz w:val="16"/>
        </w:rPr>
        <w:t>tecniche</w:t>
      </w:r>
    </w:p>
    <w:p>
      <w:pPr>
        <w:spacing w:line="183" w:lineRule="exact" w:before="1"/>
        <w:ind w:left="278" w:right="0" w:firstLine="0"/>
        <w:jc w:val="left"/>
        <w:rPr>
          <w:sz w:val="16"/>
        </w:rPr>
      </w:pPr>
      <w:r>
        <w:rPr>
          <w:sz w:val="16"/>
        </w:rPr>
        <w:t>dell’amministrazione penitenziaria per la realizzazione di interventi non solo manutentivi delle strutture.</w:t>
      </w:r>
    </w:p>
    <w:p>
      <w:pPr>
        <w:spacing w:line="186" w:lineRule="exact" w:before="0"/>
        <w:ind w:left="732" w:right="0" w:firstLine="0"/>
        <w:jc w:val="left"/>
        <w:rPr>
          <w:sz w:val="16"/>
        </w:rPr>
      </w:pPr>
      <w:r>
        <w:rPr>
          <w:position w:val="6"/>
          <w:sz w:val="10"/>
        </w:rPr>
        <w:t>22 </w:t>
      </w:r>
      <w:r>
        <w:rPr>
          <w:sz w:val="16"/>
        </w:rPr>
        <w:t>Legge 19 luglio 2019, n.69.</w:t>
      </w:r>
    </w:p>
    <w:p>
      <w:pPr>
        <w:spacing w:line="188" w:lineRule="exact" w:before="0"/>
        <w:ind w:left="732" w:right="0" w:firstLine="0"/>
        <w:jc w:val="left"/>
        <w:rPr>
          <w:sz w:val="16"/>
        </w:rPr>
      </w:pPr>
      <w:r>
        <w:rPr>
          <w:position w:val="6"/>
          <w:sz w:val="10"/>
        </w:rPr>
        <w:t>23</w:t>
      </w:r>
      <w:hyperlink r:id="rId85">
        <w:r>
          <w:rPr>
            <w:color w:val="006247"/>
            <w:sz w:val="16"/>
            <w:u w:val="single" w:color="006247"/>
          </w:rPr>
          <w:t>https://ec.europa.eu/info/sites/info/files/file_import/2019-european-semester-country-report-</w:t>
        </w:r>
      </w:hyperlink>
    </w:p>
    <w:p>
      <w:pPr>
        <w:spacing w:line="185" w:lineRule="exact" w:before="0"/>
        <w:ind w:left="278" w:right="0" w:firstLine="0"/>
        <w:jc w:val="left"/>
        <w:rPr>
          <w:sz w:val="16"/>
        </w:rPr>
      </w:pPr>
      <w:hyperlink r:id="rId85">
        <w:r>
          <w:rPr>
            <w:color w:val="006247"/>
            <w:sz w:val="16"/>
            <w:u w:val="single" w:color="006247"/>
          </w:rPr>
          <w:t>italy_en.pdf</w:t>
        </w:r>
      </w:hyperlink>
    </w:p>
    <w:p>
      <w:pPr>
        <w:spacing w:after="0" w:line="185" w:lineRule="exact"/>
        <w:jc w:val="left"/>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1128" w:right="1412"/>
        <w:jc w:val="both"/>
      </w:pPr>
      <w:r>
        <w:rPr/>
        <w:t>intermediari. A seguito di tali operazioni Cassa Centrale Banca è diventata il dodicesimo gruppo significativo ai fini di vigilanza; nel gruppo ICCREA, già classificato come significativo prima della riforma, sono confluite 143 banche.</w:t>
      </w:r>
    </w:p>
    <w:p>
      <w:pPr>
        <w:pStyle w:val="BodyText"/>
        <w:spacing w:line="252" w:lineRule="auto"/>
        <w:ind w:left="1128" w:right="1412" w:firstLine="453"/>
        <w:jc w:val="both"/>
      </w:pPr>
      <w:r>
        <w:rPr/>
        <w:t>Tra le misure dirette a semplificare l’accesso non bancario al credito, sollecitate nella raccomandazione della Commissione, rientrano le previsioni del decreto ‘Crescita’ che hanno: </w:t>
      </w:r>
      <w:r>
        <w:rPr>
          <w:i/>
        </w:rPr>
        <w:t>i</w:t>
      </w:r>
      <w:r>
        <w:rPr/>
        <w:t>) semplificato l’utilizzo del Fondo di garanzia per la concessione di garanzie destinate alla copertura dei finanziamenti erogati a medie imprese</w:t>
      </w:r>
      <w:r>
        <w:rPr>
          <w:spacing w:val="-8"/>
        </w:rPr>
        <w:t> </w:t>
      </w:r>
      <w:r>
        <w:rPr/>
        <w:t>(</w:t>
      </w:r>
      <w:r>
        <w:rPr>
          <w:i/>
        </w:rPr>
        <w:t>Mid</w:t>
      </w:r>
      <w:r>
        <w:rPr>
          <w:i/>
          <w:spacing w:val="-8"/>
        </w:rPr>
        <w:t> </w:t>
      </w:r>
      <w:r>
        <w:rPr>
          <w:i/>
        </w:rPr>
        <w:t>cap</w:t>
      </w:r>
      <w:r>
        <w:rPr/>
        <w:t>)</w:t>
      </w:r>
      <w:r>
        <w:rPr>
          <w:spacing w:val="-6"/>
        </w:rPr>
        <w:t> </w:t>
      </w:r>
      <w:r>
        <w:rPr/>
        <w:t>per</w:t>
      </w:r>
      <w:r>
        <w:rPr>
          <w:spacing w:val="-9"/>
        </w:rPr>
        <w:t> </w:t>
      </w:r>
      <w:r>
        <w:rPr/>
        <w:t>investimenti</w:t>
      </w:r>
      <w:r>
        <w:rPr>
          <w:spacing w:val="-7"/>
        </w:rPr>
        <w:t> </w:t>
      </w:r>
      <w:r>
        <w:rPr/>
        <w:t>in</w:t>
      </w:r>
      <w:r>
        <w:rPr>
          <w:spacing w:val="-8"/>
        </w:rPr>
        <w:t> </w:t>
      </w:r>
      <w:r>
        <w:rPr/>
        <w:t>beni</w:t>
      </w:r>
      <w:r>
        <w:rPr>
          <w:spacing w:val="-7"/>
        </w:rPr>
        <w:t> </w:t>
      </w:r>
      <w:r>
        <w:rPr/>
        <w:t>materiali</w:t>
      </w:r>
      <w:r>
        <w:rPr>
          <w:spacing w:val="-8"/>
        </w:rPr>
        <w:t> </w:t>
      </w:r>
      <w:r>
        <w:rPr>
          <w:i/>
        </w:rPr>
        <w:t>ii</w:t>
      </w:r>
      <w:r>
        <w:rPr/>
        <w:t>)</w:t>
      </w:r>
      <w:r>
        <w:rPr>
          <w:spacing w:val="-7"/>
        </w:rPr>
        <w:t> </w:t>
      </w:r>
      <w:r>
        <w:rPr/>
        <w:t>rafforzato</w:t>
      </w:r>
      <w:r>
        <w:rPr>
          <w:spacing w:val="-7"/>
        </w:rPr>
        <w:t> </w:t>
      </w:r>
      <w:r>
        <w:rPr/>
        <w:t>la</w:t>
      </w:r>
      <w:r>
        <w:rPr>
          <w:spacing w:val="-11"/>
        </w:rPr>
        <w:t> </w:t>
      </w:r>
      <w:r>
        <w:rPr/>
        <w:t>Nuova</w:t>
      </w:r>
      <w:r>
        <w:rPr>
          <w:spacing w:val="-7"/>
        </w:rPr>
        <w:t> </w:t>
      </w:r>
      <w:r>
        <w:rPr/>
        <w:t>Sabatini</w:t>
      </w:r>
    </w:p>
    <w:p>
      <w:pPr>
        <w:pStyle w:val="BodyText"/>
        <w:spacing w:line="252" w:lineRule="auto"/>
        <w:ind w:left="1149" w:right="1413"/>
        <w:jc w:val="right"/>
      </w:pPr>
      <w:r>
        <w:rPr>
          <w:i/>
        </w:rPr>
        <w:t>iii</w:t>
      </w:r>
      <w:r>
        <w:rPr/>
        <w:t>)</w:t>
      </w:r>
      <w:r>
        <w:rPr>
          <w:spacing w:val="48"/>
        </w:rPr>
        <w:t> </w:t>
      </w:r>
      <w:r>
        <w:rPr/>
        <w:t>reintrodotto</w:t>
      </w:r>
      <w:r>
        <w:rPr>
          <w:spacing w:val="47"/>
        </w:rPr>
        <w:t> </w:t>
      </w:r>
      <w:r>
        <w:rPr/>
        <w:t>il</w:t>
      </w:r>
      <w:r>
        <w:rPr>
          <w:spacing w:val="46"/>
        </w:rPr>
        <w:t> </w:t>
      </w:r>
      <w:r>
        <w:rPr/>
        <w:t>cd</w:t>
      </w:r>
      <w:r>
        <w:rPr>
          <w:spacing w:val="45"/>
        </w:rPr>
        <w:t> </w:t>
      </w:r>
      <w:r>
        <w:rPr/>
        <w:t>“super-ammortamento”</w:t>
      </w:r>
      <w:r>
        <w:rPr>
          <w:spacing w:val="48"/>
        </w:rPr>
        <w:t> </w:t>
      </w:r>
      <w:r>
        <w:rPr>
          <w:i/>
        </w:rPr>
        <w:t>iv</w:t>
      </w:r>
      <w:r>
        <w:rPr/>
        <w:t>)</w:t>
      </w:r>
      <w:r>
        <w:rPr>
          <w:spacing w:val="48"/>
        </w:rPr>
        <w:t> </w:t>
      </w:r>
      <w:r>
        <w:rPr/>
        <w:t>introdotto</w:t>
      </w:r>
      <w:r>
        <w:rPr>
          <w:spacing w:val="47"/>
        </w:rPr>
        <w:t> </w:t>
      </w:r>
      <w:r>
        <w:rPr/>
        <w:t>le</w:t>
      </w:r>
      <w:r>
        <w:rPr>
          <w:spacing w:val="48"/>
        </w:rPr>
        <w:t> </w:t>
      </w:r>
      <w:r>
        <w:rPr/>
        <w:t>Società</w:t>
      </w:r>
      <w:r>
        <w:rPr>
          <w:spacing w:val="48"/>
        </w:rPr>
        <w:t> </w:t>
      </w:r>
      <w:r>
        <w:rPr/>
        <w:t>di</w:t>
      </w:r>
      <w:r>
        <w:rPr>
          <w:spacing w:val="-1"/>
          <w:w w:val="100"/>
        </w:rPr>
        <w:t> </w:t>
      </w:r>
      <w:r>
        <w:rPr/>
        <w:t>investimento</w:t>
      </w:r>
      <w:r>
        <w:rPr>
          <w:spacing w:val="22"/>
        </w:rPr>
        <w:t> </w:t>
      </w:r>
      <w:r>
        <w:rPr/>
        <w:t>semplice</w:t>
      </w:r>
      <w:r>
        <w:rPr>
          <w:spacing w:val="24"/>
        </w:rPr>
        <w:t> </w:t>
      </w:r>
      <w:r>
        <w:rPr/>
        <w:t>(Sis),</w:t>
      </w:r>
      <w:r>
        <w:rPr>
          <w:spacing w:val="24"/>
        </w:rPr>
        <w:t> </w:t>
      </w:r>
      <w:r>
        <w:rPr/>
        <w:t>un</w:t>
      </w:r>
      <w:r>
        <w:rPr>
          <w:spacing w:val="21"/>
        </w:rPr>
        <w:t> </w:t>
      </w:r>
      <w:r>
        <w:rPr/>
        <w:t>nuovo</w:t>
      </w:r>
      <w:r>
        <w:rPr>
          <w:spacing w:val="23"/>
        </w:rPr>
        <w:t> </w:t>
      </w:r>
      <w:r>
        <w:rPr/>
        <w:t>tipo</w:t>
      </w:r>
      <w:r>
        <w:rPr>
          <w:spacing w:val="23"/>
        </w:rPr>
        <w:t> </w:t>
      </w:r>
      <w:r>
        <w:rPr/>
        <w:t>di</w:t>
      </w:r>
      <w:r>
        <w:rPr>
          <w:spacing w:val="20"/>
        </w:rPr>
        <w:t> </w:t>
      </w:r>
      <w:r>
        <w:rPr/>
        <w:t>veicolo</w:t>
      </w:r>
      <w:r>
        <w:rPr>
          <w:spacing w:val="22"/>
        </w:rPr>
        <w:t> </w:t>
      </w:r>
      <w:r>
        <w:rPr/>
        <w:t>societario</w:t>
      </w:r>
      <w:r>
        <w:rPr>
          <w:spacing w:val="20"/>
        </w:rPr>
        <w:t> </w:t>
      </w:r>
      <w:r>
        <w:rPr/>
        <w:t>che</w:t>
      </w:r>
      <w:r>
        <w:rPr>
          <w:spacing w:val="20"/>
        </w:rPr>
        <w:t> </w:t>
      </w:r>
      <w:r>
        <w:rPr/>
        <w:t>deve</w:t>
      </w:r>
      <w:r>
        <w:rPr>
          <w:spacing w:val="23"/>
        </w:rPr>
        <w:t> </w:t>
      </w:r>
      <w:r>
        <w:rPr/>
        <w:t>gestire</w:t>
      </w:r>
      <w:r>
        <w:rPr>
          <w:spacing w:val="-1"/>
          <w:w w:val="100"/>
        </w:rPr>
        <w:t> </w:t>
      </w:r>
      <w:r>
        <w:rPr/>
        <w:t>direttamente</w:t>
      </w:r>
      <w:r>
        <w:rPr>
          <w:spacing w:val="30"/>
        </w:rPr>
        <w:t> </w:t>
      </w:r>
      <w:r>
        <w:rPr/>
        <w:t>il</w:t>
      </w:r>
      <w:r>
        <w:rPr>
          <w:spacing w:val="31"/>
        </w:rPr>
        <w:t> </w:t>
      </w:r>
      <w:r>
        <w:rPr/>
        <w:t>patrimonio</w:t>
      </w:r>
      <w:r>
        <w:rPr>
          <w:spacing w:val="31"/>
        </w:rPr>
        <w:t> </w:t>
      </w:r>
      <w:r>
        <w:rPr/>
        <w:t>raccolto</w:t>
      </w:r>
      <w:r>
        <w:rPr>
          <w:spacing w:val="31"/>
        </w:rPr>
        <w:t> </w:t>
      </w:r>
      <w:r>
        <w:rPr/>
        <w:t>e</w:t>
      </w:r>
      <w:r>
        <w:rPr>
          <w:spacing w:val="31"/>
        </w:rPr>
        <w:t> </w:t>
      </w:r>
      <w:r>
        <w:rPr/>
        <w:t>potrà</w:t>
      </w:r>
      <w:r>
        <w:rPr>
          <w:spacing w:val="31"/>
        </w:rPr>
        <w:t> </w:t>
      </w:r>
      <w:r>
        <w:rPr/>
        <w:t>investire</w:t>
      </w:r>
      <w:r>
        <w:rPr>
          <w:spacing w:val="31"/>
        </w:rPr>
        <w:t> </w:t>
      </w:r>
      <w:r>
        <w:rPr/>
        <w:t>esclusivamente</w:t>
      </w:r>
      <w:r>
        <w:rPr>
          <w:spacing w:val="31"/>
        </w:rPr>
        <w:t> </w:t>
      </w:r>
      <w:r>
        <w:rPr/>
        <w:t>in</w:t>
      </w:r>
      <w:r>
        <w:rPr>
          <w:spacing w:val="31"/>
        </w:rPr>
        <w:t> </w:t>
      </w:r>
      <w:r>
        <w:rPr/>
        <w:t>PMI</w:t>
      </w:r>
      <w:r>
        <w:rPr>
          <w:spacing w:val="32"/>
        </w:rPr>
        <w:t> </w:t>
      </w:r>
      <w:r>
        <w:rPr/>
        <w:t>non</w:t>
      </w:r>
      <w:r>
        <w:rPr>
          <w:w w:val="100"/>
        </w:rPr>
        <w:t> </w:t>
      </w:r>
      <w:r>
        <w:rPr/>
        <w:t>quotate </w:t>
      </w:r>
      <w:r>
        <w:rPr>
          <w:i/>
        </w:rPr>
        <w:t>v</w:t>
      </w:r>
      <w:r>
        <w:rPr/>
        <w:t>) introdotto misure per agevolare la crescita e l’aggregazione</w:t>
      </w:r>
      <w:r>
        <w:rPr>
          <w:spacing w:val="-33"/>
        </w:rPr>
        <w:t> </w:t>
      </w:r>
      <w:r>
        <w:rPr/>
        <w:t>di</w:t>
      </w:r>
      <w:r>
        <w:rPr>
          <w:spacing w:val="-3"/>
        </w:rPr>
        <w:t> </w:t>
      </w:r>
      <w:r>
        <w:rPr/>
        <w:t>imprese.</w:t>
      </w:r>
      <w:r>
        <w:rPr>
          <w:w w:val="100"/>
        </w:rPr>
        <w:t> </w:t>
      </w:r>
      <w:r>
        <w:rPr/>
        <w:t>Uno</w:t>
      </w:r>
      <w:r>
        <w:rPr>
          <w:spacing w:val="-18"/>
        </w:rPr>
        <w:t> </w:t>
      </w:r>
      <w:r>
        <w:rPr/>
        <w:t>dei</w:t>
      </w:r>
      <w:r>
        <w:rPr>
          <w:spacing w:val="-17"/>
        </w:rPr>
        <w:t> </w:t>
      </w:r>
      <w:r>
        <w:rPr/>
        <w:t>canali</w:t>
      </w:r>
      <w:r>
        <w:rPr>
          <w:spacing w:val="-16"/>
        </w:rPr>
        <w:t> </w:t>
      </w:r>
      <w:r>
        <w:rPr/>
        <w:t>più</w:t>
      </w:r>
      <w:r>
        <w:rPr>
          <w:spacing w:val="-17"/>
        </w:rPr>
        <w:t> </w:t>
      </w:r>
      <w:r>
        <w:rPr/>
        <w:t>robusti</w:t>
      </w:r>
      <w:r>
        <w:rPr>
          <w:spacing w:val="-16"/>
        </w:rPr>
        <w:t> </w:t>
      </w:r>
      <w:r>
        <w:rPr/>
        <w:t>per</w:t>
      </w:r>
      <w:r>
        <w:rPr>
          <w:spacing w:val="-15"/>
        </w:rPr>
        <w:t> </w:t>
      </w:r>
      <w:r>
        <w:rPr/>
        <w:t>l’accesso</w:t>
      </w:r>
      <w:r>
        <w:rPr>
          <w:spacing w:val="-17"/>
        </w:rPr>
        <w:t> </w:t>
      </w:r>
      <w:r>
        <w:rPr/>
        <w:t>al</w:t>
      </w:r>
      <w:r>
        <w:rPr>
          <w:spacing w:val="-18"/>
        </w:rPr>
        <w:t> </w:t>
      </w:r>
      <w:r>
        <w:rPr/>
        <w:t>credito</w:t>
      </w:r>
      <w:r>
        <w:rPr>
          <w:spacing w:val="-19"/>
        </w:rPr>
        <w:t> </w:t>
      </w:r>
      <w:r>
        <w:rPr/>
        <w:t>da</w:t>
      </w:r>
      <w:r>
        <w:rPr>
          <w:spacing w:val="-16"/>
        </w:rPr>
        <w:t> </w:t>
      </w:r>
      <w:r>
        <w:rPr/>
        <w:t>parte</w:t>
      </w:r>
      <w:r>
        <w:rPr>
          <w:spacing w:val="-17"/>
        </w:rPr>
        <w:t> </w:t>
      </w:r>
      <w:r>
        <w:rPr/>
        <w:t>delle</w:t>
      </w:r>
      <w:r>
        <w:rPr>
          <w:spacing w:val="-16"/>
        </w:rPr>
        <w:t> </w:t>
      </w:r>
      <w:r>
        <w:rPr/>
        <w:t>PMI</w:t>
      </w:r>
      <w:r>
        <w:rPr>
          <w:spacing w:val="-15"/>
        </w:rPr>
        <w:t> </w:t>
      </w:r>
      <w:r>
        <w:rPr/>
        <w:t>è</w:t>
      </w:r>
      <w:r>
        <w:rPr>
          <w:spacing w:val="-19"/>
        </w:rPr>
        <w:t> </w:t>
      </w:r>
      <w:r>
        <w:rPr/>
        <w:t>costituito</w:t>
      </w:r>
      <w:r>
        <w:rPr>
          <w:w w:val="100"/>
        </w:rPr>
        <w:t> </w:t>
      </w:r>
      <w:r>
        <w:rPr/>
        <w:t>dagli</w:t>
      </w:r>
      <w:r>
        <w:rPr>
          <w:spacing w:val="-20"/>
        </w:rPr>
        <w:t> </w:t>
      </w:r>
      <w:r>
        <w:rPr/>
        <w:t>accordi</w:t>
      </w:r>
      <w:r>
        <w:rPr>
          <w:spacing w:val="-20"/>
        </w:rPr>
        <w:t> </w:t>
      </w:r>
      <w:r>
        <w:rPr/>
        <w:t>istituzionali</w:t>
      </w:r>
      <w:r>
        <w:rPr>
          <w:spacing w:val="-19"/>
        </w:rPr>
        <w:t> </w:t>
      </w:r>
      <w:r>
        <w:rPr/>
        <w:t>con</w:t>
      </w:r>
      <w:r>
        <w:rPr>
          <w:spacing w:val="-20"/>
        </w:rPr>
        <w:t> </w:t>
      </w:r>
      <w:r>
        <w:rPr/>
        <w:t>la</w:t>
      </w:r>
      <w:r>
        <w:rPr>
          <w:spacing w:val="-19"/>
        </w:rPr>
        <w:t> </w:t>
      </w:r>
      <w:r>
        <w:rPr/>
        <w:t>Banca</w:t>
      </w:r>
      <w:r>
        <w:rPr>
          <w:spacing w:val="-20"/>
        </w:rPr>
        <w:t> </w:t>
      </w:r>
      <w:r>
        <w:rPr/>
        <w:t>europea</w:t>
      </w:r>
      <w:r>
        <w:rPr>
          <w:spacing w:val="-20"/>
        </w:rPr>
        <w:t> </w:t>
      </w:r>
      <w:r>
        <w:rPr/>
        <w:t>degli</w:t>
      </w:r>
      <w:r>
        <w:rPr>
          <w:spacing w:val="-20"/>
        </w:rPr>
        <w:t> </w:t>
      </w:r>
      <w:r>
        <w:rPr/>
        <w:t>investimenti</w:t>
      </w:r>
      <w:r>
        <w:rPr>
          <w:vertAlign w:val="superscript"/>
        </w:rPr>
        <w:t>24</w:t>
      </w:r>
      <w:r>
        <w:rPr>
          <w:vertAlign w:val="baseline"/>
        </w:rPr>
        <w:t>.</w:t>
      </w:r>
      <w:r>
        <w:rPr>
          <w:spacing w:val="-18"/>
          <w:vertAlign w:val="baseline"/>
        </w:rPr>
        <w:t> </w:t>
      </w:r>
      <w:r>
        <w:rPr>
          <w:vertAlign w:val="baseline"/>
        </w:rPr>
        <w:t>L’Italia</w:t>
      </w:r>
      <w:r>
        <w:rPr>
          <w:spacing w:val="-19"/>
          <w:vertAlign w:val="baseline"/>
        </w:rPr>
        <w:t> </w:t>
      </w:r>
      <w:r>
        <w:rPr>
          <w:vertAlign w:val="baseline"/>
        </w:rPr>
        <w:t>nel</w:t>
      </w:r>
      <w:r>
        <w:rPr>
          <w:spacing w:val="-20"/>
          <w:vertAlign w:val="baseline"/>
        </w:rPr>
        <w:t> </w:t>
      </w:r>
      <w:r>
        <w:rPr>
          <w:vertAlign w:val="baseline"/>
        </w:rPr>
        <w:t>2018</w:t>
      </w:r>
      <w:r>
        <w:rPr>
          <w:spacing w:val="-1"/>
          <w:w w:val="100"/>
          <w:vertAlign w:val="baseline"/>
        </w:rPr>
        <w:t> </w:t>
      </w:r>
      <w:r>
        <w:rPr>
          <w:vertAlign w:val="baseline"/>
        </w:rPr>
        <w:t>ha</w:t>
      </w:r>
      <w:r>
        <w:rPr>
          <w:spacing w:val="30"/>
          <w:vertAlign w:val="baseline"/>
        </w:rPr>
        <w:t> </w:t>
      </w:r>
      <w:r>
        <w:rPr>
          <w:vertAlign w:val="baseline"/>
        </w:rPr>
        <w:t>ricevuto</w:t>
      </w:r>
      <w:r>
        <w:rPr>
          <w:spacing w:val="28"/>
          <w:vertAlign w:val="baseline"/>
        </w:rPr>
        <w:t> </w:t>
      </w:r>
      <w:r>
        <w:rPr>
          <w:vertAlign w:val="baseline"/>
        </w:rPr>
        <w:t>finanziamenti</w:t>
      </w:r>
      <w:r>
        <w:rPr>
          <w:spacing w:val="30"/>
          <w:vertAlign w:val="baseline"/>
        </w:rPr>
        <w:t> </w:t>
      </w:r>
      <w:r>
        <w:rPr>
          <w:vertAlign w:val="baseline"/>
        </w:rPr>
        <w:t>per</w:t>
      </w:r>
      <w:r>
        <w:rPr>
          <w:spacing w:val="32"/>
          <w:vertAlign w:val="baseline"/>
        </w:rPr>
        <w:t> </w:t>
      </w:r>
      <w:r>
        <w:rPr>
          <w:vertAlign w:val="baseline"/>
        </w:rPr>
        <w:t>8,5</w:t>
      </w:r>
      <w:r>
        <w:rPr>
          <w:spacing w:val="31"/>
          <w:vertAlign w:val="baseline"/>
        </w:rPr>
        <w:t> </w:t>
      </w:r>
      <w:r>
        <w:rPr>
          <w:vertAlign w:val="baseline"/>
        </w:rPr>
        <w:t>miliardi</w:t>
      </w:r>
      <w:r>
        <w:rPr>
          <w:spacing w:val="28"/>
          <w:vertAlign w:val="baseline"/>
        </w:rPr>
        <w:t> </w:t>
      </w:r>
      <w:r>
        <w:rPr>
          <w:vertAlign w:val="baseline"/>
        </w:rPr>
        <w:t>a</w:t>
      </w:r>
      <w:r>
        <w:rPr>
          <w:spacing w:val="32"/>
          <w:vertAlign w:val="baseline"/>
        </w:rPr>
        <w:t> </w:t>
      </w:r>
      <w:r>
        <w:rPr>
          <w:vertAlign w:val="baseline"/>
        </w:rPr>
        <w:t>sostegno</w:t>
      </w:r>
      <w:r>
        <w:rPr>
          <w:spacing w:val="30"/>
          <w:vertAlign w:val="baseline"/>
        </w:rPr>
        <w:t> </w:t>
      </w:r>
      <w:r>
        <w:rPr>
          <w:vertAlign w:val="baseline"/>
        </w:rPr>
        <w:t>di</w:t>
      </w:r>
      <w:r>
        <w:rPr>
          <w:spacing w:val="30"/>
          <w:vertAlign w:val="baseline"/>
        </w:rPr>
        <w:t> </w:t>
      </w:r>
      <w:r>
        <w:rPr>
          <w:vertAlign w:val="baseline"/>
        </w:rPr>
        <w:t>91</w:t>
      </w:r>
      <w:r>
        <w:rPr>
          <w:spacing w:val="29"/>
          <w:vertAlign w:val="baseline"/>
        </w:rPr>
        <w:t> </w:t>
      </w:r>
      <w:r>
        <w:rPr>
          <w:vertAlign w:val="baseline"/>
        </w:rPr>
        <w:t>operazioni.</w:t>
      </w:r>
      <w:r>
        <w:rPr>
          <w:spacing w:val="30"/>
          <w:vertAlign w:val="baseline"/>
        </w:rPr>
        <w:t> </w:t>
      </w:r>
      <w:r>
        <w:rPr>
          <w:vertAlign w:val="baseline"/>
        </w:rPr>
        <w:t>Il</w:t>
      </w:r>
      <w:r>
        <w:rPr>
          <w:spacing w:val="28"/>
          <w:vertAlign w:val="baseline"/>
        </w:rPr>
        <w:t> </w:t>
      </w:r>
      <w:r>
        <w:rPr>
          <w:vertAlign w:val="baseline"/>
        </w:rPr>
        <w:t>valore</w:t>
      </w:r>
      <w:r>
        <w:rPr>
          <w:w w:val="100"/>
          <w:vertAlign w:val="baseline"/>
        </w:rPr>
        <w:t> </w:t>
      </w:r>
      <w:r>
        <w:rPr>
          <w:vertAlign w:val="baseline"/>
        </w:rPr>
        <w:t>complessivo degli investimenti sostenuti è stato di 27,1 miliardi, pari</w:t>
      </w:r>
      <w:r>
        <w:rPr>
          <w:spacing w:val="34"/>
          <w:vertAlign w:val="baseline"/>
        </w:rPr>
        <w:t> </w:t>
      </w:r>
      <w:r>
        <w:rPr>
          <w:vertAlign w:val="baseline"/>
        </w:rPr>
        <w:t>all’1,6</w:t>
      </w:r>
      <w:r>
        <w:rPr>
          <w:spacing w:val="23"/>
          <w:vertAlign w:val="baseline"/>
        </w:rPr>
        <w:t> </w:t>
      </w:r>
      <w:r>
        <w:rPr>
          <w:vertAlign w:val="baseline"/>
        </w:rPr>
        <w:t>per</w:t>
      </w:r>
      <w:r>
        <w:rPr>
          <w:w w:val="100"/>
          <w:vertAlign w:val="baseline"/>
        </w:rPr>
        <w:t> </w:t>
      </w:r>
      <w:r>
        <w:rPr>
          <w:vertAlign w:val="baseline"/>
        </w:rPr>
        <w:t>cento</w:t>
      </w:r>
      <w:r>
        <w:rPr>
          <w:spacing w:val="33"/>
          <w:vertAlign w:val="baseline"/>
        </w:rPr>
        <w:t> </w:t>
      </w:r>
      <w:r>
        <w:rPr>
          <w:vertAlign w:val="baseline"/>
        </w:rPr>
        <w:t>del</w:t>
      </w:r>
      <w:r>
        <w:rPr>
          <w:spacing w:val="35"/>
          <w:vertAlign w:val="baseline"/>
        </w:rPr>
        <w:t> </w:t>
      </w:r>
      <w:r>
        <w:rPr>
          <w:vertAlign w:val="baseline"/>
        </w:rPr>
        <w:t>PIL;</w:t>
      </w:r>
      <w:r>
        <w:rPr>
          <w:spacing w:val="34"/>
          <w:vertAlign w:val="baseline"/>
        </w:rPr>
        <w:t> </w:t>
      </w:r>
      <w:r>
        <w:rPr>
          <w:vertAlign w:val="baseline"/>
        </w:rPr>
        <w:t>in</w:t>
      </w:r>
      <w:r>
        <w:rPr>
          <w:spacing w:val="34"/>
          <w:vertAlign w:val="baseline"/>
        </w:rPr>
        <w:t> </w:t>
      </w:r>
      <w:r>
        <w:rPr>
          <w:vertAlign w:val="baseline"/>
        </w:rPr>
        <w:t>tal</w:t>
      </w:r>
      <w:r>
        <w:rPr>
          <w:spacing w:val="34"/>
          <w:vertAlign w:val="baseline"/>
        </w:rPr>
        <w:t> </w:t>
      </w:r>
      <w:r>
        <w:rPr>
          <w:vertAlign w:val="baseline"/>
        </w:rPr>
        <w:t>modo</w:t>
      </w:r>
      <w:r>
        <w:rPr>
          <w:spacing w:val="33"/>
          <w:vertAlign w:val="baseline"/>
        </w:rPr>
        <w:t> </w:t>
      </w:r>
      <w:r>
        <w:rPr>
          <w:vertAlign w:val="baseline"/>
        </w:rPr>
        <w:t>sono</w:t>
      </w:r>
      <w:r>
        <w:rPr>
          <w:spacing w:val="33"/>
          <w:vertAlign w:val="baseline"/>
        </w:rPr>
        <w:t> </w:t>
      </w:r>
      <w:r>
        <w:rPr>
          <w:vertAlign w:val="baseline"/>
        </w:rPr>
        <w:t>state</w:t>
      </w:r>
      <w:r>
        <w:rPr>
          <w:spacing w:val="33"/>
          <w:vertAlign w:val="baseline"/>
        </w:rPr>
        <w:t> </w:t>
      </w:r>
      <w:r>
        <w:rPr>
          <w:vertAlign w:val="baseline"/>
        </w:rPr>
        <w:t>sostenute</w:t>
      </w:r>
      <w:r>
        <w:rPr>
          <w:spacing w:val="34"/>
          <w:vertAlign w:val="baseline"/>
        </w:rPr>
        <w:t> </w:t>
      </w:r>
      <w:r>
        <w:rPr>
          <w:vertAlign w:val="baseline"/>
        </w:rPr>
        <w:t>77.500</w:t>
      </w:r>
      <w:r>
        <w:rPr>
          <w:spacing w:val="33"/>
          <w:vertAlign w:val="baseline"/>
        </w:rPr>
        <w:t> </w:t>
      </w:r>
      <w:r>
        <w:rPr>
          <w:vertAlign w:val="baseline"/>
        </w:rPr>
        <w:t>PMI</w:t>
      </w:r>
      <w:r>
        <w:rPr>
          <w:spacing w:val="35"/>
          <w:vertAlign w:val="baseline"/>
        </w:rPr>
        <w:t> </w:t>
      </w:r>
      <w:r>
        <w:rPr>
          <w:vertAlign w:val="baseline"/>
        </w:rPr>
        <w:t>e</w:t>
      </w:r>
      <w:r>
        <w:rPr>
          <w:spacing w:val="33"/>
          <w:vertAlign w:val="baseline"/>
        </w:rPr>
        <w:t> </w:t>
      </w:r>
      <w:r>
        <w:rPr>
          <w:vertAlign w:val="baseline"/>
        </w:rPr>
        <w:t>800</w:t>
      </w:r>
      <w:r>
        <w:rPr>
          <w:spacing w:val="41"/>
          <w:vertAlign w:val="baseline"/>
        </w:rPr>
        <w:t> </w:t>
      </w:r>
      <w:r>
        <w:rPr>
          <w:vertAlign w:val="baseline"/>
        </w:rPr>
        <w:t>mila</w:t>
      </w:r>
      <w:r>
        <w:rPr>
          <w:spacing w:val="33"/>
          <w:vertAlign w:val="baseline"/>
        </w:rPr>
        <w:t> </w:t>
      </w:r>
      <w:r>
        <w:rPr>
          <w:vertAlign w:val="baseline"/>
        </w:rPr>
        <w:t>posti</w:t>
      </w:r>
      <w:r>
        <w:rPr>
          <w:spacing w:val="34"/>
          <w:vertAlign w:val="baseline"/>
        </w:rPr>
        <w:t> </w:t>
      </w:r>
      <w:r>
        <w:rPr>
          <w:vertAlign w:val="baseline"/>
        </w:rPr>
        <w:t>di</w:t>
      </w:r>
      <w:r>
        <w:rPr>
          <w:spacing w:val="-1"/>
          <w:w w:val="100"/>
          <w:vertAlign w:val="baseline"/>
        </w:rPr>
        <w:t> </w:t>
      </w:r>
      <w:r>
        <w:rPr>
          <w:vertAlign w:val="baseline"/>
        </w:rPr>
        <w:t>lavoro.</w:t>
      </w:r>
      <w:r>
        <w:rPr>
          <w:spacing w:val="-2"/>
          <w:vertAlign w:val="baseline"/>
        </w:rPr>
        <w:t> </w:t>
      </w:r>
      <w:r>
        <w:rPr>
          <w:vertAlign w:val="baseline"/>
        </w:rPr>
        <w:t>Oltre</w:t>
      </w:r>
      <w:r>
        <w:rPr>
          <w:spacing w:val="23"/>
          <w:vertAlign w:val="baseline"/>
        </w:rPr>
        <w:t> </w:t>
      </w:r>
      <w:r>
        <w:rPr>
          <w:vertAlign w:val="baseline"/>
        </w:rPr>
        <w:t>al</w:t>
      </w:r>
      <w:r>
        <w:rPr>
          <w:spacing w:val="22"/>
          <w:vertAlign w:val="baseline"/>
        </w:rPr>
        <w:t> </w:t>
      </w:r>
      <w:r>
        <w:rPr>
          <w:vertAlign w:val="baseline"/>
        </w:rPr>
        <w:t>settore</w:t>
      </w:r>
      <w:r>
        <w:rPr>
          <w:spacing w:val="23"/>
          <w:vertAlign w:val="baseline"/>
        </w:rPr>
        <w:t> </w:t>
      </w:r>
      <w:r>
        <w:rPr>
          <w:vertAlign w:val="baseline"/>
        </w:rPr>
        <w:t>delle</w:t>
      </w:r>
      <w:r>
        <w:rPr>
          <w:spacing w:val="21"/>
          <w:vertAlign w:val="baseline"/>
        </w:rPr>
        <w:t> </w:t>
      </w:r>
      <w:r>
        <w:rPr>
          <w:vertAlign w:val="baseline"/>
        </w:rPr>
        <w:t>PMI,</w:t>
      </w:r>
      <w:r>
        <w:rPr>
          <w:spacing w:val="23"/>
          <w:vertAlign w:val="baseline"/>
        </w:rPr>
        <w:t> </w:t>
      </w:r>
      <w:r>
        <w:rPr>
          <w:vertAlign w:val="baseline"/>
        </w:rPr>
        <w:t>tutti</w:t>
      </w:r>
      <w:r>
        <w:rPr>
          <w:spacing w:val="22"/>
          <w:vertAlign w:val="baseline"/>
        </w:rPr>
        <w:t> </w:t>
      </w:r>
      <w:r>
        <w:rPr>
          <w:vertAlign w:val="baseline"/>
        </w:rPr>
        <w:t>i</w:t>
      </w:r>
      <w:r>
        <w:rPr>
          <w:spacing w:val="22"/>
          <w:vertAlign w:val="baseline"/>
        </w:rPr>
        <w:t> </w:t>
      </w:r>
      <w:r>
        <w:rPr>
          <w:vertAlign w:val="baseline"/>
        </w:rPr>
        <w:t>comparti</w:t>
      </w:r>
      <w:r>
        <w:rPr>
          <w:spacing w:val="21"/>
          <w:vertAlign w:val="baseline"/>
        </w:rPr>
        <w:t> </w:t>
      </w:r>
      <w:r>
        <w:rPr>
          <w:vertAlign w:val="baseline"/>
        </w:rPr>
        <w:t>dell’economia</w:t>
      </w:r>
      <w:r>
        <w:rPr>
          <w:spacing w:val="21"/>
          <w:vertAlign w:val="baseline"/>
        </w:rPr>
        <w:t> </w:t>
      </w:r>
      <w:r>
        <w:rPr>
          <w:vertAlign w:val="baseline"/>
        </w:rPr>
        <w:t>hanno</w:t>
      </w:r>
      <w:r>
        <w:rPr>
          <w:spacing w:val="23"/>
          <w:vertAlign w:val="baseline"/>
        </w:rPr>
        <w:t> </w:t>
      </w:r>
      <w:r>
        <w:rPr>
          <w:vertAlign w:val="baseline"/>
        </w:rPr>
        <w:t>ottenuto</w:t>
      </w:r>
    </w:p>
    <w:p>
      <w:pPr>
        <w:pStyle w:val="BodyText"/>
        <w:spacing w:before="2"/>
        <w:ind w:left="1128"/>
        <w:jc w:val="both"/>
      </w:pPr>
      <w:r>
        <w:rPr/>
        <w:t>finanziamenti, dalle infrastrutture all’energia, dalle TLC all’ambiente.</w:t>
      </w:r>
    </w:p>
    <w:p>
      <w:pPr>
        <w:pStyle w:val="BodyText"/>
        <w:spacing w:before="6"/>
        <w:rPr>
          <w:sz w:val="34"/>
        </w:rPr>
      </w:pPr>
    </w:p>
    <w:p>
      <w:pPr>
        <w:pStyle w:val="Heading3"/>
        <w:spacing w:before="1"/>
        <w:ind w:left="1128"/>
      </w:pPr>
      <w:r>
        <w:rPr>
          <w:color w:val="585858"/>
        </w:rPr>
        <w:t>Altre aree di riforma</w:t>
      </w:r>
    </w:p>
    <w:p>
      <w:pPr>
        <w:pStyle w:val="BodyText"/>
        <w:spacing w:before="3"/>
        <w:rPr>
          <w:rFonts w:ascii="Franklin Gothic Medium"/>
          <w:sz w:val="35"/>
        </w:rPr>
      </w:pPr>
    </w:p>
    <w:p>
      <w:pPr>
        <w:pStyle w:val="Heading5"/>
        <w:jc w:val="left"/>
      </w:pPr>
      <w:r>
        <w:rPr/>
        <w:t>Immigrazione</w:t>
      </w:r>
    </w:p>
    <w:p>
      <w:pPr>
        <w:spacing w:line="232" w:lineRule="auto" w:before="158"/>
        <w:ind w:left="1128" w:right="1416" w:firstLine="0"/>
        <w:jc w:val="both"/>
        <w:rPr>
          <w:rFonts w:ascii="Franklin Gothic Book" w:hAnsi="Franklin Gothic Book"/>
          <w:sz w:val="20"/>
        </w:rPr>
      </w:pPr>
      <w:r>
        <w:rPr/>
        <w:pict>
          <v:line style="position:absolute;mso-position-horizontal-relative:page;mso-position-vertical-relative:paragraph;z-index:-251427840;mso-wrap-distance-left:0;mso-wrap-distance-right:0" from="111.980003pt,68.770096pt" to="525.930003pt,68.770096pt" stroked="true" strokeweight="1.44pt" strokecolor="#006247">
            <v:stroke dashstyle="solid"/>
            <w10:wrap type="topAndBottom"/>
          </v:line>
        </w:pict>
      </w:r>
      <w:r>
        <w:rPr>
          <w:rFonts w:ascii="Franklin Gothic Heavy" w:hAnsi="Franklin Gothic Heavy"/>
          <w:b/>
          <w:color w:val="006247"/>
          <w:sz w:val="20"/>
        </w:rPr>
        <w:t>LINEE PROGRAMMATICHE: </w:t>
      </w:r>
      <w:r>
        <w:rPr>
          <w:rFonts w:ascii="Franklin Gothic Book" w:hAnsi="Franklin Gothic Book"/>
          <w:sz w:val="20"/>
        </w:rPr>
        <w:t>È indispensabile migliorare la gestione dei flussi migratori anche attraverso una riforma del Regolamento di Dublino. Il Governo promuoverà un approccio strutturale, che affronti la questione nel suo complesso, anche attraverso la definizione di una organica normativa che persegua la lotta al traffico illegale di persone e all’immigrazione clandestina, ma che al contempo migliori drasticamente l’efficacia delle politiche di integrazione.</w:t>
      </w:r>
    </w:p>
    <w:p>
      <w:pPr>
        <w:pStyle w:val="BodyText"/>
        <w:spacing w:before="2"/>
        <w:rPr>
          <w:rFonts w:ascii="Franklin Gothic Book"/>
        </w:rPr>
      </w:pPr>
    </w:p>
    <w:p>
      <w:pPr>
        <w:pStyle w:val="Heading5"/>
        <w:spacing w:before="101"/>
        <w:jc w:val="left"/>
      </w:pPr>
      <w:r>
        <w:rPr/>
        <w:t>Sicurezza e ordine pubblico</w:t>
      </w:r>
    </w:p>
    <w:p>
      <w:pPr>
        <w:pStyle w:val="BodyText"/>
        <w:spacing w:line="252" w:lineRule="auto" w:before="149"/>
        <w:ind w:left="1128" w:right="1411" w:firstLine="427"/>
        <w:jc w:val="both"/>
      </w:pPr>
      <w:r>
        <w:rPr/>
        <w:t>A giugno è stato approvato un decreto</w:t>
      </w:r>
      <w:r>
        <w:rPr>
          <w:vertAlign w:val="superscript"/>
        </w:rPr>
        <w:t>25</w:t>
      </w:r>
      <w:r>
        <w:rPr>
          <w:vertAlign w:val="baseline"/>
        </w:rPr>
        <w:t> in materia di ordine e sicurezza pubblica (cd. decreto Sicurezza bis) che verrà presto sottoposto a un processo di rivisitazione</w:t>
      </w:r>
      <w:r>
        <w:rPr>
          <w:spacing w:val="-7"/>
          <w:vertAlign w:val="baseline"/>
        </w:rPr>
        <w:t> </w:t>
      </w:r>
      <w:r>
        <w:rPr>
          <w:vertAlign w:val="baseline"/>
        </w:rPr>
        <w:t>alla</w:t>
      </w:r>
      <w:r>
        <w:rPr>
          <w:spacing w:val="-7"/>
          <w:vertAlign w:val="baseline"/>
        </w:rPr>
        <w:t> </w:t>
      </w:r>
      <w:r>
        <w:rPr>
          <w:vertAlign w:val="baseline"/>
        </w:rPr>
        <w:t>luce</w:t>
      </w:r>
      <w:r>
        <w:rPr>
          <w:spacing w:val="-5"/>
          <w:vertAlign w:val="baseline"/>
        </w:rPr>
        <w:t> </w:t>
      </w:r>
      <w:r>
        <w:rPr>
          <w:vertAlign w:val="baseline"/>
        </w:rPr>
        <w:t>delle</w:t>
      </w:r>
      <w:r>
        <w:rPr>
          <w:spacing w:val="-6"/>
          <w:vertAlign w:val="baseline"/>
        </w:rPr>
        <w:t> </w:t>
      </w:r>
      <w:r>
        <w:rPr>
          <w:vertAlign w:val="baseline"/>
        </w:rPr>
        <w:t>osservazioni</w:t>
      </w:r>
      <w:r>
        <w:rPr>
          <w:spacing w:val="-6"/>
          <w:vertAlign w:val="baseline"/>
        </w:rPr>
        <w:t> </w:t>
      </w:r>
      <w:r>
        <w:rPr>
          <w:vertAlign w:val="baseline"/>
        </w:rPr>
        <w:t>formulate</w:t>
      </w:r>
      <w:r>
        <w:rPr>
          <w:spacing w:val="-6"/>
          <w:vertAlign w:val="baseline"/>
        </w:rPr>
        <w:t> </w:t>
      </w:r>
      <w:r>
        <w:rPr>
          <w:vertAlign w:val="baseline"/>
        </w:rPr>
        <w:t>dal</w:t>
      </w:r>
      <w:r>
        <w:rPr>
          <w:spacing w:val="-6"/>
          <w:vertAlign w:val="baseline"/>
        </w:rPr>
        <w:t> </w:t>
      </w:r>
      <w:r>
        <w:rPr>
          <w:vertAlign w:val="baseline"/>
        </w:rPr>
        <w:t>Presidente</w:t>
      </w:r>
      <w:r>
        <w:rPr>
          <w:spacing w:val="-5"/>
          <w:vertAlign w:val="baseline"/>
        </w:rPr>
        <w:t> </w:t>
      </w:r>
      <w:r>
        <w:rPr>
          <w:vertAlign w:val="baseline"/>
        </w:rPr>
        <w:t>della</w:t>
      </w:r>
      <w:r>
        <w:rPr>
          <w:spacing w:val="-7"/>
          <w:vertAlign w:val="baseline"/>
        </w:rPr>
        <w:t> </w:t>
      </w:r>
      <w:r>
        <w:rPr>
          <w:vertAlign w:val="baseline"/>
        </w:rPr>
        <w:t>Repubblica. Il decreto contiene alcune disposizioni per il contrasto all’immigrazione illegale, il potenziamento dell’efficacia dell’azione amministrativa a supporto delle politiche di sicurezza, il contrasto alla violenza in occasione di manifestazioni sportive e alcune misure che incidono sull’efficienza della</w:t>
      </w:r>
      <w:r>
        <w:rPr>
          <w:spacing w:val="-8"/>
          <w:vertAlign w:val="baseline"/>
        </w:rPr>
        <w:t> </w:t>
      </w:r>
      <w:r>
        <w:rPr>
          <w:vertAlign w:val="baseline"/>
        </w:rPr>
        <w:t>giustizia.</w:t>
      </w:r>
    </w:p>
    <w:p>
      <w:pPr>
        <w:pStyle w:val="BodyText"/>
        <w:spacing w:line="252" w:lineRule="auto" w:before="59"/>
        <w:ind w:left="1128" w:right="1413" w:firstLine="427"/>
        <w:jc w:val="both"/>
      </w:pPr>
      <w:r>
        <w:rPr/>
        <w:t>Massima attenzione sarà assicurata al personale delle forze di polizia e al personale civile dell'amministrazione dell'Interno al fine di garantire la piena attuazione delle politiche di sicurezza, valorizzando le rispettive professionalità nonché la formazione e l’aggiornamento professionale.</w:t>
      </w:r>
    </w:p>
    <w:p>
      <w:pPr>
        <w:pStyle w:val="BodyText"/>
        <w:rPr>
          <w:sz w:val="20"/>
        </w:rPr>
      </w:pPr>
    </w:p>
    <w:p>
      <w:pPr>
        <w:pStyle w:val="BodyText"/>
        <w:rPr>
          <w:sz w:val="20"/>
        </w:rPr>
      </w:pPr>
    </w:p>
    <w:p>
      <w:pPr>
        <w:pStyle w:val="BodyText"/>
        <w:spacing w:before="10"/>
        <w:rPr>
          <w:sz w:val="11"/>
        </w:rPr>
      </w:pPr>
      <w:r>
        <w:rPr/>
        <w:pict>
          <v:group style="position:absolute;margin-left:136.100006pt;margin-top:8.875166pt;width:21.4pt;height:2.15pt;mso-position-horizontal-relative:page;mso-position-vertical-relative:paragraph;z-index:-251426816;mso-wrap-distance-left:0;mso-wrap-distance-right:0" coordorigin="2722,178" coordsize="428,43">
            <v:line style="position:absolute" from="2722,198" to="3149,198" stroked="true" strokeweight="2.050pt" strokecolor="#aaaaaa">
              <v:stroke dashstyle="solid"/>
            </v:line>
            <v:rect style="position:absolute;left:2722;top:179;width:5;height:5" filled="true" fillcolor="#9f9f9f" stroked="false">
              <v:fill type="solid"/>
            </v:rect>
            <v:rect style="position:absolute;left:2722;top:179;width:5;height:5" filled="true" fillcolor="#9f9f9f" stroked="false">
              <v:fill type="solid"/>
            </v:rect>
            <v:line style="position:absolute" from="2727,182" to="3144,182" stroked="true" strokeweight=".23999pt" strokecolor="#9f9f9f">
              <v:stroke dashstyle="solid"/>
            </v:line>
            <v:rect style="position:absolute;left:3144;top:179;width:5;height:5" filled="true" fillcolor="#e2e2e2" stroked="false">
              <v:fill type="solid"/>
            </v:rect>
            <v:rect style="position:absolute;left:3144;top:179;width:5;height:5" filled="true" fillcolor="#9f9f9f" stroked="false">
              <v:fill type="solid"/>
            </v:rect>
            <v:rect style="position:absolute;left:2722;top:184;width:5;height:32" filled="true" fillcolor="#9f9f9f" stroked="false">
              <v:fill type="solid"/>
            </v:rect>
            <v:rect style="position:absolute;left:3144;top:184;width:5;height:32" filled="true" fillcolor="#e2e2e2" stroked="false">
              <v:fill type="solid"/>
            </v:rect>
            <v:rect style="position:absolute;left:2722;top:215;width:5;height:5" filled="true" fillcolor="#9f9f9f" stroked="false">
              <v:fill type="solid"/>
            </v:rect>
            <v:rect style="position:absolute;left:2722;top:215;width:5;height:5" filled="true" fillcolor="#e2e2e2" stroked="false">
              <v:fill type="solid"/>
            </v:rect>
            <v:line style="position:absolute" from="2727,218" to="3144,218" stroked="true" strokeweight=".23999pt" strokecolor="#e2e2e2">
              <v:stroke dashstyle="solid"/>
            </v:line>
            <v:rect style="position:absolute;left:3144;top:215;width:5;height:5" filled="true" fillcolor="#e2e2e2" stroked="false">
              <v:fill type="solid"/>
            </v:rect>
            <v:rect style="position:absolute;left:3144;top:215;width:5;height:5" filled="true" fillcolor="#e2e2e2" stroked="false">
              <v:fill type="solid"/>
            </v:rect>
            <w10:wrap type="topAndBottom"/>
          </v:group>
        </w:pict>
      </w:r>
    </w:p>
    <w:p>
      <w:pPr>
        <w:spacing w:before="18"/>
        <w:ind w:left="1128" w:right="1494" w:firstLine="453"/>
        <w:jc w:val="left"/>
        <w:rPr>
          <w:sz w:val="16"/>
        </w:rPr>
      </w:pPr>
      <w:r>
        <w:rPr>
          <w:position w:val="6"/>
          <w:sz w:val="10"/>
        </w:rPr>
        <w:t>24 </w:t>
      </w:r>
      <w:r>
        <w:rPr>
          <w:sz w:val="16"/>
        </w:rPr>
        <w:t>Nel decennio 2008-2018 i finanziamenti in Italia sono stati 108 miliardi, per 300 miliardi di investimenti sostenuti.</w:t>
      </w:r>
    </w:p>
    <w:p>
      <w:pPr>
        <w:spacing w:line="186" w:lineRule="exact" w:before="0"/>
        <w:ind w:left="1582" w:right="0" w:firstLine="0"/>
        <w:jc w:val="left"/>
        <w:rPr>
          <w:sz w:val="16"/>
        </w:rPr>
      </w:pPr>
      <w:r>
        <w:rPr>
          <w:position w:val="6"/>
          <w:sz w:val="10"/>
        </w:rPr>
        <w:t>25 </w:t>
      </w:r>
      <w:r>
        <w:rPr>
          <w:sz w:val="16"/>
        </w:rPr>
        <w:t>Decreto legge 14 giugno 2019, n. 53 cvt. con L. 8 agosto 2019, n. 77.</w:t>
      </w:r>
    </w:p>
    <w:p>
      <w:pPr>
        <w:spacing w:after="0" w:line="186" w:lineRule="exact"/>
        <w:jc w:val="left"/>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6"/>
        <w:rPr>
          <w:sz w:val="24"/>
        </w:rPr>
      </w:pPr>
    </w:p>
    <w:p>
      <w:pPr>
        <w:pStyle w:val="Heading5"/>
        <w:spacing w:before="101"/>
        <w:ind w:left="278"/>
      </w:pPr>
      <w:r>
        <w:rPr/>
        <w:t>Le riforme Costituzionali e l’autonomia differenziata</w:t>
      </w:r>
    </w:p>
    <w:p>
      <w:pPr>
        <w:spacing w:line="232" w:lineRule="auto" w:before="159"/>
        <w:ind w:left="278" w:right="2263" w:firstLine="0"/>
        <w:jc w:val="both"/>
        <w:rPr>
          <w:rFonts w:ascii="Franklin Gothic Book" w:hAnsi="Franklin Gothic Book"/>
          <w:sz w:val="20"/>
        </w:rPr>
      </w:pPr>
      <w:r>
        <w:rPr/>
        <w:pict>
          <v:line style="position:absolute;mso-position-horizontal-relative:page;mso-position-vertical-relative:paragraph;z-index:-251425792;mso-wrap-distance-left:0;mso-wrap-distance-right:0" from="69.503998pt,123.760078pt" to="483.453998pt,123.760078pt" stroked="true" strokeweight="1.44pt" strokecolor="#006247">
            <v:stroke dashstyle="solid"/>
            <w10:wrap type="topAndBottom"/>
          </v:line>
        </w:pict>
      </w:r>
      <w:r>
        <w:rPr>
          <w:rFonts w:ascii="Franklin Gothic Heavy" w:hAnsi="Franklin Gothic Heavy"/>
          <w:b/>
          <w:color w:val="006247"/>
          <w:sz w:val="20"/>
        </w:rPr>
        <w:t>LINEE PROGRAMMATICHE: </w:t>
      </w:r>
      <w:r>
        <w:rPr>
          <w:rFonts w:ascii="Franklin Gothic Book" w:hAnsi="Franklin Gothic Book"/>
          <w:sz w:val="20"/>
        </w:rPr>
        <w:t>il parlamento sta concludendo l’iter di approvazione della legge di riduzione del numero dei parlamentari. Contestualmente, si riformeranno i requisiti di elettorato attivo</w:t>
      </w:r>
      <w:r>
        <w:rPr>
          <w:rFonts w:ascii="Franklin Gothic Book" w:hAnsi="Franklin Gothic Book"/>
          <w:spacing w:val="-13"/>
          <w:sz w:val="20"/>
        </w:rPr>
        <w:t> </w:t>
      </w:r>
      <w:r>
        <w:rPr>
          <w:rFonts w:ascii="Franklin Gothic Book" w:hAnsi="Franklin Gothic Book"/>
          <w:sz w:val="20"/>
        </w:rPr>
        <w:t>e</w:t>
      </w:r>
      <w:r>
        <w:rPr>
          <w:rFonts w:ascii="Franklin Gothic Book" w:hAnsi="Franklin Gothic Book"/>
          <w:spacing w:val="-13"/>
          <w:sz w:val="20"/>
        </w:rPr>
        <w:t> </w:t>
      </w:r>
      <w:r>
        <w:rPr>
          <w:rFonts w:ascii="Franklin Gothic Book" w:hAnsi="Franklin Gothic Book"/>
          <w:sz w:val="20"/>
        </w:rPr>
        <w:t>passivo</w:t>
      </w:r>
      <w:r>
        <w:rPr>
          <w:rFonts w:ascii="Franklin Gothic Book" w:hAnsi="Franklin Gothic Book"/>
          <w:spacing w:val="-13"/>
          <w:sz w:val="20"/>
        </w:rPr>
        <w:t> </w:t>
      </w:r>
      <w:r>
        <w:rPr>
          <w:rFonts w:ascii="Franklin Gothic Book" w:hAnsi="Franklin Gothic Book"/>
          <w:sz w:val="20"/>
        </w:rPr>
        <w:t>per</w:t>
      </w:r>
      <w:r>
        <w:rPr>
          <w:rFonts w:ascii="Franklin Gothic Book" w:hAnsi="Franklin Gothic Book"/>
          <w:spacing w:val="-13"/>
          <w:sz w:val="20"/>
        </w:rPr>
        <w:t> </w:t>
      </w:r>
      <w:r>
        <w:rPr>
          <w:rFonts w:ascii="Franklin Gothic Book" w:hAnsi="Franklin Gothic Book"/>
          <w:sz w:val="20"/>
        </w:rPr>
        <w:t>l’elezione</w:t>
      </w:r>
      <w:r>
        <w:rPr>
          <w:rFonts w:ascii="Franklin Gothic Book" w:hAnsi="Franklin Gothic Book"/>
          <w:spacing w:val="-11"/>
          <w:sz w:val="20"/>
        </w:rPr>
        <w:t> </w:t>
      </w:r>
      <w:r>
        <w:rPr>
          <w:rFonts w:ascii="Franklin Gothic Book" w:hAnsi="Franklin Gothic Book"/>
          <w:sz w:val="20"/>
        </w:rPr>
        <w:t>del</w:t>
      </w:r>
      <w:r>
        <w:rPr>
          <w:rFonts w:ascii="Franklin Gothic Book" w:hAnsi="Franklin Gothic Book"/>
          <w:spacing w:val="-13"/>
          <w:sz w:val="20"/>
        </w:rPr>
        <w:t> </w:t>
      </w:r>
      <w:r>
        <w:rPr>
          <w:rFonts w:ascii="Franklin Gothic Book" w:hAnsi="Franklin Gothic Book"/>
          <w:sz w:val="20"/>
        </w:rPr>
        <w:t>Senato</w:t>
      </w:r>
      <w:r>
        <w:rPr>
          <w:rFonts w:ascii="Franklin Gothic Book" w:hAnsi="Franklin Gothic Book"/>
          <w:spacing w:val="-13"/>
          <w:sz w:val="20"/>
        </w:rPr>
        <w:t> </w:t>
      </w:r>
      <w:r>
        <w:rPr>
          <w:rFonts w:ascii="Franklin Gothic Book" w:hAnsi="Franklin Gothic Book"/>
          <w:sz w:val="20"/>
        </w:rPr>
        <w:t>della</w:t>
      </w:r>
      <w:r>
        <w:rPr>
          <w:rFonts w:ascii="Franklin Gothic Book" w:hAnsi="Franklin Gothic Book"/>
          <w:spacing w:val="-13"/>
          <w:sz w:val="20"/>
        </w:rPr>
        <w:t> </w:t>
      </w:r>
      <w:r>
        <w:rPr>
          <w:rFonts w:ascii="Franklin Gothic Book" w:hAnsi="Franklin Gothic Book"/>
          <w:sz w:val="20"/>
        </w:rPr>
        <w:t>Repubblica</w:t>
      </w:r>
      <w:r>
        <w:rPr>
          <w:rFonts w:ascii="Franklin Gothic Book" w:hAnsi="Franklin Gothic Book"/>
          <w:spacing w:val="-11"/>
          <w:sz w:val="20"/>
        </w:rPr>
        <w:t> </w:t>
      </w:r>
      <w:r>
        <w:rPr>
          <w:rFonts w:ascii="Franklin Gothic Book" w:hAnsi="Franklin Gothic Book"/>
          <w:sz w:val="20"/>
        </w:rPr>
        <w:t>e</w:t>
      </w:r>
      <w:r>
        <w:rPr>
          <w:rFonts w:ascii="Franklin Gothic Book" w:hAnsi="Franklin Gothic Book"/>
          <w:spacing w:val="-13"/>
          <w:sz w:val="20"/>
        </w:rPr>
        <w:t> </w:t>
      </w:r>
      <w:r>
        <w:rPr>
          <w:rFonts w:ascii="Franklin Gothic Book" w:hAnsi="Franklin Gothic Book"/>
          <w:sz w:val="20"/>
        </w:rPr>
        <w:t>della</w:t>
      </w:r>
      <w:r>
        <w:rPr>
          <w:rFonts w:ascii="Franklin Gothic Book" w:hAnsi="Franklin Gothic Book"/>
          <w:spacing w:val="-13"/>
          <w:sz w:val="20"/>
        </w:rPr>
        <w:t> </w:t>
      </w:r>
      <w:r>
        <w:rPr>
          <w:rFonts w:ascii="Franklin Gothic Book" w:hAnsi="Franklin Gothic Book"/>
          <w:sz w:val="20"/>
        </w:rPr>
        <w:t>Camera</w:t>
      </w:r>
      <w:r>
        <w:rPr>
          <w:rFonts w:ascii="Franklin Gothic Book" w:hAnsi="Franklin Gothic Book"/>
          <w:spacing w:val="-12"/>
          <w:sz w:val="20"/>
        </w:rPr>
        <w:t> </w:t>
      </w:r>
      <w:r>
        <w:rPr>
          <w:rFonts w:ascii="Franklin Gothic Book" w:hAnsi="Franklin Gothic Book"/>
          <w:sz w:val="20"/>
        </w:rPr>
        <w:t>dei</w:t>
      </w:r>
      <w:r>
        <w:rPr>
          <w:rFonts w:ascii="Franklin Gothic Book" w:hAnsi="Franklin Gothic Book"/>
          <w:spacing w:val="-12"/>
          <w:sz w:val="20"/>
        </w:rPr>
        <w:t> </w:t>
      </w:r>
      <w:r>
        <w:rPr>
          <w:rFonts w:ascii="Franklin Gothic Book" w:hAnsi="Franklin Gothic Book"/>
          <w:sz w:val="20"/>
        </w:rPr>
        <w:t>Deputati</w:t>
      </w:r>
      <w:r>
        <w:rPr>
          <w:rFonts w:ascii="Franklin Gothic Book" w:hAnsi="Franklin Gothic Book"/>
          <w:spacing w:val="-9"/>
          <w:sz w:val="20"/>
        </w:rPr>
        <w:t> </w:t>
      </w:r>
      <w:r>
        <w:rPr>
          <w:rFonts w:ascii="Franklin Gothic Book" w:hAnsi="Franklin Gothic Book"/>
          <w:sz w:val="20"/>
        </w:rPr>
        <w:t>e</w:t>
      </w:r>
      <w:r>
        <w:rPr>
          <w:rFonts w:ascii="Franklin Gothic Book" w:hAnsi="Franklin Gothic Book"/>
          <w:spacing w:val="-13"/>
          <w:sz w:val="20"/>
        </w:rPr>
        <w:t> </w:t>
      </w:r>
      <w:r>
        <w:rPr>
          <w:rFonts w:ascii="Franklin Gothic Book" w:hAnsi="Franklin Gothic Book"/>
          <w:sz w:val="20"/>
        </w:rPr>
        <w:t>si</w:t>
      </w:r>
      <w:r>
        <w:rPr>
          <w:rFonts w:ascii="Franklin Gothic Book" w:hAnsi="Franklin Gothic Book"/>
          <w:spacing w:val="-13"/>
          <w:sz w:val="20"/>
        </w:rPr>
        <w:t> </w:t>
      </w:r>
      <w:r>
        <w:rPr>
          <w:rFonts w:ascii="Franklin Gothic Book" w:hAnsi="Franklin Gothic Book"/>
          <w:sz w:val="20"/>
        </w:rPr>
        <w:t>studierà l’introduzione di istituti che assicurino maggiore equilibrio al sistema e riavvicino i cittadini alle Istituzioni. È altresì necessario rivedere il testo unico per gli enti locali, introducendo un’Agenda Urbana</w:t>
      </w:r>
      <w:r>
        <w:rPr>
          <w:rFonts w:ascii="Franklin Gothic Book" w:hAnsi="Franklin Gothic Book"/>
          <w:spacing w:val="-7"/>
          <w:sz w:val="20"/>
        </w:rPr>
        <w:t> </w:t>
      </w:r>
      <w:r>
        <w:rPr>
          <w:rFonts w:ascii="Franklin Gothic Book" w:hAnsi="Franklin Gothic Book"/>
          <w:sz w:val="20"/>
        </w:rPr>
        <w:t>per</w:t>
      </w:r>
      <w:r>
        <w:rPr>
          <w:rFonts w:ascii="Franklin Gothic Book" w:hAnsi="Franklin Gothic Book"/>
          <w:spacing w:val="-9"/>
          <w:sz w:val="20"/>
        </w:rPr>
        <w:t> </w:t>
      </w:r>
      <w:r>
        <w:rPr>
          <w:rFonts w:ascii="Franklin Gothic Book" w:hAnsi="Franklin Gothic Book"/>
          <w:sz w:val="20"/>
        </w:rPr>
        <w:t>lo</w:t>
      </w:r>
      <w:r>
        <w:rPr>
          <w:rFonts w:ascii="Franklin Gothic Book" w:hAnsi="Franklin Gothic Book"/>
          <w:spacing w:val="-8"/>
          <w:sz w:val="20"/>
        </w:rPr>
        <w:t> </w:t>
      </w:r>
      <w:r>
        <w:rPr>
          <w:rFonts w:ascii="Franklin Gothic Book" w:hAnsi="Franklin Gothic Book"/>
          <w:sz w:val="20"/>
        </w:rPr>
        <w:t>sviluppo</w:t>
      </w:r>
      <w:r>
        <w:rPr>
          <w:rFonts w:ascii="Franklin Gothic Book" w:hAnsi="Franklin Gothic Book"/>
          <w:spacing w:val="-7"/>
          <w:sz w:val="20"/>
        </w:rPr>
        <w:t> </w:t>
      </w:r>
      <w:r>
        <w:rPr>
          <w:rFonts w:ascii="Franklin Gothic Book" w:hAnsi="Franklin Gothic Book"/>
          <w:sz w:val="20"/>
        </w:rPr>
        <w:t>sostenibile</w:t>
      </w:r>
      <w:r>
        <w:rPr>
          <w:rFonts w:ascii="Franklin Gothic Book" w:hAnsi="Franklin Gothic Book"/>
          <w:spacing w:val="-8"/>
          <w:sz w:val="20"/>
        </w:rPr>
        <w:t> </w:t>
      </w:r>
      <w:r>
        <w:rPr>
          <w:rFonts w:ascii="Franklin Gothic Book" w:hAnsi="Franklin Gothic Book"/>
          <w:sz w:val="20"/>
        </w:rPr>
        <w:t>delle</w:t>
      </w:r>
      <w:r>
        <w:rPr>
          <w:rFonts w:ascii="Franklin Gothic Book" w:hAnsi="Franklin Gothic Book"/>
          <w:spacing w:val="-9"/>
          <w:sz w:val="20"/>
        </w:rPr>
        <w:t> </w:t>
      </w:r>
      <w:r>
        <w:rPr>
          <w:rFonts w:ascii="Franklin Gothic Book" w:hAnsi="Franklin Gothic Book"/>
          <w:sz w:val="20"/>
        </w:rPr>
        <w:t>città,</w:t>
      </w:r>
      <w:r>
        <w:rPr>
          <w:rFonts w:ascii="Franklin Gothic Book" w:hAnsi="Franklin Gothic Book"/>
          <w:spacing w:val="-6"/>
          <w:sz w:val="20"/>
        </w:rPr>
        <w:t> </w:t>
      </w:r>
      <w:r>
        <w:rPr>
          <w:rFonts w:ascii="Franklin Gothic Book" w:hAnsi="Franklin Gothic Book"/>
          <w:sz w:val="20"/>
        </w:rPr>
        <w:t>delle</w:t>
      </w:r>
      <w:r>
        <w:rPr>
          <w:rFonts w:ascii="Franklin Gothic Book" w:hAnsi="Franklin Gothic Book"/>
          <w:spacing w:val="-6"/>
          <w:sz w:val="20"/>
        </w:rPr>
        <w:t> </w:t>
      </w:r>
      <w:r>
        <w:rPr>
          <w:rFonts w:ascii="Franklin Gothic Book" w:hAnsi="Franklin Gothic Book"/>
          <w:sz w:val="20"/>
        </w:rPr>
        <w:t>Città</w:t>
      </w:r>
      <w:r>
        <w:rPr>
          <w:rFonts w:ascii="Franklin Gothic Book" w:hAnsi="Franklin Gothic Book"/>
          <w:spacing w:val="-8"/>
          <w:sz w:val="20"/>
        </w:rPr>
        <w:t> </w:t>
      </w:r>
      <w:r>
        <w:rPr>
          <w:rFonts w:ascii="Franklin Gothic Book" w:hAnsi="Franklin Gothic Book"/>
          <w:sz w:val="20"/>
        </w:rPr>
        <w:t>Metropolitane,</w:t>
      </w:r>
      <w:r>
        <w:rPr>
          <w:rFonts w:ascii="Franklin Gothic Book" w:hAnsi="Franklin Gothic Book"/>
          <w:spacing w:val="-8"/>
          <w:sz w:val="20"/>
        </w:rPr>
        <w:t> </w:t>
      </w:r>
      <w:r>
        <w:rPr>
          <w:rFonts w:ascii="Franklin Gothic Book" w:hAnsi="Franklin Gothic Book"/>
          <w:sz w:val="20"/>
        </w:rPr>
        <w:t>di</w:t>
      </w:r>
      <w:r>
        <w:rPr>
          <w:rFonts w:ascii="Franklin Gothic Book" w:hAnsi="Franklin Gothic Book"/>
          <w:spacing w:val="-7"/>
          <w:sz w:val="20"/>
        </w:rPr>
        <w:t> </w:t>
      </w:r>
      <w:r>
        <w:rPr>
          <w:rFonts w:ascii="Franklin Gothic Book" w:hAnsi="Franklin Gothic Book"/>
          <w:sz w:val="20"/>
        </w:rPr>
        <w:t>Roma</w:t>
      </w:r>
      <w:r>
        <w:rPr>
          <w:rFonts w:ascii="Franklin Gothic Book" w:hAnsi="Franklin Gothic Book"/>
          <w:spacing w:val="-8"/>
          <w:sz w:val="20"/>
        </w:rPr>
        <w:t> </w:t>
      </w:r>
      <w:r>
        <w:rPr>
          <w:rFonts w:ascii="Franklin Gothic Book" w:hAnsi="Franklin Gothic Book"/>
          <w:sz w:val="20"/>
        </w:rPr>
        <w:t>capitale,</w:t>
      </w:r>
      <w:r>
        <w:rPr>
          <w:rFonts w:ascii="Franklin Gothic Book" w:hAnsi="Franklin Gothic Book"/>
          <w:spacing w:val="-7"/>
          <w:sz w:val="20"/>
        </w:rPr>
        <w:t> </w:t>
      </w:r>
      <w:r>
        <w:rPr>
          <w:rFonts w:ascii="Franklin Gothic Book" w:hAnsi="Franklin Gothic Book"/>
          <w:sz w:val="20"/>
        </w:rPr>
        <w:t>attuando la</w:t>
      </w:r>
      <w:r>
        <w:rPr>
          <w:rFonts w:ascii="Franklin Gothic Book" w:hAnsi="Franklin Gothic Book"/>
          <w:spacing w:val="-4"/>
          <w:sz w:val="20"/>
        </w:rPr>
        <w:t> </w:t>
      </w:r>
      <w:r>
        <w:rPr>
          <w:rFonts w:ascii="Franklin Gothic Book" w:hAnsi="Franklin Gothic Book"/>
          <w:sz w:val="20"/>
        </w:rPr>
        <w:t>legge</w:t>
      </w:r>
      <w:r>
        <w:rPr>
          <w:rFonts w:ascii="Franklin Gothic Book" w:hAnsi="Franklin Gothic Book"/>
          <w:spacing w:val="-5"/>
          <w:sz w:val="20"/>
        </w:rPr>
        <w:t> </w:t>
      </w:r>
      <w:r>
        <w:rPr>
          <w:rFonts w:ascii="Franklin Gothic Book" w:hAnsi="Franklin Gothic Book"/>
          <w:sz w:val="20"/>
        </w:rPr>
        <w:t>per</w:t>
      </w:r>
      <w:r>
        <w:rPr>
          <w:rFonts w:ascii="Franklin Gothic Book" w:hAnsi="Franklin Gothic Book"/>
          <w:spacing w:val="-6"/>
          <w:sz w:val="20"/>
        </w:rPr>
        <w:t> </w:t>
      </w:r>
      <w:r>
        <w:rPr>
          <w:rFonts w:ascii="Franklin Gothic Book" w:hAnsi="Franklin Gothic Book"/>
          <w:sz w:val="20"/>
        </w:rPr>
        <w:t>la</w:t>
      </w:r>
      <w:r>
        <w:rPr>
          <w:rFonts w:ascii="Franklin Gothic Book" w:hAnsi="Franklin Gothic Book"/>
          <w:spacing w:val="-2"/>
          <w:sz w:val="20"/>
        </w:rPr>
        <w:t> </w:t>
      </w:r>
      <w:r>
        <w:rPr>
          <w:rFonts w:ascii="Franklin Gothic Book" w:hAnsi="Franklin Gothic Book"/>
          <w:sz w:val="20"/>
        </w:rPr>
        <w:t>valorizzazione</w:t>
      </w:r>
      <w:r>
        <w:rPr>
          <w:rFonts w:ascii="Franklin Gothic Book" w:hAnsi="Franklin Gothic Book"/>
          <w:spacing w:val="-5"/>
          <w:sz w:val="20"/>
        </w:rPr>
        <w:t> </w:t>
      </w:r>
      <w:r>
        <w:rPr>
          <w:rFonts w:ascii="Franklin Gothic Book" w:hAnsi="Franklin Gothic Book"/>
          <w:sz w:val="20"/>
        </w:rPr>
        <w:t>dei</w:t>
      </w:r>
      <w:r>
        <w:rPr>
          <w:rFonts w:ascii="Franklin Gothic Book" w:hAnsi="Franklin Gothic Book"/>
          <w:spacing w:val="-5"/>
          <w:sz w:val="20"/>
        </w:rPr>
        <w:t> </w:t>
      </w:r>
      <w:r>
        <w:rPr>
          <w:rFonts w:ascii="Franklin Gothic Book" w:hAnsi="Franklin Gothic Book"/>
          <w:sz w:val="20"/>
        </w:rPr>
        <w:t>piccoli</w:t>
      </w:r>
      <w:r>
        <w:rPr>
          <w:rFonts w:ascii="Franklin Gothic Book" w:hAnsi="Franklin Gothic Book"/>
          <w:spacing w:val="-5"/>
          <w:sz w:val="20"/>
        </w:rPr>
        <w:t> </w:t>
      </w:r>
      <w:r>
        <w:rPr>
          <w:rFonts w:ascii="Franklin Gothic Book" w:hAnsi="Franklin Gothic Book"/>
          <w:sz w:val="20"/>
        </w:rPr>
        <w:t>Comuni</w:t>
      </w:r>
      <w:r>
        <w:rPr>
          <w:rFonts w:ascii="Franklin Gothic Book" w:hAnsi="Franklin Gothic Book"/>
          <w:spacing w:val="-5"/>
          <w:sz w:val="20"/>
        </w:rPr>
        <w:t> </w:t>
      </w:r>
      <w:r>
        <w:rPr>
          <w:rFonts w:ascii="Franklin Gothic Book" w:hAnsi="Franklin Gothic Book"/>
          <w:sz w:val="20"/>
        </w:rPr>
        <w:t>e</w:t>
      </w:r>
      <w:r>
        <w:rPr>
          <w:rFonts w:ascii="Franklin Gothic Book" w:hAnsi="Franklin Gothic Book"/>
          <w:spacing w:val="-5"/>
          <w:sz w:val="20"/>
        </w:rPr>
        <w:t> </w:t>
      </w:r>
      <w:r>
        <w:rPr>
          <w:rFonts w:ascii="Franklin Gothic Book" w:hAnsi="Franklin Gothic Book"/>
          <w:sz w:val="20"/>
        </w:rPr>
        <w:t>sopprimendo</w:t>
      </w:r>
      <w:r>
        <w:rPr>
          <w:rFonts w:ascii="Franklin Gothic Book" w:hAnsi="Franklin Gothic Book"/>
          <w:spacing w:val="-5"/>
          <w:sz w:val="20"/>
        </w:rPr>
        <w:t> </w:t>
      </w:r>
      <w:r>
        <w:rPr>
          <w:rFonts w:ascii="Franklin Gothic Book" w:hAnsi="Franklin Gothic Book"/>
          <w:sz w:val="20"/>
        </w:rPr>
        <w:t>gli</w:t>
      </w:r>
      <w:r>
        <w:rPr>
          <w:rFonts w:ascii="Franklin Gothic Book" w:hAnsi="Franklin Gothic Book"/>
          <w:spacing w:val="-4"/>
          <w:sz w:val="20"/>
        </w:rPr>
        <w:t> </w:t>
      </w:r>
      <w:r>
        <w:rPr>
          <w:rFonts w:ascii="Franklin Gothic Book" w:hAnsi="Franklin Gothic Book"/>
          <w:sz w:val="20"/>
        </w:rPr>
        <w:t>enti</w:t>
      </w:r>
      <w:r>
        <w:rPr>
          <w:rFonts w:ascii="Franklin Gothic Book" w:hAnsi="Franklin Gothic Book"/>
          <w:spacing w:val="-4"/>
          <w:sz w:val="20"/>
        </w:rPr>
        <w:t> </w:t>
      </w:r>
      <w:r>
        <w:rPr>
          <w:rFonts w:ascii="Franklin Gothic Book" w:hAnsi="Franklin Gothic Book"/>
          <w:sz w:val="20"/>
        </w:rPr>
        <w:t>inutili.</w:t>
      </w:r>
      <w:r>
        <w:rPr>
          <w:rFonts w:ascii="Franklin Gothic Book" w:hAnsi="Franklin Gothic Book"/>
          <w:spacing w:val="-4"/>
          <w:sz w:val="20"/>
        </w:rPr>
        <w:t> </w:t>
      </w:r>
      <w:r>
        <w:rPr>
          <w:rFonts w:ascii="Franklin Gothic Book" w:hAnsi="Franklin Gothic Book"/>
          <w:sz w:val="20"/>
        </w:rPr>
        <w:t>Si</w:t>
      </w:r>
      <w:r>
        <w:rPr>
          <w:rFonts w:ascii="Franklin Gothic Book" w:hAnsi="Franklin Gothic Book"/>
          <w:spacing w:val="-5"/>
          <w:sz w:val="20"/>
        </w:rPr>
        <w:t> </w:t>
      </w:r>
      <w:r>
        <w:rPr>
          <w:rFonts w:ascii="Franklin Gothic Book" w:hAnsi="Franklin Gothic Book"/>
          <w:sz w:val="20"/>
        </w:rPr>
        <w:t>procederà</w:t>
      </w:r>
      <w:r>
        <w:rPr>
          <w:rFonts w:ascii="Franklin Gothic Book" w:hAnsi="Franklin Gothic Book"/>
          <w:spacing w:val="-4"/>
          <w:sz w:val="20"/>
        </w:rPr>
        <w:t> </w:t>
      </w:r>
      <w:r>
        <w:rPr>
          <w:rFonts w:ascii="Franklin Gothic Book" w:hAnsi="Franklin Gothic Book"/>
          <w:sz w:val="20"/>
        </w:rPr>
        <w:t>lungo</w:t>
      </w:r>
      <w:r>
        <w:rPr>
          <w:rFonts w:ascii="Franklin Gothic Book" w:hAnsi="Franklin Gothic Book"/>
          <w:spacing w:val="-4"/>
          <w:sz w:val="20"/>
        </w:rPr>
        <w:t> </w:t>
      </w:r>
      <w:r>
        <w:rPr>
          <w:rFonts w:ascii="Franklin Gothic Book" w:hAnsi="Franklin Gothic Book"/>
          <w:sz w:val="20"/>
        </w:rPr>
        <w:t>il processo di autonomia differenziata, salvaguardando il principio di coesione nazionale e di solidarietà. Saranno definiti i livelli essenziali delle prestazioni concernenti i diritti civili e sociali. Ciò eviterà di aggravare il divario tra il Nord e il Sud del</w:t>
      </w:r>
      <w:r>
        <w:rPr>
          <w:rFonts w:ascii="Franklin Gothic Book" w:hAnsi="Franklin Gothic Book"/>
          <w:spacing w:val="-6"/>
          <w:sz w:val="20"/>
        </w:rPr>
        <w:t> </w:t>
      </w:r>
      <w:r>
        <w:rPr>
          <w:rFonts w:ascii="Franklin Gothic Book" w:hAnsi="Franklin Gothic Book"/>
          <w:sz w:val="20"/>
        </w:rPr>
        <w:t>Paese.</w:t>
      </w:r>
    </w:p>
    <w:p>
      <w:pPr>
        <w:pStyle w:val="BodyText"/>
        <w:spacing w:before="3"/>
        <w:rPr>
          <w:rFonts w:ascii="Franklin Gothic Book"/>
          <w:sz w:val="11"/>
        </w:rPr>
      </w:pPr>
    </w:p>
    <w:p>
      <w:pPr>
        <w:pStyle w:val="BodyText"/>
        <w:spacing w:line="252" w:lineRule="auto" w:before="101"/>
        <w:ind w:left="278" w:right="2262" w:firstLine="453"/>
        <w:jc w:val="both"/>
      </w:pPr>
      <w:r>
        <w:rPr/>
        <w:t>Il</w:t>
      </w:r>
      <w:r>
        <w:rPr>
          <w:spacing w:val="-5"/>
        </w:rPr>
        <w:t> </w:t>
      </w:r>
      <w:r>
        <w:rPr/>
        <w:t>disegno</w:t>
      </w:r>
      <w:r>
        <w:rPr>
          <w:spacing w:val="-7"/>
        </w:rPr>
        <w:t> </w:t>
      </w:r>
      <w:r>
        <w:rPr/>
        <w:t>di</w:t>
      </w:r>
      <w:r>
        <w:rPr>
          <w:spacing w:val="-6"/>
        </w:rPr>
        <w:t> </w:t>
      </w:r>
      <w:r>
        <w:rPr/>
        <w:t>legge</w:t>
      </w:r>
      <w:r>
        <w:rPr>
          <w:spacing w:val="-9"/>
        </w:rPr>
        <w:t> </w:t>
      </w:r>
      <w:r>
        <w:rPr/>
        <w:t>costituzionale</w:t>
      </w:r>
      <w:r>
        <w:rPr>
          <w:spacing w:val="-5"/>
        </w:rPr>
        <w:t> </w:t>
      </w:r>
      <w:r>
        <w:rPr/>
        <w:t>contenente</w:t>
      </w:r>
      <w:r>
        <w:rPr>
          <w:spacing w:val="-4"/>
        </w:rPr>
        <w:t> </w:t>
      </w:r>
      <w:r>
        <w:rPr/>
        <w:t>modifiche</w:t>
      </w:r>
      <w:r>
        <w:rPr>
          <w:spacing w:val="-5"/>
        </w:rPr>
        <w:t> </w:t>
      </w:r>
      <w:r>
        <w:rPr/>
        <w:t>agli</w:t>
      </w:r>
      <w:r>
        <w:rPr>
          <w:spacing w:val="-7"/>
        </w:rPr>
        <w:t> </w:t>
      </w:r>
      <w:r>
        <w:rPr/>
        <w:t>articoli</w:t>
      </w:r>
      <w:r>
        <w:rPr>
          <w:spacing w:val="-5"/>
        </w:rPr>
        <w:t> </w:t>
      </w:r>
      <w:r>
        <w:rPr/>
        <w:t>56,</w:t>
      </w:r>
      <w:r>
        <w:rPr>
          <w:spacing w:val="-4"/>
        </w:rPr>
        <w:t> </w:t>
      </w:r>
      <w:r>
        <w:rPr/>
        <w:t>57</w:t>
      </w:r>
      <w:r>
        <w:rPr>
          <w:spacing w:val="-5"/>
        </w:rPr>
        <w:t> </w:t>
      </w:r>
      <w:r>
        <w:rPr/>
        <w:t>e</w:t>
      </w:r>
      <w:r>
        <w:rPr>
          <w:spacing w:val="-8"/>
        </w:rPr>
        <w:t> </w:t>
      </w:r>
      <w:r>
        <w:rPr/>
        <w:t>59 della Costituzione, in materia di riduzione del numero dei parlamentari, è stato approvato a luglio dal Senato in seconda deliberazione. Il provvedimento è ora all’esame</w:t>
      </w:r>
      <w:r>
        <w:rPr>
          <w:spacing w:val="-16"/>
        </w:rPr>
        <w:t> </w:t>
      </w:r>
      <w:r>
        <w:rPr/>
        <w:t>della</w:t>
      </w:r>
      <w:r>
        <w:rPr>
          <w:spacing w:val="-17"/>
        </w:rPr>
        <w:t> </w:t>
      </w:r>
      <w:r>
        <w:rPr/>
        <w:t>Camera.</w:t>
      </w:r>
      <w:r>
        <w:rPr>
          <w:spacing w:val="-16"/>
        </w:rPr>
        <w:t> </w:t>
      </w:r>
      <w:r>
        <w:rPr/>
        <w:t>Il</w:t>
      </w:r>
      <w:r>
        <w:rPr>
          <w:spacing w:val="-16"/>
        </w:rPr>
        <w:t> </w:t>
      </w:r>
      <w:r>
        <w:rPr/>
        <w:t>disegno</w:t>
      </w:r>
      <w:r>
        <w:rPr>
          <w:spacing w:val="-17"/>
        </w:rPr>
        <w:t> </w:t>
      </w:r>
      <w:r>
        <w:rPr/>
        <w:t>di</w:t>
      </w:r>
      <w:r>
        <w:rPr>
          <w:spacing w:val="-17"/>
        </w:rPr>
        <w:t> </w:t>
      </w:r>
      <w:r>
        <w:rPr/>
        <w:t>legge</w:t>
      </w:r>
      <w:r>
        <w:rPr>
          <w:spacing w:val="-16"/>
        </w:rPr>
        <w:t> </w:t>
      </w:r>
      <w:r>
        <w:rPr/>
        <w:t>prevede</w:t>
      </w:r>
      <w:r>
        <w:rPr>
          <w:spacing w:val="-17"/>
        </w:rPr>
        <w:t> </w:t>
      </w:r>
      <w:r>
        <w:rPr/>
        <w:t>di</w:t>
      </w:r>
      <w:r>
        <w:rPr>
          <w:spacing w:val="-17"/>
        </w:rPr>
        <w:t> </w:t>
      </w:r>
      <w:r>
        <w:rPr/>
        <w:t>ridurre</w:t>
      </w:r>
      <w:r>
        <w:rPr>
          <w:spacing w:val="-16"/>
        </w:rPr>
        <w:t> </w:t>
      </w:r>
      <w:r>
        <w:rPr/>
        <w:t>il</w:t>
      </w:r>
      <w:r>
        <w:rPr>
          <w:spacing w:val="-17"/>
        </w:rPr>
        <w:t> </w:t>
      </w:r>
      <w:r>
        <w:rPr/>
        <w:t>numero</w:t>
      </w:r>
      <w:r>
        <w:rPr>
          <w:spacing w:val="-17"/>
        </w:rPr>
        <w:t> </w:t>
      </w:r>
      <w:r>
        <w:rPr/>
        <w:t>dei</w:t>
      </w:r>
      <w:r>
        <w:rPr>
          <w:spacing w:val="-17"/>
        </w:rPr>
        <w:t> </w:t>
      </w:r>
      <w:r>
        <w:rPr/>
        <w:t>deputati a 400 (da 630) e dei senatori a 200 (da 315) a decorrere dalla data del primo scioglimento o della prima cessazione delle Camere successiva alla data di entrata in vigore della legge costituzionale e comunque non prima che siano decorsi sessanta</w:t>
      </w:r>
      <w:r>
        <w:rPr>
          <w:spacing w:val="-6"/>
        </w:rPr>
        <w:t> </w:t>
      </w:r>
      <w:r>
        <w:rPr/>
        <w:t>giorni</w:t>
      </w:r>
      <w:r>
        <w:rPr>
          <w:spacing w:val="-5"/>
        </w:rPr>
        <w:t> </w:t>
      </w:r>
      <w:r>
        <w:rPr/>
        <w:t>dalla</w:t>
      </w:r>
      <w:r>
        <w:rPr>
          <w:spacing w:val="-6"/>
        </w:rPr>
        <w:t> </w:t>
      </w:r>
      <w:r>
        <w:rPr/>
        <w:t>stessa.</w:t>
      </w:r>
      <w:r>
        <w:rPr>
          <w:spacing w:val="-3"/>
        </w:rPr>
        <w:t> </w:t>
      </w:r>
      <w:r>
        <w:rPr/>
        <w:t>Per</w:t>
      </w:r>
      <w:r>
        <w:rPr>
          <w:spacing w:val="-4"/>
        </w:rPr>
        <w:t> </w:t>
      </w:r>
      <w:r>
        <w:rPr/>
        <w:t>il</w:t>
      </w:r>
      <w:r>
        <w:rPr>
          <w:spacing w:val="-8"/>
        </w:rPr>
        <w:t> </w:t>
      </w:r>
      <w:r>
        <w:rPr/>
        <w:t>Senato,</w:t>
      </w:r>
      <w:r>
        <w:rPr>
          <w:spacing w:val="-3"/>
        </w:rPr>
        <w:t> </w:t>
      </w:r>
      <w:r>
        <w:rPr/>
        <w:t>la</w:t>
      </w:r>
      <w:r>
        <w:rPr>
          <w:spacing w:val="-5"/>
        </w:rPr>
        <w:t> </w:t>
      </w:r>
      <w:r>
        <w:rPr/>
        <w:t>disposizione</w:t>
      </w:r>
      <w:r>
        <w:rPr>
          <w:spacing w:val="-6"/>
        </w:rPr>
        <w:t> </w:t>
      </w:r>
      <w:r>
        <w:rPr/>
        <w:t>comporta</w:t>
      </w:r>
      <w:r>
        <w:rPr>
          <w:spacing w:val="-5"/>
        </w:rPr>
        <w:t> </w:t>
      </w:r>
      <w:r>
        <w:rPr/>
        <w:t>la</w:t>
      </w:r>
      <w:r>
        <w:rPr>
          <w:spacing w:val="-6"/>
        </w:rPr>
        <w:t> </w:t>
      </w:r>
      <w:r>
        <w:rPr/>
        <w:t>riduzione</w:t>
      </w:r>
      <w:r>
        <w:rPr>
          <w:spacing w:val="-5"/>
        </w:rPr>
        <w:t> </w:t>
      </w:r>
      <w:r>
        <w:rPr/>
        <w:t>del numero minimo di senatori eletti per Regione o per ciascuna Provincia autonoma a 3</w:t>
      </w:r>
      <w:r>
        <w:rPr>
          <w:spacing w:val="-6"/>
        </w:rPr>
        <w:t> </w:t>
      </w:r>
      <w:r>
        <w:rPr/>
        <w:t>componenti</w:t>
      </w:r>
      <w:r>
        <w:rPr>
          <w:spacing w:val="-5"/>
        </w:rPr>
        <w:t> </w:t>
      </w:r>
      <w:r>
        <w:rPr/>
        <w:t>(anziché</w:t>
      </w:r>
      <w:r>
        <w:rPr>
          <w:spacing w:val="-8"/>
        </w:rPr>
        <w:t> </w:t>
      </w:r>
      <w:r>
        <w:rPr/>
        <w:t>7).</w:t>
      </w:r>
      <w:r>
        <w:rPr>
          <w:spacing w:val="-5"/>
        </w:rPr>
        <w:t> </w:t>
      </w:r>
      <w:r>
        <w:rPr/>
        <w:t>Rimane</w:t>
      </w:r>
      <w:r>
        <w:rPr>
          <w:spacing w:val="-6"/>
        </w:rPr>
        <w:t> </w:t>
      </w:r>
      <w:r>
        <w:rPr/>
        <w:t>immutato</w:t>
      </w:r>
      <w:r>
        <w:rPr>
          <w:spacing w:val="-5"/>
        </w:rPr>
        <w:t> </w:t>
      </w:r>
      <w:r>
        <w:rPr/>
        <w:t>il</w:t>
      </w:r>
      <w:r>
        <w:rPr>
          <w:spacing w:val="-6"/>
        </w:rPr>
        <w:t> </w:t>
      </w:r>
      <w:r>
        <w:rPr/>
        <w:t>numero</w:t>
      </w:r>
      <w:r>
        <w:rPr>
          <w:spacing w:val="-5"/>
        </w:rPr>
        <w:t> </w:t>
      </w:r>
      <w:r>
        <w:rPr/>
        <w:t>dei</w:t>
      </w:r>
      <w:r>
        <w:rPr>
          <w:spacing w:val="-6"/>
        </w:rPr>
        <w:t> </w:t>
      </w:r>
      <w:r>
        <w:rPr/>
        <w:t>senatori</w:t>
      </w:r>
      <w:r>
        <w:rPr>
          <w:spacing w:val="-4"/>
        </w:rPr>
        <w:t> </w:t>
      </w:r>
      <w:r>
        <w:rPr/>
        <w:t>per</w:t>
      </w:r>
      <w:r>
        <w:rPr>
          <w:spacing w:val="-4"/>
        </w:rPr>
        <w:t> </w:t>
      </w:r>
      <w:r>
        <w:rPr/>
        <w:t>il</w:t>
      </w:r>
      <w:r>
        <w:rPr>
          <w:spacing w:val="-7"/>
        </w:rPr>
        <w:t> </w:t>
      </w:r>
      <w:r>
        <w:rPr/>
        <w:t>Molise</w:t>
      </w:r>
      <w:r>
        <w:rPr>
          <w:spacing w:val="-6"/>
        </w:rPr>
        <w:t> </w:t>
      </w:r>
      <w:r>
        <w:rPr/>
        <w:t>(2) e la Valle d’Aosta</w:t>
      </w:r>
      <w:r>
        <w:rPr>
          <w:spacing w:val="-3"/>
        </w:rPr>
        <w:t> </w:t>
      </w:r>
      <w:r>
        <w:rPr/>
        <w:t>(1).</w:t>
      </w:r>
    </w:p>
    <w:p>
      <w:pPr>
        <w:pStyle w:val="BodyText"/>
        <w:spacing w:before="9"/>
        <w:rPr>
          <w:sz w:val="33"/>
        </w:rPr>
      </w:pPr>
    </w:p>
    <w:p>
      <w:pPr>
        <w:pStyle w:val="Heading5"/>
        <w:ind w:left="278"/>
        <w:jc w:val="left"/>
      </w:pPr>
      <w:r>
        <w:rPr/>
        <w:t>Sanità</w:t>
      </w:r>
    </w:p>
    <w:p>
      <w:pPr>
        <w:spacing w:line="232" w:lineRule="auto" w:before="156"/>
        <w:ind w:left="278" w:right="2268" w:firstLine="0"/>
        <w:jc w:val="both"/>
        <w:rPr>
          <w:rFonts w:ascii="Franklin Gothic Book" w:hAnsi="Franklin Gothic Book"/>
          <w:sz w:val="20"/>
        </w:rPr>
      </w:pPr>
      <w:r>
        <w:rPr/>
        <w:pict>
          <v:line style="position:absolute;mso-position-horizontal-relative:page;mso-position-vertical-relative:paragraph;z-index:-251424768;mso-wrap-distance-left:0;mso-wrap-distance-right:0" from="69.503998pt,57.630085pt" to="483.453998pt,57.630085pt" stroked="true" strokeweight="1.44pt" strokecolor="#006247">
            <v:stroke dashstyle="solid"/>
            <w10:wrap type="topAndBottom"/>
          </v:line>
        </w:pict>
      </w:r>
      <w:r>
        <w:rPr>
          <w:rFonts w:ascii="Franklin Gothic Heavy" w:hAnsi="Franklin Gothic Heavy"/>
          <w:b/>
          <w:color w:val="006247"/>
          <w:sz w:val="20"/>
        </w:rPr>
        <w:t>LINEE</w:t>
      </w:r>
      <w:r>
        <w:rPr>
          <w:rFonts w:ascii="Franklin Gothic Heavy" w:hAnsi="Franklin Gothic Heavy"/>
          <w:b/>
          <w:color w:val="006247"/>
          <w:spacing w:val="-10"/>
          <w:sz w:val="20"/>
        </w:rPr>
        <w:t> </w:t>
      </w:r>
      <w:r>
        <w:rPr>
          <w:rFonts w:ascii="Franklin Gothic Heavy" w:hAnsi="Franklin Gothic Heavy"/>
          <w:b/>
          <w:color w:val="006247"/>
          <w:sz w:val="20"/>
        </w:rPr>
        <w:t>PROGRAMMATICHE:</w:t>
      </w:r>
      <w:r>
        <w:rPr>
          <w:rFonts w:ascii="Franklin Gothic Heavy" w:hAnsi="Franklin Gothic Heavy"/>
          <w:b/>
          <w:color w:val="006247"/>
          <w:spacing w:val="-7"/>
          <w:sz w:val="20"/>
        </w:rPr>
        <w:t> </w:t>
      </w:r>
      <w:r>
        <w:rPr>
          <w:rFonts w:ascii="Franklin Gothic Book" w:hAnsi="Franklin Gothic Book"/>
          <w:sz w:val="20"/>
        </w:rPr>
        <w:t>il</w:t>
      </w:r>
      <w:r>
        <w:rPr>
          <w:rFonts w:ascii="Franklin Gothic Book" w:hAnsi="Franklin Gothic Book"/>
          <w:spacing w:val="-9"/>
          <w:sz w:val="20"/>
        </w:rPr>
        <w:t> </w:t>
      </w:r>
      <w:r>
        <w:rPr>
          <w:rFonts w:ascii="Franklin Gothic Book" w:hAnsi="Franklin Gothic Book"/>
          <w:sz w:val="20"/>
        </w:rPr>
        <w:t>Servizio</w:t>
      </w:r>
      <w:r>
        <w:rPr>
          <w:rFonts w:ascii="Franklin Gothic Book" w:hAnsi="Franklin Gothic Book"/>
          <w:spacing w:val="-7"/>
          <w:sz w:val="20"/>
        </w:rPr>
        <w:t> </w:t>
      </w:r>
      <w:r>
        <w:rPr>
          <w:rFonts w:ascii="Franklin Gothic Book" w:hAnsi="Franklin Gothic Book"/>
          <w:sz w:val="20"/>
        </w:rPr>
        <w:t>Sanitario</w:t>
      </w:r>
      <w:r>
        <w:rPr>
          <w:rFonts w:ascii="Franklin Gothic Book" w:hAnsi="Franklin Gothic Book"/>
          <w:spacing w:val="-9"/>
          <w:sz w:val="20"/>
        </w:rPr>
        <w:t> </w:t>
      </w:r>
      <w:r>
        <w:rPr>
          <w:rFonts w:ascii="Franklin Gothic Book" w:hAnsi="Franklin Gothic Book"/>
          <w:sz w:val="20"/>
        </w:rPr>
        <w:t>Nazionale</w:t>
      </w:r>
      <w:r>
        <w:rPr>
          <w:rFonts w:ascii="Franklin Gothic Book" w:hAnsi="Franklin Gothic Book"/>
          <w:spacing w:val="-9"/>
          <w:sz w:val="20"/>
        </w:rPr>
        <w:t> </w:t>
      </w:r>
      <w:r>
        <w:rPr>
          <w:rFonts w:ascii="Franklin Gothic Book" w:hAnsi="Franklin Gothic Book"/>
          <w:sz w:val="20"/>
        </w:rPr>
        <w:t>rappresenta</w:t>
      </w:r>
      <w:r>
        <w:rPr>
          <w:rFonts w:ascii="Franklin Gothic Book" w:hAnsi="Franklin Gothic Book"/>
          <w:spacing w:val="-9"/>
          <w:sz w:val="20"/>
        </w:rPr>
        <w:t> </w:t>
      </w:r>
      <w:r>
        <w:rPr>
          <w:rFonts w:ascii="Franklin Gothic Book" w:hAnsi="Franklin Gothic Book"/>
          <w:sz w:val="20"/>
        </w:rPr>
        <w:t>un</w:t>
      </w:r>
      <w:r>
        <w:rPr>
          <w:rFonts w:ascii="Franklin Gothic Book" w:hAnsi="Franklin Gothic Book"/>
          <w:spacing w:val="-9"/>
          <w:sz w:val="20"/>
        </w:rPr>
        <w:t> </w:t>
      </w:r>
      <w:r>
        <w:rPr>
          <w:rFonts w:ascii="Franklin Gothic Book" w:hAnsi="Franklin Gothic Book"/>
          <w:sz w:val="20"/>
        </w:rPr>
        <w:t>patrimonio</w:t>
      </w:r>
      <w:r>
        <w:rPr>
          <w:rFonts w:ascii="Franklin Gothic Book" w:hAnsi="Franklin Gothic Book"/>
          <w:spacing w:val="-7"/>
          <w:sz w:val="20"/>
        </w:rPr>
        <w:t> </w:t>
      </w:r>
      <w:r>
        <w:rPr>
          <w:rFonts w:ascii="Franklin Gothic Book" w:hAnsi="Franklin Gothic Book"/>
          <w:sz w:val="20"/>
        </w:rPr>
        <w:t>da</w:t>
      </w:r>
      <w:r>
        <w:rPr>
          <w:rFonts w:ascii="Franklin Gothic Book" w:hAnsi="Franklin Gothic Book"/>
          <w:spacing w:val="-9"/>
          <w:sz w:val="20"/>
        </w:rPr>
        <w:t> </w:t>
      </w:r>
      <w:r>
        <w:rPr>
          <w:rFonts w:ascii="Franklin Gothic Book" w:hAnsi="Franklin Gothic Book"/>
          <w:sz w:val="20"/>
        </w:rPr>
        <w:t>tutelare e rafforzare intervenendo anche per ridurre disuguaglianze crescenti. Occorre consolidare la natura universalistica del servizio sanitario nazionale e il ruolo cruciale della sanità pubblica nell’assicurare a tutti i cittadini il pieno diritto ad accedere ai migliori servizi per la</w:t>
      </w:r>
      <w:r>
        <w:rPr>
          <w:rFonts w:ascii="Franklin Gothic Book" w:hAnsi="Franklin Gothic Book"/>
          <w:spacing w:val="-25"/>
          <w:sz w:val="20"/>
        </w:rPr>
        <w:t> </w:t>
      </w:r>
      <w:r>
        <w:rPr>
          <w:rFonts w:ascii="Franklin Gothic Book" w:hAnsi="Franklin Gothic Book"/>
          <w:sz w:val="20"/>
        </w:rPr>
        <w:t>salute.</w:t>
      </w:r>
    </w:p>
    <w:p>
      <w:pPr>
        <w:pStyle w:val="BodyText"/>
        <w:spacing w:before="6"/>
        <w:rPr>
          <w:rFonts w:ascii="Franklin Gothic Book"/>
          <w:sz w:val="11"/>
        </w:rPr>
      </w:pPr>
    </w:p>
    <w:p>
      <w:pPr>
        <w:pStyle w:val="BodyText"/>
        <w:spacing w:line="252" w:lineRule="auto" w:before="101"/>
        <w:ind w:left="278" w:right="1922" w:firstLine="453"/>
        <w:jc w:val="both"/>
      </w:pPr>
      <w:r>
        <w:rPr/>
        <w:t>La sostenibilità è la sfida che il Servizio Sanitario Nazionale dovrà affrontare nei prossimi anni, ossia la capacità di assicurare il mantenimento del principio di universalità</w:t>
      </w:r>
      <w:r>
        <w:rPr>
          <w:spacing w:val="-18"/>
        </w:rPr>
        <w:t> </w:t>
      </w:r>
      <w:r>
        <w:rPr/>
        <w:t>del</w:t>
      </w:r>
      <w:r>
        <w:rPr>
          <w:spacing w:val="-17"/>
        </w:rPr>
        <w:t> </w:t>
      </w:r>
      <w:r>
        <w:rPr/>
        <w:t>sistema,</w:t>
      </w:r>
      <w:r>
        <w:rPr>
          <w:spacing w:val="-14"/>
        </w:rPr>
        <w:t> </w:t>
      </w:r>
      <w:r>
        <w:rPr/>
        <w:t>nel</w:t>
      </w:r>
      <w:r>
        <w:rPr>
          <w:spacing w:val="-17"/>
        </w:rPr>
        <w:t> </w:t>
      </w:r>
      <w:r>
        <w:rPr/>
        <w:t>rispetto</w:t>
      </w:r>
      <w:r>
        <w:rPr>
          <w:spacing w:val="-18"/>
        </w:rPr>
        <w:t> </w:t>
      </w:r>
      <w:r>
        <w:rPr/>
        <w:t>dei</w:t>
      </w:r>
      <w:r>
        <w:rPr>
          <w:spacing w:val="-18"/>
        </w:rPr>
        <w:t> </w:t>
      </w:r>
      <w:r>
        <w:rPr/>
        <w:t>livelli</w:t>
      </w:r>
      <w:r>
        <w:rPr>
          <w:spacing w:val="-18"/>
        </w:rPr>
        <w:t> </w:t>
      </w:r>
      <w:r>
        <w:rPr/>
        <w:t>essenziali</w:t>
      </w:r>
      <w:r>
        <w:rPr>
          <w:spacing w:val="-18"/>
        </w:rPr>
        <w:t> </w:t>
      </w:r>
      <w:r>
        <w:rPr/>
        <w:t>di</w:t>
      </w:r>
      <w:r>
        <w:rPr>
          <w:spacing w:val="-18"/>
        </w:rPr>
        <w:t> </w:t>
      </w:r>
      <w:r>
        <w:rPr/>
        <w:t>assistenza</w:t>
      </w:r>
      <w:r>
        <w:rPr>
          <w:spacing w:val="-18"/>
        </w:rPr>
        <w:t> </w:t>
      </w:r>
      <w:r>
        <w:rPr/>
        <w:t>(LEA)</w:t>
      </w:r>
      <w:r>
        <w:rPr>
          <w:spacing w:val="-16"/>
        </w:rPr>
        <w:t> </w:t>
      </w:r>
      <w:r>
        <w:rPr/>
        <w:t>coniugando allo stesso tempo equità, appropriatezza, qualità ed efficienza delle cure, governo dell’innovazione, salvaguardando gli equilibri</w:t>
      </w:r>
      <w:r>
        <w:rPr>
          <w:spacing w:val="-4"/>
        </w:rPr>
        <w:t> </w:t>
      </w:r>
      <w:r>
        <w:rPr/>
        <w:t>economico-finanziari.</w:t>
      </w:r>
    </w:p>
    <w:p>
      <w:pPr>
        <w:pStyle w:val="BodyText"/>
        <w:spacing w:line="252" w:lineRule="auto"/>
        <w:ind w:left="278" w:right="1921" w:firstLine="453"/>
        <w:jc w:val="both"/>
      </w:pPr>
      <w:r>
        <w:rPr/>
        <w:t>Il SSN pur avendo garantito un sostanziale universalismo, non ha adeguatamente risposto</w:t>
      </w:r>
      <w:r>
        <w:rPr>
          <w:spacing w:val="-6"/>
        </w:rPr>
        <w:t> </w:t>
      </w:r>
      <w:r>
        <w:rPr/>
        <w:t>a</w:t>
      </w:r>
      <w:r>
        <w:rPr>
          <w:spacing w:val="-6"/>
        </w:rPr>
        <w:t> </w:t>
      </w:r>
      <w:r>
        <w:rPr/>
        <w:t>importanti</w:t>
      </w:r>
      <w:r>
        <w:rPr>
          <w:spacing w:val="-6"/>
        </w:rPr>
        <w:t> </w:t>
      </w:r>
      <w:r>
        <w:rPr/>
        <w:t>aspettative,</w:t>
      </w:r>
      <w:r>
        <w:rPr>
          <w:spacing w:val="-5"/>
        </w:rPr>
        <w:t> </w:t>
      </w:r>
      <w:r>
        <w:rPr/>
        <w:t>prima</w:t>
      </w:r>
      <w:r>
        <w:rPr>
          <w:spacing w:val="-6"/>
        </w:rPr>
        <w:t> </w:t>
      </w:r>
      <w:r>
        <w:rPr/>
        <w:t>tra</w:t>
      </w:r>
      <w:r>
        <w:rPr>
          <w:spacing w:val="-5"/>
        </w:rPr>
        <w:t> </w:t>
      </w:r>
      <w:r>
        <w:rPr/>
        <w:t>tutte</w:t>
      </w:r>
      <w:r>
        <w:rPr>
          <w:spacing w:val="-2"/>
        </w:rPr>
        <w:t> </w:t>
      </w:r>
      <w:r>
        <w:rPr/>
        <w:t>quella</w:t>
      </w:r>
      <w:r>
        <w:rPr>
          <w:spacing w:val="-6"/>
        </w:rPr>
        <w:t> </w:t>
      </w:r>
      <w:r>
        <w:rPr/>
        <w:t>della</w:t>
      </w:r>
      <w:r>
        <w:rPr>
          <w:spacing w:val="-6"/>
        </w:rPr>
        <w:t> </w:t>
      </w:r>
      <w:r>
        <w:rPr/>
        <w:t>riduzione</w:t>
      </w:r>
      <w:r>
        <w:rPr>
          <w:spacing w:val="-6"/>
        </w:rPr>
        <w:t> </w:t>
      </w:r>
      <w:r>
        <w:rPr/>
        <w:t>delle</w:t>
      </w:r>
      <w:r>
        <w:rPr>
          <w:spacing w:val="-5"/>
        </w:rPr>
        <w:t> </w:t>
      </w:r>
      <w:r>
        <w:rPr/>
        <w:t>disparità territoriali e delle disuguaglianze. Numerose sono pertanto le sfide che il settore sanitario si troverà ad affrontare nei prossimi anni. Tra</w:t>
      </w:r>
      <w:r>
        <w:rPr>
          <w:spacing w:val="-7"/>
        </w:rPr>
        <w:t> </w:t>
      </w:r>
      <w:r>
        <w:rPr/>
        <w:t>queste:</w:t>
      </w:r>
    </w:p>
    <w:p>
      <w:pPr>
        <w:pStyle w:val="ListParagraph"/>
        <w:numPr>
          <w:ilvl w:val="0"/>
          <w:numId w:val="14"/>
        </w:numPr>
        <w:tabs>
          <w:tab w:pos="707" w:val="left" w:leader="none"/>
        </w:tabs>
        <w:spacing w:line="240" w:lineRule="auto" w:before="0" w:after="0"/>
        <w:ind w:left="706" w:right="1923" w:hanging="428"/>
        <w:jc w:val="both"/>
        <w:rPr>
          <w:sz w:val="22"/>
        </w:rPr>
      </w:pPr>
      <w:r>
        <w:rPr>
          <w:sz w:val="22"/>
        </w:rPr>
        <w:t>attenuare</w:t>
      </w:r>
      <w:r>
        <w:rPr>
          <w:spacing w:val="-5"/>
          <w:sz w:val="22"/>
        </w:rPr>
        <w:t> </w:t>
      </w:r>
      <w:r>
        <w:rPr>
          <w:sz w:val="22"/>
        </w:rPr>
        <w:t>le</w:t>
      </w:r>
      <w:r>
        <w:rPr>
          <w:spacing w:val="-5"/>
          <w:sz w:val="22"/>
        </w:rPr>
        <w:t> </w:t>
      </w:r>
      <w:r>
        <w:rPr>
          <w:sz w:val="22"/>
        </w:rPr>
        <w:t>disuguaglianze</w:t>
      </w:r>
      <w:r>
        <w:rPr>
          <w:spacing w:val="-4"/>
          <w:sz w:val="22"/>
        </w:rPr>
        <w:t> </w:t>
      </w:r>
      <w:r>
        <w:rPr>
          <w:sz w:val="22"/>
        </w:rPr>
        <w:t>presenti</w:t>
      </w:r>
      <w:r>
        <w:rPr>
          <w:spacing w:val="-6"/>
          <w:sz w:val="22"/>
        </w:rPr>
        <w:t> </w:t>
      </w:r>
      <w:r>
        <w:rPr>
          <w:sz w:val="22"/>
        </w:rPr>
        <w:t>in</w:t>
      </w:r>
      <w:r>
        <w:rPr>
          <w:spacing w:val="-4"/>
          <w:sz w:val="22"/>
        </w:rPr>
        <w:t> </w:t>
      </w:r>
      <w:r>
        <w:rPr>
          <w:sz w:val="22"/>
        </w:rPr>
        <w:t>termini</w:t>
      </w:r>
      <w:r>
        <w:rPr>
          <w:spacing w:val="-5"/>
          <w:sz w:val="22"/>
        </w:rPr>
        <w:t> </w:t>
      </w:r>
      <w:r>
        <w:rPr>
          <w:sz w:val="22"/>
        </w:rPr>
        <w:t>di</w:t>
      </w:r>
      <w:r>
        <w:rPr>
          <w:spacing w:val="-6"/>
          <w:sz w:val="22"/>
        </w:rPr>
        <w:t> </w:t>
      </w:r>
      <w:r>
        <w:rPr>
          <w:sz w:val="22"/>
        </w:rPr>
        <w:t>accesso</w:t>
      </w:r>
      <w:r>
        <w:rPr>
          <w:spacing w:val="-6"/>
          <w:sz w:val="22"/>
        </w:rPr>
        <w:t> </w:t>
      </w:r>
      <w:r>
        <w:rPr>
          <w:sz w:val="22"/>
        </w:rPr>
        <w:t>ai</w:t>
      </w:r>
      <w:r>
        <w:rPr>
          <w:spacing w:val="-5"/>
          <w:sz w:val="22"/>
        </w:rPr>
        <w:t> </w:t>
      </w:r>
      <w:r>
        <w:rPr>
          <w:sz w:val="22"/>
        </w:rPr>
        <w:t>servizi</w:t>
      </w:r>
      <w:r>
        <w:rPr>
          <w:spacing w:val="-4"/>
          <w:sz w:val="22"/>
        </w:rPr>
        <w:t> </w:t>
      </w:r>
      <w:r>
        <w:rPr>
          <w:sz w:val="22"/>
        </w:rPr>
        <w:t>e</w:t>
      </w:r>
      <w:r>
        <w:rPr>
          <w:spacing w:val="-5"/>
          <w:sz w:val="22"/>
        </w:rPr>
        <w:t> </w:t>
      </w:r>
      <w:r>
        <w:rPr>
          <w:sz w:val="22"/>
        </w:rPr>
        <w:t>di</w:t>
      </w:r>
      <w:r>
        <w:rPr>
          <w:spacing w:val="-5"/>
          <w:sz w:val="22"/>
        </w:rPr>
        <w:t> </w:t>
      </w:r>
      <w:r>
        <w:rPr>
          <w:sz w:val="22"/>
        </w:rPr>
        <w:t>variabilità regionale degli stessi garantendo l'erogazione dei Livelli Essenziali di Assistenza (LEA) in modo uniforme su tutto il territorio</w:t>
      </w:r>
      <w:r>
        <w:rPr>
          <w:spacing w:val="-13"/>
          <w:sz w:val="22"/>
        </w:rPr>
        <w:t> </w:t>
      </w:r>
      <w:r>
        <w:rPr>
          <w:sz w:val="22"/>
        </w:rPr>
        <w:t>nazionale;</w:t>
      </w:r>
    </w:p>
    <w:p>
      <w:pPr>
        <w:pStyle w:val="ListParagraph"/>
        <w:numPr>
          <w:ilvl w:val="0"/>
          <w:numId w:val="14"/>
        </w:numPr>
        <w:tabs>
          <w:tab w:pos="705" w:val="left" w:leader="none"/>
          <w:tab w:pos="707" w:val="left" w:leader="none"/>
        </w:tabs>
        <w:spacing w:line="240" w:lineRule="auto" w:before="0" w:after="0"/>
        <w:ind w:left="706" w:right="1923" w:hanging="428"/>
        <w:jc w:val="left"/>
        <w:rPr>
          <w:sz w:val="22"/>
        </w:rPr>
      </w:pPr>
      <w:r>
        <w:rPr>
          <w:sz w:val="22"/>
        </w:rPr>
        <w:t>gestire l'invecchiamento della popolazione governando l'evoluzione della</w:t>
      </w:r>
      <w:r>
        <w:rPr>
          <w:spacing w:val="-44"/>
          <w:sz w:val="22"/>
        </w:rPr>
        <w:t> </w:t>
      </w:r>
      <w:r>
        <w:rPr>
          <w:sz w:val="22"/>
        </w:rPr>
        <w:t>domanda in condizioni complesse e con più</w:t>
      </w:r>
      <w:r>
        <w:rPr>
          <w:spacing w:val="-7"/>
          <w:sz w:val="22"/>
        </w:rPr>
        <w:t> </w:t>
      </w:r>
      <w:r>
        <w:rPr>
          <w:sz w:val="22"/>
        </w:rPr>
        <w:t>patologie;</w:t>
      </w:r>
    </w:p>
    <w:p>
      <w:pPr>
        <w:pStyle w:val="ListParagraph"/>
        <w:numPr>
          <w:ilvl w:val="0"/>
          <w:numId w:val="14"/>
        </w:numPr>
        <w:tabs>
          <w:tab w:pos="705" w:val="left" w:leader="none"/>
          <w:tab w:pos="707" w:val="left" w:leader="none"/>
        </w:tabs>
        <w:spacing w:line="240" w:lineRule="auto" w:before="0" w:after="0"/>
        <w:ind w:left="706" w:right="1920" w:hanging="428"/>
        <w:jc w:val="left"/>
        <w:rPr>
          <w:sz w:val="22"/>
        </w:rPr>
      </w:pPr>
      <w:r>
        <w:rPr>
          <w:sz w:val="22"/>
        </w:rPr>
        <w:t>realizzare una migliore integrazione tra i sistemi sanitari, di assistenza sociale a sostegno dei processi di presa in</w:t>
      </w:r>
      <w:r>
        <w:rPr>
          <w:spacing w:val="-7"/>
          <w:sz w:val="22"/>
        </w:rPr>
        <w:t> </w:t>
      </w:r>
      <w:r>
        <w:rPr>
          <w:sz w:val="22"/>
        </w:rPr>
        <w:t>cura;</w:t>
      </w:r>
    </w:p>
    <w:p>
      <w:pPr>
        <w:pStyle w:val="ListParagraph"/>
        <w:numPr>
          <w:ilvl w:val="0"/>
          <w:numId w:val="14"/>
        </w:numPr>
        <w:tabs>
          <w:tab w:pos="705" w:val="left" w:leader="none"/>
          <w:tab w:pos="707" w:val="left" w:leader="none"/>
        </w:tabs>
        <w:spacing w:line="240" w:lineRule="auto" w:before="0" w:after="0"/>
        <w:ind w:left="706" w:right="0" w:hanging="429"/>
        <w:jc w:val="left"/>
        <w:rPr>
          <w:sz w:val="22"/>
        </w:rPr>
      </w:pPr>
      <w:r>
        <w:rPr>
          <w:sz w:val="22"/>
        </w:rPr>
        <w:t>aumentare la promozione della salute e la</w:t>
      </w:r>
      <w:r>
        <w:rPr>
          <w:spacing w:val="-7"/>
          <w:sz w:val="22"/>
        </w:rPr>
        <w:t> </w:t>
      </w:r>
      <w:r>
        <w:rPr>
          <w:sz w:val="22"/>
        </w:rPr>
        <w:t>prevenzione;</w:t>
      </w:r>
    </w:p>
    <w:p>
      <w:pPr>
        <w:spacing w:after="0" w:line="240" w:lineRule="auto"/>
        <w:jc w:val="left"/>
        <w:rPr>
          <w:sz w:val="22"/>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ListParagraph"/>
        <w:numPr>
          <w:ilvl w:val="1"/>
          <w:numId w:val="14"/>
        </w:numPr>
        <w:tabs>
          <w:tab w:pos="1556" w:val="left" w:leader="none"/>
        </w:tabs>
        <w:spacing w:line="270" w:lineRule="exact" w:before="101" w:after="0"/>
        <w:ind w:left="1555" w:right="0" w:hanging="428"/>
        <w:jc w:val="both"/>
        <w:rPr>
          <w:sz w:val="22"/>
        </w:rPr>
      </w:pPr>
      <w:r>
        <w:rPr>
          <w:sz w:val="22"/>
        </w:rPr>
        <w:t>prepararsi</w:t>
      </w:r>
      <w:r>
        <w:rPr>
          <w:spacing w:val="22"/>
          <w:sz w:val="22"/>
        </w:rPr>
        <w:t> </w:t>
      </w:r>
      <w:r>
        <w:rPr>
          <w:sz w:val="22"/>
        </w:rPr>
        <w:t>ai</w:t>
      </w:r>
      <w:r>
        <w:rPr>
          <w:spacing w:val="24"/>
          <w:sz w:val="22"/>
        </w:rPr>
        <w:t> </w:t>
      </w:r>
      <w:r>
        <w:rPr>
          <w:sz w:val="22"/>
        </w:rPr>
        <w:t>cambiamenti</w:t>
      </w:r>
      <w:r>
        <w:rPr>
          <w:spacing w:val="24"/>
          <w:sz w:val="22"/>
        </w:rPr>
        <w:t> </w:t>
      </w:r>
      <w:r>
        <w:rPr>
          <w:sz w:val="22"/>
        </w:rPr>
        <w:t>derivanti</w:t>
      </w:r>
      <w:r>
        <w:rPr>
          <w:spacing w:val="24"/>
          <w:sz w:val="22"/>
        </w:rPr>
        <w:t> </w:t>
      </w:r>
      <w:r>
        <w:rPr>
          <w:sz w:val="22"/>
        </w:rPr>
        <w:t>dal</w:t>
      </w:r>
      <w:r>
        <w:rPr>
          <w:spacing w:val="24"/>
          <w:sz w:val="22"/>
        </w:rPr>
        <w:t> </w:t>
      </w:r>
      <w:r>
        <w:rPr>
          <w:sz w:val="22"/>
        </w:rPr>
        <w:t>progresso</w:t>
      </w:r>
      <w:r>
        <w:rPr>
          <w:spacing w:val="22"/>
          <w:sz w:val="22"/>
        </w:rPr>
        <w:t> </w:t>
      </w:r>
      <w:r>
        <w:rPr>
          <w:sz w:val="22"/>
        </w:rPr>
        <w:t>scientifico</w:t>
      </w:r>
      <w:r>
        <w:rPr>
          <w:spacing w:val="23"/>
          <w:sz w:val="22"/>
        </w:rPr>
        <w:t> </w:t>
      </w:r>
      <w:r>
        <w:rPr>
          <w:sz w:val="22"/>
        </w:rPr>
        <w:t>e</w:t>
      </w:r>
      <w:r>
        <w:rPr>
          <w:spacing w:val="24"/>
          <w:sz w:val="22"/>
        </w:rPr>
        <w:t> </w:t>
      </w:r>
      <w:r>
        <w:rPr>
          <w:sz w:val="22"/>
        </w:rPr>
        <w:t>tecnologico</w:t>
      </w:r>
    </w:p>
    <w:p>
      <w:pPr>
        <w:pStyle w:val="BodyText"/>
        <w:spacing w:line="255" w:lineRule="exact"/>
        <w:ind w:left="1555"/>
        <w:jc w:val="both"/>
      </w:pPr>
      <w:r>
        <w:rPr/>
        <w:t>rafforzando i processi di governo dell’innovazione;</w:t>
      </w:r>
    </w:p>
    <w:p>
      <w:pPr>
        <w:pStyle w:val="ListParagraph"/>
        <w:numPr>
          <w:ilvl w:val="1"/>
          <w:numId w:val="14"/>
        </w:numPr>
        <w:tabs>
          <w:tab w:pos="1554" w:val="left" w:leader="none"/>
        </w:tabs>
        <w:spacing w:line="240" w:lineRule="auto" w:before="1" w:after="0"/>
        <w:ind w:left="1553" w:right="1074" w:hanging="425"/>
        <w:jc w:val="both"/>
        <w:rPr>
          <w:sz w:val="22"/>
        </w:rPr>
      </w:pPr>
      <w:r>
        <w:rPr>
          <w:sz w:val="22"/>
        </w:rPr>
        <w:t>porsi in maniera trasversale su interventi di </w:t>
      </w:r>
      <w:r>
        <w:rPr>
          <w:i/>
          <w:sz w:val="22"/>
        </w:rPr>
        <w:t>policy </w:t>
      </w:r>
      <w:r>
        <w:rPr>
          <w:sz w:val="22"/>
        </w:rPr>
        <w:t>intersettoriale, con particolare riguardo alla sicurezza sul lavoro e ai risvolti sanitari delle grandi sfide ambientali e del cambiamento</w:t>
      </w:r>
      <w:r>
        <w:rPr>
          <w:spacing w:val="-3"/>
          <w:sz w:val="22"/>
        </w:rPr>
        <w:t> </w:t>
      </w:r>
      <w:r>
        <w:rPr>
          <w:sz w:val="22"/>
        </w:rPr>
        <w:t>climatico.</w:t>
      </w:r>
    </w:p>
    <w:p>
      <w:pPr>
        <w:pStyle w:val="BodyText"/>
        <w:spacing w:line="252" w:lineRule="auto" w:before="120"/>
        <w:ind w:left="1128" w:right="1413" w:firstLine="453"/>
        <w:jc w:val="both"/>
      </w:pPr>
      <w:r>
        <w:rPr/>
        <w:t>Sempre nella direzione di una manutenzione evolutiva dell’attuale forma di </w:t>
      </w:r>
      <w:r>
        <w:rPr>
          <w:i/>
        </w:rPr>
        <w:t>governance </w:t>
      </w:r>
      <w:r>
        <w:rPr/>
        <w:t>si rende inoltre necessaria una progressiva rivisitazione dell’attuale sistema di compartecipazione sulla base delle condizioni economiche reddituali, finalizzato a rendere il sistema più omogeneo ed equo. In particolare, tale fenomeno di discriminazione nell’accesso ai servizi è stato aggravato dall’introduzione del </w:t>
      </w:r>
      <w:r>
        <w:rPr>
          <w:i/>
        </w:rPr>
        <w:t>superticket </w:t>
      </w:r>
      <w:r>
        <w:rPr/>
        <w:t>che, pertanto, occorre progressivamente superare.</w:t>
      </w:r>
    </w:p>
    <w:p>
      <w:pPr>
        <w:pStyle w:val="BodyText"/>
        <w:spacing w:line="252" w:lineRule="auto" w:before="1"/>
        <w:ind w:left="1128" w:right="1410" w:firstLine="453"/>
        <w:jc w:val="both"/>
      </w:pPr>
      <w:r>
        <w:rPr/>
        <w:t>Tenendo conto di quanto sarà previsto nel Patto per la Salute 2019-2021, da concordare con le Regioni, proseguiranno inoltre i processi di assunzione e stabilizzazione del personale anche attraverso l’utilizzazione delle graduatorie in corso di validità per coprire le carenze di personale maturate in questi anni.</w:t>
      </w:r>
    </w:p>
    <w:p>
      <w:pPr>
        <w:pStyle w:val="BodyText"/>
        <w:spacing w:before="9"/>
        <w:rPr>
          <w:sz w:val="33"/>
        </w:rPr>
      </w:pPr>
    </w:p>
    <w:p>
      <w:pPr>
        <w:pStyle w:val="Heading5"/>
      </w:pPr>
      <w:r>
        <w:rPr/>
        <w:t>Politiche giovanili e sport</w:t>
      </w:r>
    </w:p>
    <w:p>
      <w:pPr>
        <w:spacing w:line="232" w:lineRule="auto" w:before="157"/>
        <w:ind w:left="1128" w:right="1418" w:firstLine="0"/>
        <w:jc w:val="both"/>
        <w:rPr>
          <w:rFonts w:ascii="Franklin Gothic Book" w:hAnsi="Franklin Gothic Book"/>
          <w:sz w:val="20"/>
        </w:rPr>
      </w:pPr>
      <w:r>
        <w:rPr/>
        <w:pict>
          <v:line style="position:absolute;mso-position-horizontal-relative:page;mso-position-vertical-relative:paragraph;z-index:-251423744;mso-wrap-distance-left:0;mso-wrap-distance-right:0" from="111.980003pt,112.620094pt" to="525.930003pt,112.620094pt" stroked="true" strokeweight="1.44pt" strokecolor="#006247">
            <v:stroke dashstyle="solid"/>
            <w10:wrap type="topAndBottom"/>
          </v:line>
        </w:pict>
      </w:r>
      <w:r>
        <w:rPr>
          <w:rFonts w:ascii="Franklin Gothic Heavy" w:hAnsi="Franklin Gothic Heavy"/>
          <w:b/>
          <w:color w:val="006247"/>
          <w:sz w:val="20"/>
        </w:rPr>
        <w:t>LINEE PROGRAMMATICHE: </w:t>
      </w:r>
      <w:r>
        <w:rPr>
          <w:rFonts w:ascii="Franklin Gothic Book" w:hAnsi="Franklin Gothic Book"/>
          <w:sz w:val="20"/>
        </w:rPr>
        <w:t>la strategia del Governo sarà finalizzata a realizzare politiche il più possibile convergenti e sinergiche tra il binomio sport e innovazione e il percorso scolastico e formativo. Per il primo si lavorerà anche al fine di favorire, attraverso il settore industriale, le opportunità di crescita economica e di lavoro per le nuove generazioni, per il secondo si cercherà d’incentivare, con specifico riferimento alle periferie urbane, la partecipazione e l’inclusione sociale. In tale contesto, peculiare attenzione sarà rivolta anche alle proiezioni estere e segnatamente</w:t>
      </w:r>
      <w:r>
        <w:rPr>
          <w:rFonts w:ascii="Franklin Gothic Book" w:hAnsi="Franklin Gothic Book"/>
          <w:spacing w:val="-14"/>
          <w:sz w:val="20"/>
        </w:rPr>
        <w:t> </w:t>
      </w:r>
      <w:r>
        <w:rPr>
          <w:rFonts w:ascii="Franklin Gothic Book" w:hAnsi="Franklin Gothic Book"/>
          <w:sz w:val="20"/>
        </w:rPr>
        <w:t>europee</w:t>
      </w:r>
      <w:r>
        <w:rPr>
          <w:rFonts w:ascii="Franklin Gothic Book" w:hAnsi="Franklin Gothic Book"/>
          <w:spacing w:val="-15"/>
          <w:sz w:val="20"/>
        </w:rPr>
        <w:t> </w:t>
      </w:r>
      <w:r>
        <w:rPr>
          <w:rFonts w:ascii="Franklin Gothic Book" w:hAnsi="Franklin Gothic Book"/>
          <w:sz w:val="20"/>
        </w:rPr>
        <w:t>delle</w:t>
      </w:r>
      <w:r>
        <w:rPr>
          <w:rFonts w:ascii="Franklin Gothic Book" w:hAnsi="Franklin Gothic Book"/>
          <w:spacing w:val="-12"/>
          <w:sz w:val="20"/>
        </w:rPr>
        <w:t> </w:t>
      </w:r>
      <w:r>
        <w:rPr>
          <w:rFonts w:ascii="Franklin Gothic Book" w:hAnsi="Franklin Gothic Book"/>
          <w:sz w:val="20"/>
        </w:rPr>
        <w:t>attività</w:t>
      </w:r>
      <w:r>
        <w:rPr>
          <w:rFonts w:ascii="Franklin Gothic Book" w:hAnsi="Franklin Gothic Book"/>
          <w:spacing w:val="-14"/>
          <w:sz w:val="20"/>
        </w:rPr>
        <w:t> </w:t>
      </w:r>
      <w:r>
        <w:rPr>
          <w:rFonts w:ascii="Franklin Gothic Book" w:hAnsi="Franklin Gothic Book"/>
          <w:sz w:val="20"/>
        </w:rPr>
        <w:t>istituzionali,</w:t>
      </w:r>
      <w:r>
        <w:rPr>
          <w:rFonts w:ascii="Franklin Gothic Book" w:hAnsi="Franklin Gothic Book"/>
          <w:spacing w:val="-14"/>
          <w:sz w:val="20"/>
        </w:rPr>
        <w:t> </w:t>
      </w:r>
      <w:r>
        <w:rPr>
          <w:rFonts w:ascii="Franklin Gothic Book" w:hAnsi="Franklin Gothic Book"/>
          <w:sz w:val="20"/>
        </w:rPr>
        <w:t>nonché</w:t>
      </w:r>
      <w:r>
        <w:rPr>
          <w:rFonts w:ascii="Franklin Gothic Book" w:hAnsi="Franklin Gothic Book"/>
          <w:spacing w:val="-14"/>
          <w:sz w:val="20"/>
        </w:rPr>
        <w:t> </w:t>
      </w:r>
      <w:r>
        <w:rPr>
          <w:rFonts w:ascii="Franklin Gothic Book" w:hAnsi="Franklin Gothic Book"/>
          <w:sz w:val="20"/>
        </w:rPr>
        <w:t>al</w:t>
      </w:r>
      <w:r>
        <w:rPr>
          <w:rFonts w:ascii="Franklin Gothic Book" w:hAnsi="Franklin Gothic Book"/>
          <w:spacing w:val="-14"/>
          <w:sz w:val="20"/>
        </w:rPr>
        <w:t> </w:t>
      </w:r>
      <w:r>
        <w:rPr>
          <w:rFonts w:ascii="Franklin Gothic Book" w:hAnsi="Franklin Gothic Book"/>
          <w:sz w:val="20"/>
        </w:rPr>
        <w:t>tema</w:t>
      </w:r>
      <w:r>
        <w:rPr>
          <w:rFonts w:ascii="Franklin Gothic Book" w:hAnsi="Franklin Gothic Book"/>
          <w:spacing w:val="-14"/>
          <w:sz w:val="20"/>
        </w:rPr>
        <w:t> </w:t>
      </w:r>
      <w:r>
        <w:rPr>
          <w:rFonts w:ascii="Franklin Gothic Book" w:hAnsi="Franklin Gothic Book"/>
          <w:sz w:val="20"/>
        </w:rPr>
        <w:t>dell’associazionismo,</w:t>
      </w:r>
      <w:r>
        <w:rPr>
          <w:rFonts w:ascii="Franklin Gothic Book" w:hAnsi="Franklin Gothic Book"/>
          <w:spacing w:val="-11"/>
          <w:sz w:val="20"/>
        </w:rPr>
        <w:t> </w:t>
      </w:r>
      <w:r>
        <w:rPr>
          <w:rFonts w:ascii="Franklin Gothic Book" w:hAnsi="Franklin Gothic Book"/>
          <w:sz w:val="20"/>
        </w:rPr>
        <w:t>delle</w:t>
      </w:r>
      <w:r>
        <w:rPr>
          <w:rFonts w:ascii="Franklin Gothic Book" w:hAnsi="Franklin Gothic Book"/>
          <w:spacing w:val="-15"/>
          <w:sz w:val="20"/>
        </w:rPr>
        <w:t> </w:t>
      </w:r>
      <w:r>
        <w:rPr>
          <w:rFonts w:ascii="Franklin Gothic Book" w:hAnsi="Franklin Gothic Book"/>
          <w:sz w:val="20"/>
        </w:rPr>
        <w:t>nuove professioni in campo sportivo e dello sport di base, quale strumento per favorire la salute e amplificare i messaggi connessi all’etica dello</w:t>
      </w:r>
      <w:r>
        <w:rPr>
          <w:rFonts w:ascii="Franklin Gothic Book" w:hAnsi="Franklin Gothic Book"/>
          <w:spacing w:val="-4"/>
          <w:sz w:val="20"/>
        </w:rPr>
        <w:t> </w:t>
      </w:r>
      <w:r>
        <w:rPr>
          <w:rFonts w:ascii="Franklin Gothic Book" w:hAnsi="Franklin Gothic Book"/>
          <w:sz w:val="20"/>
        </w:rPr>
        <w:t>sport.</w:t>
      </w:r>
    </w:p>
    <w:p>
      <w:pPr>
        <w:pStyle w:val="BodyText"/>
        <w:spacing w:before="3"/>
        <w:rPr>
          <w:rFonts w:ascii="Franklin Gothic Book"/>
        </w:rPr>
      </w:pPr>
    </w:p>
    <w:p>
      <w:pPr>
        <w:pStyle w:val="Heading5"/>
        <w:spacing w:before="100"/>
        <w:jc w:val="left"/>
      </w:pPr>
      <w:r>
        <w:rPr/>
        <w:t>Agricoltura</w:t>
      </w:r>
    </w:p>
    <w:p>
      <w:pPr>
        <w:spacing w:line="232" w:lineRule="auto" w:before="159"/>
        <w:ind w:left="1128" w:right="1413" w:firstLine="0"/>
        <w:jc w:val="both"/>
        <w:rPr>
          <w:rFonts w:ascii="Franklin Gothic Book" w:hAnsi="Franklin Gothic Book"/>
          <w:sz w:val="20"/>
        </w:rPr>
      </w:pPr>
      <w:r>
        <w:rPr/>
        <w:pict>
          <v:line style="position:absolute;mso-position-horizontal-relative:page;mso-position-vertical-relative:paragraph;z-index:-251422720;mso-wrap-distance-left:0;mso-wrap-distance-right:0" from="111.980003pt,90.760071pt" to="525.930003pt,90.760071pt" stroked="true" strokeweight="1.44pt" strokecolor="#006247">
            <v:stroke dashstyle="solid"/>
            <w10:wrap type="topAndBottom"/>
          </v:line>
        </w:pict>
      </w:r>
      <w:r>
        <w:rPr>
          <w:rFonts w:ascii="Franklin Gothic Heavy" w:hAnsi="Franklin Gothic Heavy"/>
          <w:b/>
          <w:color w:val="006247"/>
          <w:sz w:val="20"/>
        </w:rPr>
        <w:t>LINEE PROGRAMMATICHE: </w:t>
      </w:r>
      <w:r>
        <w:rPr>
          <w:rFonts w:ascii="Franklin Gothic Book" w:hAnsi="Franklin Gothic Book"/>
          <w:sz w:val="20"/>
        </w:rPr>
        <w:t>la conservazione e la valorizzazione del patrimonio paesaggistico e produttivo del Paese sono obiettivi prioritari del Governo. Per quanto riguarda la filiera agricola e agroalimentare,</w:t>
      </w:r>
      <w:r>
        <w:rPr>
          <w:rFonts w:ascii="Franklin Gothic Book" w:hAnsi="Franklin Gothic Book"/>
          <w:spacing w:val="-11"/>
          <w:sz w:val="20"/>
        </w:rPr>
        <w:t> </w:t>
      </w:r>
      <w:r>
        <w:rPr>
          <w:rFonts w:ascii="Franklin Gothic Book" w:hAnsi="Franklin Gothic Book"/>
          <w:sz w:val="20"/>
        </w:rPr>
        <w:t>l’azione</w:t>
      </w:r>
      <w:r>
        <w:rPr>
          <w:rFonts w:ascii="Franklin Gothic Book" w:hAnsi="Franklin Gothic Book"/>
          <w:spacing w:val="-12"/>
          <w:sz w:val="20"/>
        </w:rPr>
        <w:t> </w:t>
      </w:r>
      <w:r>
        <w:rPr>
          <w:rFonts w:ascii="Franklin Gothic Book" w:hAnsi="Franklin Gothic Book"/>
          <w:sz w:val="20"/>
        </w:rPr>
        <w:t>del</w:t>
      </w:r>
      <w:r>
        <w:rPr>
          <w:rFonts w:ascii="Franklin Gothic Book" w:hAnsi="Franklin Gothic Book"/>
          <w:spacing w:val="-9"/>
          <w:sz w:val="20"/>
        </w:rPr>
        <w:t> </w:t>
      </w:r>
      <w:r>
        <w:rPr>
          <w:rFonts w:ascii="Franklin Gothic Book" w:hAnsi="Franklin Gothic Book"/>
          <w:sz w:val="20"/>
        </w:rPr>
        <w:t>Governo</w:t>
      </w:r>
      <w:r>
        <w:rPr>
          <w:rFonts w:ascii="Franklin Gothic Book" w:hAnsi="Franklin Gothic Book"/>
          <w:spacing w:val="-12"/>
          <w:sz w:val="20"/>
        </w:rPr>
        <w:t> </w:t>
      </w:r>
      <w:r>
        <w:rPr>
          <w:rFonts w:ascii="Franklin Gothic Book" w:hAnsi="Franklin Gothic Book"/>
          <w:sz w:val="20"/>
        </w:rPr>
        <w:t>promuoverà</w:t>
      </w:r>
      <w:r>
        <w:rPr>
          <w:rFonts w:ascii="Franklin Gothic Book" w:hAnsi="Franklin Gothic Book"/>
          <w:spacing w:val="-8"/>
          <w:sz w:val="20"/>
        </w:rPr>
        <w:t> </w:t>
      </w:r>
      <w:r>
        <w:rPr>
          <w:rFonts w:ascii="Franklin Gothic Book" w:hAnsi="Franklin Gothic Book"/>
          <w:sz w:val="20"/>
        </w:rPr>
        <w:t>le</w:t>
      </w:r>
      <w:r>
        <w:rPr>
          <w:rFonts w:ascii="Franklin Gothic Book" w:hAnsi="Franklin Gothic Book"/>
          <w:spacing w:val="-11"/>
          <w:sz w:val="20"/>
        </w:rPr>
        <w:t> </w:t>
      </w:r>
      <w:r>
        <w:rPr>
          <w:rFonts w:ascii="Franklin Gothic Book" w:hAnsi="Franklin Gothic Book"/>
          <w:sz w:val="20"/>
        </w:rPr>
        <w:t>buone</w:t>
      </w:r>
      <w:r>
        <w:rPr>
          <w:rFonts w:ascii="Franklin Gothic Book" w:hAnsi="Franklin Gothic Book"/>
          <w:spacing w:val="-12"/>
          <w:sz w:val="20"/>
        </w:rPr>
        <w:t> </w:t>
      </w:r>
      <w:r>
        <w:rPr>
          <w:rFonts w:ascii="Franklin Gothic Book" w:hAnsi="Franklin Gothic Book"/>
          <w:sz w:val="20"/>
        </w:rPr>
        <w:t>pratiche</w:t>
      </w:r>
      <w:r>
        <w:rPr>
          <w:rFonts w:ascii="Franklin Gothic Book" w:hAnsi="Franklin Gothic Book"/>
          <w:spacing w:val="-11"/>
          <w:sz w:val="20"/>
        </w:rPr>
        <w:t> </w:t>
      </w:r>
      <w:r>
        <w:rPr>
          <w:rFonts w:ascii="Franklin Gothic Book" w:hAnsi="Franklin Gothic Book"/>
          <w:sz w:val="20"/>
        </w:rPr>
        <w:t>agronomiche,</w:t>
      </w:r>
      <w:r>
        <w:rPr>
          <w:rFonts w:ascii="Franklin Gothic Book" w:hAnsi="Franklin Gothic Book"/>
          <w:spacing w:val="-10"/>
          <w:sz w:val="20"/>
        </w:rPr>
        <w:t> </w:t>
      </w:r>
      <w:r>
        <w:rPr>
          <w:rFonts w:ascii="Franklin Gothic Book" w:hAnsi="Franklin Gothic Book"/>
          <w:sz w:val="20"/>
        </w:rPr>
        <w:t>il</w:t>
      </w:r>
      <w:r>
        <w:rPr>
          <w:rFonts w:ascii="Franklin Gothic Book" w:hAnsi="Franklin Gothic Book"/>
          <w:spacing w:val="-12"/>
          <w:sz w:val="20"/>
        </w:rPr>
        <w:t> </w:t>
      </w:r>
      <w:r>
        <w:rPr>
          <w:rFonts w:ascii="Franklin Gothic Book" w:hAnsi="Franklin Gothic Book"/>
          <w:sz w:val="20"/>
        </w:rPr>
        <w:t>miglioramento della qualità delle produzioni, la valorizzazione delle diversità territoriali, il riequilibrio dei rapporti di</w:t>
      </w:r>
      <w:r>
        <w:rPr>
          <w:rFonts w:ascii="Franklin Gothic Book" w:hAnsi="Franklin Gothic Book"/>
          <w:spacing w:val="-12"/>
          <w:sz w:val="20"/>
        </w:rPr>
        <w:t> </w:t>
      </w:r>
      <w:r>
        <w:rPr>
          <w:rFonts w:ascii="Franklin Gothic Book" w:hAnsi="Franklin Gothic Book"/>
          <w:sz w:val="20"/>
        </w:rPr>
        <w:t>filiera</w:t>
      </w:r>
      <w:r>
        <w:rPr>
          <w:rFonts w:ascii="Franklin Gothic Book" w:hAnsi="Franklin Gothic Book"/>
          <w:spacing w:val="-11"/>
          <w:sz w:val="20"/>
        </w:rPr>
        <w:t> </w:t>
      </w:r>
      <w:r>
        <w:rPr>
          <w:rFonts w:ascii="Franklin Gothic Book" w:hAnsi="Franklin Gothic Book"/>
          <w:sz w:val="20"/>
        </w:rPr>
        <w:t>e</w:t>
      </w:r>
      <w:r>
        <w:rPr>
          <w:rFonts w:ascii="Franklin Gothic Book" w:hAnsi="Franklin Gothic Book"/>
          <w:spacing w:val="-9"/>
          <w:sz w:val="20"/>
        </w:rPr>
        <w:t> </w:t>
      </w:r>
      <w:r>
        <w:rPr>
          <w:rFonts w:ascii="Franklin Gothic Book" w:hAnsi="Franklin Gothic Book"/>
          <w:sz w:val="20"/>
        </w:rPr>
        <w:t>il</w:t>
      </w:r>
      <w:r>
        <w:rPr>
          <w:rFonts w:ascii="Franklin Gothic Book" w:hAnsi="Franklin Gothic Book"/>
          <w:spacing w:val="-12"/>
          <w:sz w:val="20"/>
        </w:rPr>
        <w:t> </w:t>
      </w:r>
      <w:r>
        <w:rPr>
          <w:rFonts w:ascii="Franklin Gothic Book" w:hAnsi="Franklin Gothic Book"/>
          <w:sz w:val="20"/>
        </w:rPr>
        <w:t>contenimento</w:t>
      </w:r>
      <w:r>
        <w:rPr>
          <w:rFonts w:ascii="Franklin Gothic Book" w:hAnsi="Franklin Gothic Book"/>
          <w:spacing w:val="-9"/>
          <w:sz w:val="20"/>
        </w:rPr>
        <w:t> </w:t>
      </w:r>
      <w:r>
        <w:rPr>
          <w:rFonts w:ascii="Franklin Gothic Book" w:hAnsi="Franklin Gothic Book"/>
          <w:sz w:val="20"/>
        </w:rPr>
        <w:t>del</w:t>
      </w:r>
      <w:r>
        <w:rPr>
          <w:rFonts w:ascii="Franklin Gothic Book" w:hAnsi="Franklin Gothic Book"/>
          <w:spacing w:val="-10"/>
          <w:sz w:val="20"/>
        </w:rPr>
        <w:t> </w:t>
      </w:r>
      <w:r>
        <w:rPr>
          <w:rFonts w:ascii="Franklin Gothic Book" w:hAnsi="Franklin Gothic Book"/>
          <w:sz w:val="20"/>
        </w:rPr>
        <w:t>consumo</w:t>
      </w:r>
      <w:r>
        <w:rPr>
          <w:rFonts w:ascii="Franklin Gothic Book" w:hAnsi="Franklin Gothic Book"/>
          <w:spacing w:val="-12"/>
          <w:sz w:val="20"/>
        </w:rPr>
        <w:t> </w:t>
      </w:r>
      <w:r>
        <w:rPr>
          <w:rFonts w:ascii="Franklin Gothic Book" w:hAnsi="Franklin Gothic Book"/>
          <w:sz w:val="20"/>
        </w:rPr>
        <w:t>di</w:t>
      </w:r>
      <w:r>
        <w:rPr>
          <w:rFonts w:ascii="Franklin Gothic Book" w:hAnsi="Franklin Gothic Book"/>
          <w:spacing w:val="-11"/>
          <w:sz w:val="20"/>
        </w:rPr>
        <w:t> </w:t>
      </w:r>
      <w:r>
        <w:rPr>
          <w:rFonts w:ascii="Franklin Gothic Book" w:hAnsi="Franklin Gothic Book"/>
          <w:sz w:val="20"/>
        </w:rPr>
        <w:t>suolo.</w:t>
      </w:r>
      <w:r>
        <w:rPr>
          <w:rFonts w:ascii="Franklin Gothic Book" w:hAnsi="Franklin Gothic Book"/>
          <w:spacing w:val="-11"/>
          <w:sz w:val="20"/>
        </w:rPr>
        <w:t> </w:t>
      </w:r>
      <w:r>
        <w:rPr>
          <w:rFonts w:ascii="Franklin Gothic Book" w:hAnsi="Franklin Gothic Book"/>
          <w:sz w:val="20"/>
        </w:rPr>
        <w:t>Le</w:t>
      </w:r>
      <w:r>
        <w:rPr>
          <w:rFonts w:ascii="Franklin Gothic Book" w:hAnsi="Franklin Gothic Book"/>
          <w:spacing w:val="-9"/>
          <w:sz w:val="20"/>
        </w:rPr>
        <w:t> </w:t>
      </w:r>
      <w:r>
        <w:rPr>
          <w:rFonts w:ascii="Franklin Gothic Book" w:hAnsi="Franklin Gothic Book"/>
          <w:sz w:val="20"/>
        </w:rPr>
        <w:t>eccellenze</w:t>
      </w:r>
      <w:r>
        <w:rPr>
          <w:rFonts w:ascii="Franklin Gothic Book" w:hAnsi="Franklin Gothic Book"/>
          <w:spacing w:val="-12"/>
          <w:sz w:val="20"/>
        </w:rPr>
        <w:t> </w:t>
      </w:r>
      <w:r>
        <w:rPr>
          <w:rFonts w:ascii="Franklin Gothic Book" w:hAnsi="Franklin Gothic Book"/>
          <w:sz w:val="20"/>
        </w:rPr>
        <w:t>italiane</w:t>
      </w:r>
      <w:r>
        <w:rPr>
          <w:rFonts w:ascii="Franklin Gothic Book" w:hAnsi="Franklin Gothic Book"/>
          <w:spacing w:val="-9"/>
          <w:sz w:val="20"/>
        </w:rPr>
        <w:t> </w:t>
      </w:r>
      <w:r>
        <w:rPr>
          <w:rFonts w:ascii="Franklin Gothic Book" w:hAnsi="Franklin Gothic Book"/>
          <w:sz w:val="20"/>
        </w:rPr>
        <w:t>verranno</w:t>
      </w:r>
      <w:r>
        <w:rPr>
          <w:rFonts w:ascii="Franklin Gothic Book" w:hAnsi="Franklin Gothic Book"/>
          <w:spacing w:val="-12"/>
          <w:sz w:val="20"/>
        </w:rPr>
        <w:t> </w:t>
      </w:r>
      <w:r>
        <w:rPr>
          <w:rFonts w:ascii="Franklin Gothic Book" w:hAnsi="Franklin Gothic Book"/>
          <w:sz w:val="20"/>
        </w:rPr>
        <w:t>difese</w:t>
      </w:r>
      <w:r>
        <w:rPr>
          <w:rFonts w:ascii="Franklin Gothic Book" w:hAnsi="Franklin Gothic Book"/>
          <w:spacing w:val="-10"/>
          <w:sz w:val="20"/>
        </w:rPr>
        <w:t> </w:t>
      </w:r>
      <w:r>
        <w:rPr>
          <w:rFonts w:ascii="Franklin Gothic Book" w:hAnsi="Franklin Gothic Book"/>
          <w:sz w:val="20"/>
        </w:rPr>
        <w:t>e</w:t>
      </w:r>
      <w:r>
        <w:rPr>
          <w:rFonts w:ascii="Franklin Gothic Book" w:hAnsi="Franklin Gothic Book"/>
          <w:spacing w:val="-11"/>
          <w:sz w:val="20"/>
        </w:rPr>
        <w:t> </w:t>
      </w:r>
      <w:r>
        <w:rPr>
          <w:rFonts w:ascii="Franklin Gothic Book" w:hAnsi="Franklin Gothic Book"/>
          <w:sz w:val="20"/>
        </w:rPr>
        <w:t>promosse anche nell’ambito della politica agricola comune (PAC). La ricerca in agricoltura verrà sostenuta con politiche mirate, al fine anche di migliorare la sostenibilità ambientale del</w:t>
      </w:r>
      <w:r>
        <w:rPr>
          <w:rFonts w:ascii="Franklin Gothic Book" w:hAnsi="Franklin Gothic Book"/>
          <w:spacing w:val="-18"/>
          <w:sz w:val="20"/>
        </w:rPr>
        <w:t> </w:t>
      </w:r>
      <w:r>
        <w:rPr>
          <w:rFonts w:ascii="Franklin Gothic Book" w:hAnsi="Franklin Gothic Book"/>
          <w:sz w:val="20"/>
        </w:rPr>
        <w:t>settore.</w:t>
      </w:r>
    </w:p>
    <w:p>
      <w:pPr>
        <w:pStyle w:val="BodyText"/>
        <w:spacing w:before="3"/>
        <w:rPr>
          <w:rFonts w:ascii="Franklin Gothic Book"/>
          <w:sz w:val="11"/>
        </w:rPr>
      </w:pPr>
    </w:p>
    <w:p>
      <w:pPr>
        <w:pStyle w:val="BodyText"/>
        <w:spacing w:line="252" w:lineRule="auto" w:before="101"/>
        <w:ind w:left="1128" w:right="1411" w:firstLine="453"/>
        <w:jc w:val="both"/>
      </w:pPr>
      <w:r>
        <w:rPr/>
        <w:t>È prioritario rimettere l’agricoltura e l’agroalimentare al centro delle scelte economiche e sociali del Paese, semplificando il rapporto tra Istituzioni e imprese, potenziando gli investimenti nelle filiere </w:t>
      </w:r>
      <w:r>
        <w:rPr>
          <w:i/>
        </w:rPr>
        <w:t>Made in Italy </w:t>
      </w:r>
      <w:r>
        <w:rPr/>
        <w:t>e garantendo il rispetto dei diritti dei lavoratori agricoli con la piena applicazione della norma di contrasto al caporalato, in modo da fronteggiare la concorrenza sleale a danno delle imprese che operano nella legalità.</w:t>
      </w:r>
    </w:p>
    <w:p>
      <w:pPr>
        <w:pStyle w:val="BodyText"/>
        <w:spacing w:line="252" w:lineRule="auto"/>
        <w:ind w:left="1128" w:right="1411" w:firstLine="453"/>
        <w:jc w:val="both"/>
      </w:pPr>
      <w:r>
        <w:rPr/>
        <w:t>Si intende, inoltre, valorizzare il patrimonio di biodiversità che caratterizza l’agricoltura</w:t>
      </w:r>
      <w:r>
        <w:rPr>
          <w:spacing w:val="-6"/>
        </w:rPr>
        <w:t> </w:t>
      </w:r>
      <w:r>
        <w:rPr/>
        <w:t>italiana,</w:t>
      </w:r>
      <w:r>
        <w:rPr>
          <w:spacing w:val="-3"/>
        </w:rPr>
        <w:t> </w:t>
      </w:r>
      <w:r>
        <w:rPr/>
        <w:t>tutelare</w:t>
      </w:r>
      <w:r>
        <w:rPr>
          <w:spacing w:val="-4"/>
        </w:rPr>
        <w:t> </w:t>
      </w:r>
      <w:r>
        <w:rPr/>
        <w:t>il</w:t>
      </w:r>
      <w:r>
        <w:rPr>
          <w:spacing w:val="-5"/>
        </w:rPr>
        <w:t> </w:t>
      </w:r>
      <w:r>
        <w:rPr/>
        <w:t>paesaggio</w:t>
      </w:r>
      <w:r>
        <w:rPr>
          <w:spacing w:val="-7"/>
        </w:rPr>
        <w:t> </w:t>
      </w:r>
      <w:r>
        <w:rPr/>
        <w:t>e</w:t>
      </w:r>
      <w:r>
        <w:rPr>
          <w:spacing w:val="-7"/>
        </w:rPr>
        <w:t> </w:t>
      </w:r>
      <w:r>
        <w:rPr/>
        <w:t>ridurre</w:t>
      </w:r>
      <w:r>
        <w:rPr>
          <w:spacing w:val="-4"/>
        </w:rPr>
        <w:t> </w:t>
      </w:r>
      <w:r>
        <w:rPr/>
        <w:t>il</w:t>
      </w:r>
      <w:r>
        <w:rPr>
          <w:spacing w:val="-7"/>
        </w:rPr>
        <w:t> </w:t>
      </w:r>
      <w:r>
        <w:rPr/>
        <w:t>consumo</w:t>
      </w:r>
      <w:r>
        <w:rPr>
          <w:spacing w:val="-5"/>
        </w:rPr>
        <w:t> </w:t>
      </w:r>
      <w:r>
        <w:rPr/>
        <w:t>del</w:t>
      </w:r>
      <w:r>
        <w:rPr>
          <w:spacing w:val="-7"/>
        </w:rPr>
        <w:t> </w:t>
      </w:r>
      <w:r>
        <w:rPr/>
        <w:t>suolo.</w:t>
      </w:r>
      <w:r>
        <w:rPr>
          <w:spacing w:val="-4"/>
        </w:rPr>
        <w:t> </w:t>
      </w:r>
      <w:r>
        <w:rPr/>
        <w:t>In</w:t>
      </w:r>
      <w:r>
        <w:rPr>
          <w:spacing w:val="-7"/>
        </w:rPr>
        <w:t> </w:t>
      </w:r>
      <w:r>
        <w:rPr/>
        <w:t>questa ottica occorre valorizzare il ruolo attivo che il settore primario può svolgere nello sviluppo dell’economia circolare e nel contrasto ai cambiamenti climatici.</w:t>
      </w:r>
      <w:r>
        <w:rPr>
          <w:spacing w:val="-11"/>
        </w:rPr>
        <w:t> </w:t>
      </w:r>
      <w:r>
        <w:rPr/>
        <w:t>Occorre</w:t>
      </w:r>
    </w:p>
    <w:p>
      <w:pPr>
        <w:spacing w:after="0" w:line="252" w:lineRule="auto"/>
        <w:jc w:val="both"/>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278" w:right="2261"/>
        <w:jc w:val="both"/>
      </w:pPr>
      <w:r>
        <w:rPr/>
        <w:t>pertanto potenziare gli strumenti di investimento e le risorse dedicate alle infrastrutture irrigue, alla prevenzione del dissesto idrogeologico a partire dalle aree rurali, allo sviluppo della ricerca sulle colture tradizionali del modello produttivo nazionale, all’incentivo dell’agricoltura di precisione. Sono componenti essenziali per rafforzare i tratti distintivi dell’agricoltura italiana e potenziare la sua sostenibilità sociale, ambientale ed economica.</w:t>
      </w:r>
    </w:p>
    <w:p>
      <w:pPr>
        <w:pStyle w:val="BodyText"/>
        <w:spacing w:line="252" w:lineRule="auto" w:before="1"/>
        <w:ind w:left="278" w:right="2264" w:firstLine="453"/>
        <w:jc w:val="both"/>
      </w:pPr>
      <w:r>
        <w:rPr/>
        <w:t>Nel negoziato in corso per la nuova programmazione della PAC si intende lavorare per stabilizzare le risorse indirizzate al settore, tutelare il reddito delle imprese, valorizzare le caratteristiche delle produzioni italiane, sostenere di più e meglio le imprese condotte da giovani e donne.</w:t>
      </w:r>
    </w:p>
    <w:p>
      <w:pPr>
        <w:pStyle w:val="BodyText"/>
        <w:spacing w:line="252" w:lineRule="auto"/>
        <w:ind w:left="278" w:right="2262" w:firstLine="453"/>
        <w:jc w:val="both"/>
      </w:pPr>
      <w:r>
        <w:rPr/>
        <w:t>Sul fronte nazionale si intende accompagnare lo sviluppo delle filiere e il rafforzamento</w:t>
      </w:r>
      <w:r>
        <w:rPr>
          <w:spacing w:val="-8"/>
        </w:rPr>
        <w:t> </w:t>
      </w:r>
      <w:r>
        <w:rPr/>
        <w:t>dei</w:t>
      </w:r>
      <w:r>
        <w:rPr>
          <w:spacing w:val="-8"/>
        </w:rPr>
        <w:t> </w:t>
      </w:r>
      <w:r>
        <w:rPr/>
        <w:t>rapporti</w:t>
      </w:r>
      <w:r>
        <w:rPr>
          <w:spacing w:val="-7"/>
        </w:rPr>
        <w:t> </w:t>
      </w:r>
      <w:r>
        <w:rPr/>
        <w:t>tra</w:t>
      </w:r>
      <w:r>
        <w:rPr>
          <w:spacing w:val="-7"/>
        </w:rPr>
        <w:t> </w:t>
      </w:r>
      <w:r>
        <w:rPr/>
        <w:t>agricoltori,</w:t>
      </w:r>
      <w:r>
        <w:rPr>
          <w:spacing w:val="-7"/>
        </w:rPr>
        <w:t> </w:t>
      </w:r>
      <w:r>
        <w:rPr/>
        <w:t>allevatori,</w:t>
      </w:r>
      <w:r>
        <w:rPr>
          <w:spacing w:val="-7"/>
        </w:rPr>
        <w:t> </w:t>
      </w:r>
      <w:r>
        <w:rPr/>
        <w:t>trasformatori</w:t>
      </w:r>
      <w:r>
        <w:rPr>
          <w:spacing w:val="-6"/>
        </w:rPr>
        <w:t> </w:t>
      </w:r>
      <w:r>
        <w:rPr/>
        <w:t>e</w:t>
      </w:r>
      <w:r>
        <w:rPr>
          <w:spacing w:val="-9"/>
        </w:rPr>
        <w:t> </w:t>
      </w:r>
      <w:r>
        <w:rPr/>
        <w:t>distribuzione, sia</w:t>
      </w:r>
      <w:r>
        <w:rPr>
          <w:spacing w:val="-19"/>
        </w:rPr>
        <w:t> </w:t>
      </w:r>
      <w:r>
        <w:rPr/>
        <w:t>attraverso</w:t>
      </w:r>
      <w:r>
        <w:rPr>
          <w:spacing w:val="-19"/>
        </w:rPr>
        <w:t> </w:t>
      </w:r>
      <w:r>
        <w:rPr/>
        <w:t>il</w:t>
      </w:r>
      <w:r>
        <w:rPr>
          <w:spacing w:val="-19"/>
        </w:rPr>
        <w:t> </w:t>
      </w:r>
      <w:r>
        <w:rPr/>
        <w:t>sostegno</w:t>
      </w:r>
      <w:r>
        <w:rPr>
          <w:spacing w:val="-18"/>
        </w:rPr>
        <w:t> </w:t>
      </w:r>
      <w:r>
        <w:rPr/>
        <w:t>ai</w:t>
      </w:r>
      <w:r>
        <w:rPr>
          <w:spacing w:val="-18"/>
        </w:rPr>
        <w:t> </w:t>
      </w:r>
      <w:r>
        <w:rPr/>
        <w:t>contratti</w:t>
      </w:r>
      <w:r>
        <w:rPr>
          <w:spacing w:val="-19"/>
        </w:rPr>
        <w:t> </w:t>
      </w:r>
      <w:r>
        <w:rPr/>
        <w:t>di</w:t>
      </w:r>
      <w:r>
        <w:rPr>
          <w:spacing w:val="-20"/>
        </w:rPr>
        <w:t> </w:t>
      </w:r>
      <w:r>
        <w:rPr/>
        <w:t>filiera</w:t>
      </w:r>
      <w:r>
        <w:rPr>
          <w:spacing w:val="-19"/>
        </w:rPr>
        <w:t> </w:t>
      </w:r>
      <w:r>
        <w:rPr/>
        <w:t>e</w:t>
      </w:r>
      <w:r>
        <w:rPr>
          <w:spacing w:val="-18"/>
        </w:rPr>
        <w:t> </w:t>
      </w:r>
      <w:r>
        <w:rPr/>
        <w:t>di</w:t>
      </w:r>
      <w:r>
        <w:rPr>
          <w:spacing w:val="-17"/>
        </w:rPr>
        <w:t> </w:t>
      </w:r>
      <w:r>
        <w:rPr/>
        <w:t>distretto,</w:t>
      </w:r>
      <w:r>
        <w:rPr>
          <w:spacing w:val="-18"/>
        </w:rPr>
        <w:t> </w:t>
      </w:r>
      <w:r>
        <w:rPr/>
        <w:t>sia</w:t>
      </w:r>
      <w:r>
        <w:rPr>
          <w:spacing w:val="-17"/>
        </w:rPr>
        <w:t> </w:t>
      </w:r>
      <w:r>
        <w:rPr/>
        <w:t>mediante</w:t>
      </w:r>
      <w:r>
        <w:rPr>
          <w:spacing w:val="-16"/>
        </w:rPr>
        <w:t> </w:t>
      </w:r>
      <w:r>
        <w:rPr/>
        <w:t>una</w:t>
      </w:r>
      <w:r>
        <w:rPr>
          <w:spacing w:val="-18"/>
        </w:rPr>
        <w:t> </w:t>
      </w:r>
      <w:r>
        <w:rPr/>
        <w:t>rapida attuazione della Direttiva europea di contrasto alle pratiche sleali nel settore agroalimentare. Filiere più forti, più organizzate, consentono di affrontare meglio il mercato e fronteggiare momenti di crisi. È necessario investire in innovazione, benessere animale e ricerca, in particolare nel settore zootecnico, e puntare al rafforzamento del sistema fitosanitario</w:t>
      </w:r>
      <w:r>
        <w:rPr>
          <w:vertAlign w:val="superscript"/>
        </w:rPr>
        <w:t>26</w:t>
      </w:r>
      <w:r>
        <w:rPr>
          <w:vertAlign w:val="baseline"/>
        </w:rPr>
        <w:t>. Allo stesso tempo si ritiene strategico incrementare</w:t>
      </w:r>
      <w:r>
        <w:rPr>
          <w:spacing w:val="-9"/>
          <w:vertAlign w:val="baseline"/>
        </w:rPr>
        <w:t> </w:t>
      </w:r>
      <w:r>
        <w:rPr>
          <w:vertAlign w:val="baseline"/>
        </w:rPr>
        <w:t>l’aggregazione</w:t>
      </w:r>
      <w:r>
        <w:rPr>
          <w:spacing w:val="-9"/>
          <w:vertAlign w:val="baseline"/>
        </w:rPr>
        <w:t> </w:t>
      </w:r>
      <w:r>
        <w:rPr>
          <w:vertAlign w:val="baseline"/>
        </w:rPr>
        <w:t>nel</w:t>
      </w:r>
      <w:r>
        <w:rPr>
          <w:spacing w:val="-9"/>
          <w:vertAlign w:val="baseline"/>
        </w:rPr>
        <w:t> </w:t>
      </w:r>
      <w:r>
        <w:rPr>
          <w:vertAlign w:val="baseline"/>
        </w:rPr>
        <w:t>settore,</w:t>
      </w:r>
      <w:r>
        <w:rPr>
          <w:spacing w:val="-10"/>
          <w:vertAlign w:val="baseline"/>
        </w:rPr>
        <w:t> </w:t>
      </w:r>
      <w:r>
        <w:rPr>
          <w:vertAlign w:val="baseline"/>
        </w:rPr>
        <w:t>attraverso</w:t>
      </w:r>
      <w:r>
        <w:rPr>
          <w:spacing w:val="-9"/>
          <w:vertAlign w:val="baseline"/>
        </w:rPr>
        <w:t> </w:t>
      </w:r>
      <w:r>
        <w:rPr>
          <w:vertAlign w:val="baseline"/>
        </w:rPr>
        <w:t>le</w:t>
      </w:r>
      <w:r>
        <w:rPr>
          <w:spacing w:val="-12"/>
          <w:vertAlign w:val="baseline"/>
        </w:rPr>
        <w:t> </w:t>
      </w:r>
      <w:r>
        <w:rPr>
          <w:vertAlign w:val="baseline"/>
        </w:rPr>
        <w:t>organizzazioni</w:t>
      </w:r>
      <w:r>
        <w:rPr>
          <w:spacing w:val="-9"/>
          <w:vertAlign w:val="baseline"/>
        </w:rPr>
        <w:t> </w:t>
      </w:r>
      <w:r>
        <w:rPr>
          <w:vertAlign w:val="baseline"/>
        </w:rPr>
        <w:t>di</w:t>
      </w:r>
      <w:r>
        <w:rPr>
          <w:spacing w:val="-11"/>
          <w:vertAlign w:val="baseline"/>
        </w:rPr>
        <w:t> </w:t>
      </w:r>
      <w:r>
        <w:rPr>
          <w:vertAlign w:val="baseline"/>
        </w:rPr>
        <w:t>produttori, le associazioni delle organizzazioni di produttori e le organizzazioni interprofessionali,</w:t>
      </w:r>
      <w:r>
        <w:rPr>
          <w:spacing w:val="-5"/>
          <w:vertAlign w:val="baseline"/>
        </w:rPr>
        <w:t> </w:t>
      </w:r>
      <w:r>
        <w:rPr>
          <w:vertAlign w:val="baseline"/>
        </w:rPr>
        <w:t>per</w:t>
      </w:r>
      <w:r>
        <w:rPr>
          <w:spacing w:val="-5"/>
          <w:vertAlign w:val="baseline"/>
        </w:rPr>
        <w:t> </w:t>
      </w:r>
      <w:r>
        <w:rPr>
          <w:vertAlign w:val="baseline"/>
        </w:rPr>
        <w:t>garantire</w:t>
      </w:r>
      <w:r>
        <w:rPr>
          <w:spacing w:val="-6"/>
          <w:vertAlign w:val="baseline"/>
        </w:rPr>
        <w:t> </w:t>
      </w:r>
      <w:r>
        <w:rPr>
          <w:vertAlign w:val="baseline"/>
        </w:rPr>
        <w:t>un</w:t>
      </w:r>
      <w:r>
        <w:rPr>
          <w:spacing w:val="-7"/>
          <w:vertAlign w:val="baseline"/>
        </w:rPr>
        <w:t> </w:t>
      </w:r>
      <w:r>
        <w:rPr>
          <w:vertAlign w:val="baseline"/>
        </w:rPr>
        <w:t>percorso</w:t>
      </w:r>
      <w:r>
        <w:rPr>
          <w:spacing w:val="-10"/>
          <w:vertAlign w:val="baseline"/>
        </w:rPr>
        <w:t> </w:t>
      </w:r>
      <w:r>
        <w:rPr>
          <w:vertAlign w:val="baseline"/>
        </w:rPr>
        <w:t>trasparente</w:t>
      </w:r>
      <w:r>
        <w:rPr>
          <w:spacing w:val="-6"/>
          <w:vertAlign w:val="baseline"/>
        </w:rPr>
        <w:t> </w:t>
      </w:r>
      <w:r>
        <w:rPr>
          <w:vertAlign w:val="baseline"/>
        </w:rPr>
        <w:t>di</w:t>
      </w:r>
      <w:r>
        <w:rPr>
          <w:spacing w:val="-7"/>
          <w:vertAlign w:val="baseline"/>
        </w:rPr>
        <w:t> </w:t>
      </w:r>
      <w:r>
        <w:rPr>
          <w:vertAlign w:val="baseline"/>
        </w:rPr>
        <w:t>formazione</w:t>
      </w:r>
      <w:r>
        <w:rPr>
          <w:spacing w:val="-7"/>
          <w:vertAlign w:val="baseline"/>
        </w:rPr>
        <w:t> </w:t>
      </w:r>
      <w:r>
        <w:rPr>
          <w:vertAlign w:val="baseline"/>
        </w:rPr>
        <w:t>dei</w:t>
      </w:r>
      <w:r>
        <w:rPr>
          <w:spacing w:val="-6"/>
          <w:vertAlign w:val="baseline"/>
        </w:rPr>
        <w:t> </w:t>
      </w:r>
      <w:r>
        <w:rPr>
          <w:vertAlign w:val="baseline"/>
        </w:rPr>
        <w:t>prezzi</w:t>
      </w:r>
      <w:r>
        <w:rPr>
          <w:spacing w:val="-9"/>
          <w:vertAlign w:val="baseline"/>
        </w:rPr>
        <w:t> </w:t>
      </w:r>
      <w:r>
        <w:rPr>
          <w:vertAlign w:val="baseline"/>
        </w:rPr>
        <w:t>e di tracciabilità dei prodotti. Il nostro Paese è un punto di riferimento anche per le produzioni biologiche per le quali si intende potenziare l’azione nazionale, anche attraverso una maggiore diffusione delle mense scolastiche biologiche</w:t>
      </w:r>
      <w:r>
        <w:rPr>
          <w:spacing w:val="-26"/>
          <w:vertAlign w:val="baseline"/>
        </w:rPr>
        <w:t> </w:t>
      </w:r>
      <w:r>
        <w:rPr>
          <w:vertAlign w:val="baseline"/>
        </w:rPr>
        <w:t>certificate.</w:t>
      </w:r>
    </w:p>
    <w:p>
      <w:pPr>
        <w:pStyle w:val="BodyText"/>
        <w:spacing w:line="252" w:lineRule="auto"/>
        <w:ind w:left="278" w:right="2265" w:firstLine="453"/>
        <w:jc w:val="both"/>
      </w:pPr>
      <w:r>
        <w:rPr/>
        <w:t>In campo forestale, il Governo intende portare avanti la Strategia forestale nazionale, in coerenza con la prospettiva europea di sviluppo sostenibile applicata al settore boschivo.</w:t>
      </w:r>
    </w:p>
    <w:p>
      <w:pPr>
        <w:pStyle w:val="BodyText"/>
        <w:spacing w:before="10"/>
        <w:rPr>
          <w:sz w:val="33"/>
        </w:rPr>
      </w:pPr>
    </w:p>
    <w:p>
      <w:pPr>
        <w:pStyle w:val="Heading5"/>
        <w:ind w:left="278"/>
      </w:pPr>
      <w:r>
        <w:rPr/>
        <w:t>Cultura e turismo</w:t>
      </w:r>
    </w:p>
    <w:p>
      <w:pPr>
        <w:spacing w:line="232" w:lineRule="auto" w:before="156"/>
        <w:ind w:left="278" w:right="2268" w:firstLine="0"/>
        <w:jc w:val="both"/>
        <w:rPr>
          <w:rFonts w:ascii="Franklin Gothic Book" w:hAnsi="Franklin Gothic Book"/>
          <w:sz w:val="20"/>
        </w:rPr>
      </w:pPr>
      <w:r>
        <w:rPr/>
        <w:pict>
          <v:line style="position:absolute;mso-position-horizontal-relative:page;mso-position-vertical-relative:paragraph;z-index:-251421696;mso-wrap-distance-left:0;mso-wrap-distance-right:0" from="69.503998pt,57.610073pt" to="483.453998pt,57.610073pt" stroked="true" strokeweight="1.44pt" strokecolor="#006247">
            <v:stroke dashstyle="solid"/>
            <w10:wrap type="topAndBottom"/>
          </v:line>
        </w:pict>
      </w:r>
      <w:r>
        <w:rPr>
          <w:rFonts w:ascii="Franklin Gothic Heavy" w:hAnsi="Franklin Gothic Heavy"/>
          <w:b/>
          <w:color w:val="006247"/>
          <w:sz w:val="20"/>
        </w:rPr>
        <w:t>LINEE PROGRAMMATICHE: </w:t>
      </w:r>
      <w:r>
        <w:rPr>
          <w:rFonts w:ascii="Franklin Gothic Book" w:hAnsi="Franklin Gothic Book"/>
          <w:sz w:val="20"/>
        </w:rPr>
        <w:t>Obiettivo principale sarà porre la cultura e il turismo al centro della programmazione</w:t>
      </w:r>
      <w:r>
        <w:rPr>
          <w:rFonts w:ascii="Franklin Gothic Book" w:hAnsi="Franklin Gothic Book"/>
          <w:spacing w:val="-15"/>
          <w:sz w:val="20"/>
        </w:rPr>
        <w:t> </w:t>
      </w:r>
      <w:r>
        <w:rPr>
          <w:rFonts w:ascii="Franklin Gothic Book" w:hAnsi="Franklin Gothic Book"/>
          <w:sz w:val="20"/>
        </w:rPr>
        <w:t>della</w:t>
      </w:r>
      <w:r>
        <w:rPr>
          <w:rFonts w:ascii="Franklin Gothic Book" w:hAnsi="Franklin Gothic Book"/>
          <w:spacing w:val="-15"/>
          <w:sz w:val="20"/>
        </w:rPr>
        <w:t> </w:t>
      </w:r>
      <w:r>
        <w:rPr>
          <w:rFonts w:ascii="Franklin Gothic Book" w:hAnsi="Franklin Gothic Book"/>
          <w:sz w:val="20"/>
        </w:rPr>
        <w:t>gestione</w:t>
      </w:r>
      <w:r>
        <w:rPr>
          <w:rFonts w:ascii="Franklin Gothic Book" w:hAnsi="Franklin Gothic Book"/>
          <w:spacing w:val="-15"/>
          <w:sz w:val="20"/>
        </w:rPr>
        <w:t> </w:t>
      </w:r>
      <w:r>
        <w:rPr>
          <w:rFonts w:ascii="Franklin Gothic Book" w:hAnsi="Franklin Gothic Book"/>
          <w:sz w:val="20"/>
        </w:rPr>
        <w:t>e</w:t>
      </w:r>
      <w:r>
        <w:rPr>
          <w:rFonts w:ascii="Franklin Gothic Book" w:hAnsi="Franklin Gothic Book"/>
          <w:spacing w:val="-15"/>
          <w:sz w:val="20"/>
        </w:rPr>
        <w:t> </w:t>
      </w:r>
      <w:r>
        <w:rPr>
          <w:rFonts w:ascii="Franklin Gothic Book" w:hAnsi="Franklin Gothic Book"/>
          <w:sz w:val="20"/>
        </w:rPr>
        <w:t>dello</w:t>
      </w:r>
      <w:r>
        <w:rPr>
          <w:rFonts w:ascii="Franklin Gothic Book" w:hAnsi="Franklin Gothic Book"/>
          <w:spacing w:val="-15"/>
          <w:sz w:val="20"/>
        </w:rPr>
        <w:t> </w:t>
      </w:r>
      <w:r>
        <w:rPr>
          <w:rFonts w:ascii="Franklin Gothic Book" w:hAnsi="Franklin Gothic Book"/>
          <w:sz w:val="20"/>
        </w:rPr>
        <w:t>sviluppo</w:t>
      </w:r>
      <w:r>
        <w:rPr>
          <w:rFonts w:ascii="Franklin Gothic Book" w:hAnsi="Franklin Gothic Book"/>
          <w:spacing w:val="-15"/>
          <w:sz w:val="20"/>
        </w:rPr>
        <w:t> </w:t>
      </w:r>
      <w:r>
        <w:rPr>
          <w:rFonts w:ascii="Franklin Gothic Book" w:hAnsi="Franklin Gothic Book"/>
          <w:sz w:val="20"/>
        </w:rPr>
        <w:t>del</w:t>
      </w:r>
      <w:r>
        <w:rPr>
          <w:rFonts w:ascii="Franklin Gothic Book" w:hAnsi="Franklin Gothic Book"/>
          <w:spacing w:val="-16"/>
          <w:sz w:val="20"/>
        </w:rPr>
        <w:t> </w:t>
      </w:r>
      <w:r>
        <w:rPr>
          <w:rFonts w:ascii="Franklin Gothic Book" w:hAnsi="Franklin Gothic Book"/>
          <w:sz w:val="20"/>
        </w:rPr>
        <w:t>territorio</w:t>
      </w:r>
      <w:r>
        <w:rPr>
          <w:rFonts w:ascii="Franklin Gothic Book" w:hAnsi="Franklin Gothic Book"/>
          <w:spacing w:val="-15"/>
          <w:sz w:val="20"/>
        </w:rPr>
        <w:t> </w:t>
      </w:r>
      <w:r>
        <w:rPr>
          <w:rFonts w:ascii="Franklin Gothic Book" w:hAnsi="Franklin Gothic Book"/>
          <w:sz w:val="20"/>
        </w:rPr>
        <w:t>nazionale,</w:t>
      </w:r>
      <w:r>
        <w:rPr>
          <w:rFonts w:ascii="Franklin Gothic Book" w:hAnsi="Franklin Gothic Book"/>
          <w:spacing w:val="-15"/>
          <w:sz w:val="20"/>
        </w:rPr>
        <w:t> </w:t>
      </w:r>
      <w:r>
        <w:rPr>
          <w:rFonts w:ascii="Franklin Gothic Book" w:hAnsi="Franklin Gothic Book"/>
          <w:sz w:val="20"/>
        </w:rPr>
        <w:t>assicurando</w:t>
      </w:r>
      <w:r>
        <w:rPr>
          <w:rFonts w:ascii="Franklin Gothic Book" w:hAnsi="Franklin Gothic Book"/>
          <w:spacing w:val="-14"/>
          <w:sz w:val="20"/>
        </w:rPr>
        <w:t> </w:t>
      </w:r>
      <w:r>
        <w:rPr>
          <w:rFonts w:ascii="Franklin Gothic Book" w:hAnsi="Franklin Gothic Book"/>
          <w:sz w:val="20"/>
        </w:rPr>
        <w:t>adeguati</w:t>
      </w:r>
      <w:r>
        <w:rPr>
          <w:rFonts w:ascii="Franklin Gothic Book" w:hAnsi="Franklin Gothic Book"/>
          <w:spacing w:val="-15"/>
          <w:sz w:val="20"/>
        </w:rPr>
        <w:t> </w:t>
      </w:r>
      <w:r>
        <w:rPr>
          <w:rFonts w:ascii="Franklin Gothic Book" w:hAnsi="Franklin Gothic Book"/>
          <w:sz w:val="20"/>
        </w:rPr>
        <w:t>livelli di tutela e conservazione del patrimonio e favorendo, al contempo, la crescita sociale, occupazionale ed</w:t>
      </w:r>
      <w:r>
        <w:rPr>
          <w:rFonts w:ascii="Franklin Gothic Book" w:hAnsi="Franklin Gothic Book"/>
          <w:spacing w:val="-2"/>
          <w:sz w:val="20"/>
        </w:rPr>
        <w:t> </w:t>
      </w:r>
      <w:r>
        <w:rPr>
          <w:rFonts w:ascii="Franklin Gothic Book" w:hAnsi="Franklin Gothic Book"/>
          <w:sz w:val="20"/>
        </w:rPr>
        <w:t>economica.</w:t>
      </w:r>
    </w:p>
    <w:p>
      <w:pPr>
        <w:pStyle w:val="BodyText"/>
        <w:spacing w:before="6"/>
        <w:rPr>
          <w:rFonts w:ascii="Franklin Gothic Book"/>
          <w:sz w:val="11"/>
        </w:rPr>
      </w:pPr>
    </w:p>
    <w:p>
      <w:pPr>
        <w:pStyle w:val="BodyText"/>
        <w:spacing w:line="252" w:lineRule="auto" w:before="101"/>
        <w:ind w:left="278" w:right="2265" w:firstLine="453"/>
        <w:jc w:val="both"/>
      </w:pPr>
      <w:r>
        <w:rPr/>
        <w:t>Al fine di tutelare il patrimonio artistico e culturale del Paese, si intende proseguire sui due assi portanti: quelli degli interventi di conservazione e manutenzione ordinaria e quelli relativi agli interventi straordinari, derivanti dal verificarsi di eventi eccezionali</w:t>
      </w:r>
      <w:r>
        <w:rPr>
          <w:vertAlign w:val="superscript"/>
        </w:rPr>
        <w:t>27</w:t>
      </w:r>
      <w:r>
        <w:rPr>
          <w:vertAlign w:val="baseline"/>
        </w:rPr>
        <w:t>. Rispetto alla valorizzazione del patrimonio culturale ed artistico si evidenziano i risultati positivi registrati dai musei, che migliorano sia in termini di visitatori e sia di incassi.</w:t>
      </w:r>
    </w:p>
    <w:p>
      <w:pPr>
        <w:pStyle w:val="BodyText"/>
        <w:spacing w:line="254" w:lineRule="exact"/>
        <w:ind w:left="278" w:right="2264"/>
        <w:jc w:val="right"/>
      </w:pPr>
      <w:r>
        <w:rPr/>
        <w:t>Nei</w:t>
      </w:r>
      <w:r>
        <w:rPr>
          <w:spacing w:val="-5"/>
        </w:rPr>
        <w:t> </w:t>
      </w:r>
      <w:r>
        <w:rPr/>
        <w:t>settori</w:t>
      </w:r>
      <w:r>
        <w:rPr>
          <w:spacing w:val="-4"/>
        </w:rPr>
        <w:t> </w:t>
      </w:r>
      <w:r>
        <w:rPr/>
        <w:t>delle</w:t>
      </w:r>
      <w:r>
        <w:rPr>
          <w:spacing w:val="-3"/>
        </w:rPr>
        <w:t> </w:t>
      </w:r>
      <w:r>
        <w:rPr/>
        <w:t>biblioteche</w:t>
      </w:r>
      <w:r>
        <w:rPr>
          <w:spacing w:val="-5"/>
        </w:rPr>
        <w:t> </w:t>
      </w:r>
      <w:r>
        <w:rPr/>
        <w:t>e</w:t>
      </w:r>
      <w:r>
        <w:rPr>
          <w:spacing w:val="-3"/>
        </w:rPr>
        <w:t> </w:t>
      </w:r>
      <w:r>
        <w:rPr/>
        <w:t>degli</w:t>
      </w:r>
      <w:r>
        <w:rPr>
          <w:spacing w:val="-5"/>
        </w:rPr>
        <w:t> </w:t>
      </w:r>
      <w:r>
        <w:rPr/>
        <w:t>archivi,</w:t>
      </w:r>
      <w:r>
        <w:rPr>
          <w:spacing w:val="-2"/>
        </w:rPr>
        <w:t> </w:t>
      </w:r>
      <w:r>
        <w:rPr/>
        <w:t>si</w:t>
      </w:r>
      <w:r>
        <w:rPr>
          <w:spacing w:val="-5"/>
        </w:rPr>
        <w:t> </w:t>
      </w:r>
      <w:r>
        <w:rPr/>
        <w:t>vuole</w:t>
      </w:r>
      <w:r>
        <w:rPr>
          <w:spacing w:val="-4"/>
        </w:rPr>
        <w:t> </w:t>
      </w:r>
      <w:r>
        <w:rPr/>
        <w:t>andare</w:t>
      </w:r>
      <w:r>
        <w:rPr>
          <w:spacing w:val="-4"/>
        </w:rPr>
        <w:t> </w:t>
      </w:r>
      <w:r>
        <w:rPr/>
        <w:t>in</w:t>
      </w:r>
      <w:r>
        <w:rPr>
          <w:spacing w:val="-4"/>
        </w:rPr>
        <w:t> </w:t>
      </w:r>
      <w:r>
        <w:rPr/>
        <w:t>direzione</w:t>
      </w:r>
      <w:r>
        <w:rPr>
          <w:spacing w:val="-3"/>
        </w:rPr>
        <w:t> </w:t>
      </w:r>
      <w:r>
        <w:rPr/>
        <w:t>di</w:t>
      </w:r>
      <w:r>
        <w:rPr>
          <w:spacing w:val="-4"/>
        </w:rPr>
        <w:t> </w:t>
      </w:r>
      <w:r>
        <w:rPr/>
        <w:t>una</w:t>
      </w:r>
    </w:p>
    <w:p>
      <w:pPr>
        <w:pStyle w:val="BodyText"/>
        <w:spacing w:before="14"/>
        <w:ind w:left="278" w:right="2262"/>
        <w:jc w:val="right"/>
      </w:pPr>
      <w:r>
        <w:rPr/>
        <w:t>maggiore</w:t>
      </w:r>
      <w:r>
        <w:rPr>
          <w:spacing w:val="-8"/>
        </w:rPr>
        <w:t> </w:t>
      </w:r>
      <w:r>
        <w:rPr/>
        <w:t>accessibilità,</w:t>
      </w:r>
      <w:r>
        <w:rPr>
          <w:spacing w:val="-6"/>
        </w:rPr>
        <w:t> </w:t>
      </w:r>
      <w:r>
        <w:rPr/>
        <w:t>anche</w:t>
      </w:r>
      <w:r>
        <w:rPr>
          <w:spacing w:val="-7"/>
        </w:rPr>
        <w:t> </w:t>
      </w:r>
      <w:r>
        <w:rPr/>
        <w:t>utilizzando</w:t>
      </w:r>
      <w:r>
        <w:rPr>
          <w:spacing w:val="-9"/>
        </w:rPr>
        <w:t> </w:t>
      </w:r>
      <w:r>
        <w:rPr/>
        <w:t>le</w:t>
      </w:r>
      <w:r>
        <w:rPr>
          <w:spacing w:val="-10"/>
        </w:rPr>
        <w:t> </w:t>
      </w:r>
      <w:r>
        <w:rPr/>
        <w:t>tecnologie</w:t>
      </w:r>
      <w:r>
        <w:rPr>
          <w:spacing w:val="-7"/>
        </w:rPr>
        <w:t> </w:t>
      </w:r>
      <w:r>
        <w:rPr/>
        <w:t>digitali.</w:t>
      </w:r>
      <w:r>
        <w:rPr>
          <w:spacing w:val="-6"/>
        </w:rPr>
        <w:t> </w:t>
      </w:r>
      <w:r>
        <w:rPr/>
        <w:t>Continuerà</w:t>
      </w:r>
      <w:r>
        <w:rPr>
          <w:spacing w:val="-7"/>
        </w:rPr>
        <w:t> </w:t>
      </w:r>
      <w:r>
        <w:rPr/>
        <w:t>l’azione</w:t>
      </w:r>
    </w:p>
    <w:p>
      <w:pPr>
        <w:pStyle w:val="BodyText"/>
        <w:rPr>
          <w:sz w:val="20"/>
        </w:rPr>
      </w:pPr>
    </w:p>
    <w:p>
      <w:pPr>
        <w:pStyle w:val="BodyText"/>
        <w:rPr>
          <w:sz w:val="20"/>
        </w:rPr>
      </w:pPr>
    </w:p>
    <w:p>
      <w:pPr>
        <w:pStyle w:val="BodyText"/>
        <w:spacing w:before="10"/>
        <w:rPr>
          <w:sz w:val="10"/>
        </w:rPr>
      </w:pPr>
      <w:r>
        <w:rPr/>
        <w:pict>
          <v:group style="position:absolute;margin-left:93.599998pt;margin-top:8.316573pt;width:21.4pt;height:2.15pt;mso-position-horizontal-relative:page;mso-position-vertical-relative:paragraph;z-index:-251420672;mso-wrap-distance-left:0;mso-wrap-distance-right:0" coordorigin="1872,166" coordsize="428,43">
            <v:line style="position:absolute" from="1872,187" to="2299,187" stroked="true" strokeweight="2.050pt" strokecolor="#aaaaaa">
              <v:stroke dashstyle="solid"/>
            </v:line>
            <v:rect style="position:absolute;left:1872;top:168;width:5;height:5" filled="true" fillcolor="#9f9f9f" stroked="false">
              <v:fill type="solid"/>
            </v:rect>
            <v:rect style="position:absolute;left:1872;top:168;width:5;height:5" filled="true" fillcolor="#9f9f9f" stroked="false">
              <v:fill type="solid"/>
            </v:rect>
            <v:line style="position:absolute" from="1877,171" to="2295,171" stroked="true" strokeweight=".23999pt" strokecolor="#9f9f9f">
              <v:stroke dashstyle="solid"/>
            </v:line>
            <v:rect style="position:absolute;left:2294;top:168;width:5;height:5" filled="true" fillcolor="#e2e2e2" stroked="false">
              <v:fill type="solid"/>
            </v:rect>
            <v:rect style="position:absolute;left:2294;top:168;width:5;height:5" filled="true" fillcolor="#9f9f9f" stroked="false">
              <v:fill type="solid"/>
            </v:rect>
            <v:rect style="position:absolute;left:1872;top:173;width:5;height:32" filled="true" fillcolor="#9f9f9f" stroked="false">
              <v:fill type="solid"/>
            </v:rect>
            <v:rect style="position:absolute;left:2294;top:173;width:5;height:32" filled="true" fillcolor="#e2e2e2" stroked="false">
              <v:fill type="solid"/>
            </v:rect>
            <v:rect style="position:absolute;left:1872;top:204;width:5;height:5" filled="true" fillcolor="#9f9f9f" stroked="false">
              <v:fill type="solid"/>
            </v:rect>
            <v:rect style="position:absolute;left:1872;top:204;width:5;height:5" filled="true" fillcolor="#e2e2e2" stroked="false">
              <v:fill type="solid"/>
            </v:rect>
            <v:line style="position:absolute" from="1877,207" to="2295,207" stroked="true" strokeweight=".23999pt" strokecolor="#e2e2e2">
              <v:stroke dashstyle="solid"/>
            </v:line>
            <v:rect style="position:absolute;left:2294;top:204;width:5;height:5" filled="true" fillcolor="#e2e2e2" stroked="false">
              <v:fill type="solid"/>
            </v:rect>
            <v:rect style="position:absolute;left:2294;top:204;width:5;height:5" filled="true" fillcolor="#e2e2e2" stroked="false">
              <v:fill type="solid"/>
            </v:rect>
            <w10:wrap type="topAndBottom"/>
          </v:group>
        </w:pict>
      </w:r>
    </w:p>
    <w:p>
      <w:pPr>
        <w:spacing w:before="20"/>
        <w:ind w:left="278" w:right="2187" w:firstLine="453"/>
        <w:jc w:val="left"/>
        <w:rPr>
          <w:sz w:val="16"/>
        </w:rPr>
      </w:pPr>
      <w:r>
        <w:rPr>
          <w:position w:val="6"/>
          <w:sz w:val="10"/>
        </w:rPr>
        <w:t>26 </w:t>
      </w:r>
      <w:r>
        <w:rPr>
          <w:sz w:val="16"/>
        </w:rPr>
        <w:t>In relazione agli effetti del cambiamento climatico e al rischio di diffusione di fenomeni a forte impatto come la Xylella fastidiosa o la cimice asiatica.</w:t>
      </w:r>
    </w:p>
    <w:p>
      <w:pPr>
        <w:spacing w:line="237" w:lineRule="auto" w:before="0"/>
        <w:ind w:left="278" w:right="2185" w:firstLine="453"/>
        <w:jc w:val="left"/>
        <w:rPr>
          <w:sz w:val="16"/>
        </w:rPr>
      </w:pPr>
      <w:r>
        <w:rPr>
          <w:position w:val="6"/>
          <w:sz w:val="10"/>
        </w:rPr>
        <w:t>27 </w:t>
      </w:r>
      <w:r>
        <w:rPr>
          <w:sz w:val="16"/>
        </w:rPr>
        <w:t>Oltre alle Soprintendenze, il Ministero ha una apposita Unità per la tutela, che opera presso il Segretariato generale, e sta portando avanti un piano pluriennale di assunzioni al fine di rafforzare gli organici del personale.</w:t>
      </w:r>
    </w:p>
    <w:p>
      <w:pPr>
        <w:spacing w:after="0" w:line="237" w:lineRule="auto"/>
        <w:jc w:val="left"/>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1128" w:right="1413"/>
        <w:jc w:val="both"/>
      </w:pPr>
      <w:r>
        <w:rPr/>
        <w:t>del</w:t>
      </w:r>
      <w:r>
        <w:rPr>
          <w:spacing w:val="-8"/>
        </w:rPr>
        <w:t> </w:t>
      </w:r>
      <w:r>
        <w:rPr/>
        <w:t>Ministero</w:t>
      </w:r>
      <w:r>
        <w:rPr>
          <w:spacing w:val="-7"/>
        </w:rPr>
        <w:t> </w:t>
      </w:r>
      <w:r>
        <w:rPr/>
        <w:t>per</w:t>
      </w:r>
      <w:r>
        <w:rPr>
          <w:spacing w:val="-6"/>
        </w:rPr>
        <w:t> </w:t>
      </w:r>
      <w:r>
        <w:rPr/>
        <w:t>i</w:t>
      </w:r>
      <w:r>
        <w:rPr>
          <w:spacing w:val="-7"/>
        </w:rPr>
        <w:t> </w:t>
      </w:r>
      <w:r>
        <w:rPr/>
        <w:t>beni,</w:t>
      </w:r>
      <w:r>
        <w:rPr>
          <w:spacing w:val="-11"/>
        </w:rPr>
        <w:t> </w:t>
      </w:r>
      <w:r>
        <w:rPr/>
        <w:t>le</w:t>
      </w:r>
      <w:r>
        <w:rPr>
          <w:spacing w:val="-7"/>
        </w:rPr>
        <w:t> </w:t>
      </w:r>
      <w:r>
        <w:rPr/>
        <w:t>attività</w:t>
      </w:r>
      <w:r>
        <w:rPr>
          <w:spacing w:val="-7"/>
        </w:rPr>
        <w:t> </w:t>
      </w:r>
      <w:r>
        <w:rPr/>
        <w:t>culturali</w:t>
      </w:r>
      <w:r>
        <w:rPr>
          <w:spacing w:val="-7"/>
        </w:rPr>
        <w:t> </w:t>
      </w:r>
      <w:r>
        <w:rPr/>
        <w:t>e</w:t>
      </w:r>
      <w:r>
        <w:rPr>
          <w:spacing w:val="-8"/>
        </w:rPr>
        <w:t> </w:t>
      </w:r>
      <w:r>
        <w:rPr/>
        <w:t>il</w:t>
      </w:r>
      <w:r>
        <w:rPr>
          <w:spacing w:val="-7"/>
        </w:rPr>
        <w:t> </w:t>
      </w:r>
      <w:r>
        <w:rPr/>
        <w:t>turismo,</w:t>
      </w:r>
      <w:r>
        <w:rPr>
          <w:spacing w:val="-6"/>
        </w:rPr>
        <w:t> </w:t>
      </w:r>
      <w:r>
        <w:rPr/>
        <w:t>in</w:t>
      </w:r>
      <w:r>
        <w:rPr>
          <w:spacing w:val="-7"/>
        </w:rPr>
        <w:t> </w:t>
      </w:r>
      <w:r>
        <w:rPr/>
        <w:t>sinergia</w:t>
      </w:r>
      <w:r>
        <w:rPr>
          <w:spacing w:val="-10"/>
        </w:rPr>
        <w:t> </w:t>
      </w:r>
      <w:r>
        <w:rPr/>
        <w:t>con</w:t>
      </w:r>
      <w:r>
        <w:rPr>
          <w:spacing w:val="-7"/>
        </w:rPr>
        <w:t> </w:t>
      </w:r>
      <w:r>
        <w:rPr/>
        <w:t>il</w:t>
      </w:r>
      <w:r>
        <w:rPr>
          <w:spacing w:val="-10"/>
        </w:rPr>
        <w:t> </w:t>
      </w:r>
      <w:r>
        <w:rPr/>
        <w:t>MIUR,</w:t>
      </w:r>
      <w:r>
        <w:rPr>
          <w:spacing w:val="-6"/>
        </w:rPr>
        <w:t> </w:t>
      </w:r>
      <w:r>
        <w:rPr/>
        <w:t>per il sostegno del libro e della lettura, anche per combattere i fenomeni dell’analfabetismo funzionale e della povertà</w:t>
      </w:r>
      <w:r>
        <w:rPr>
          <w:spacing w:val="-7"/>
        </w:rPr>
        <w:t> </w:t>
      </w:r>
      <w:r>
        <w:rPr/>
        <w:t>educativa.</w:t>
      </w:r>
    </w:p>
    <w:p>
      <w:pPr>
        <w:pStyle w:val="BodyText"/>
        <w:spacing w:line="252" w:lineRule="auto"/>
        <w:ind w:left="1128" w:right="1416" w:firstLine="453"/>
        <w:jc w:val="both"/>
      </w:pPr>
      <w:r>
        <w:rPr/>
        <w:t>Nel settore dello spettacolo e del cinema e dell’audiovisivo, proseguiranno gli sforzi per la promozione della produzione artistica nazionale e l’attrattività del comparto produttivo a livello internazionale.</w:t>
      </w:r>
    </w:p>
    <w:p>
      <w:pPr>
        <w:pStyle w:val="BodyText"/>
        <w:spacing w:line="249" w:lineRule="auto" w:before="1"/>
        <w:ind w:left="1128" w:right="1416" w:firstLine="453"/>
        <w:jc w:val="both"/>
      </w:pPr>
      <w:r>
        <w:rPr/>
        <w:t>Si intende, inoltre, individuare apposite misure ed azioni, oltre a quelle di natura fiscale già esistenti, dedicate al settore delle imprese culturali e creative.</w:t>
      </w:r>
    </w:p>
    <w:p>
      <w:pPr>
        <w:pStyle w:val="BodyText"/>
        <w:spacing w:line="252" w:lineRule="auto" w:before="4"/>
        <w:ind w:left="1128" w:right="1414" w:firstLine="453"/>
        <w:jc w:val="both"/>
      </w:pPr>
      <w:r>
        <w:rPr/>
        <w:t>Inoltre, Parlamento e Governo saranno impegnati su due deleghe di primaria importanza. Si tratta della delega in materia di spettacolo e della delega per la modifica del Codice dei beni culturali e del paesaggio.</w:t>
      </w:r>
    </w:p>
    <w:p>
      <w:pPr>
        <w:pStyle w:val="BodyText"/>
        <w:spacing w:line="252" w:lineRule="auto"/>
        <w:ind w:left="1128" w:right="1411" w:firstLine="453"/>
        <w:jc w:val="both"/>
      </w:pPr>
      <w:r>
        <w:rPr/>
        <w:t>Per quanto riguarda il settore del turismo, si evidenzia che a settembre 2019 la competenza in tale materia è stata attribuita al Ministero per i beni e le attività culturali. Nella programmazione finanziaria relativa a tale settore, si partirà dalle linee di attività contenute nel Piano Strategico del Turismo 2017-2022 per la definizione di un quadro più ampio e articolato per il </w:t>
      </w:r>
      <w:r>
        <w:rPr>
          <w:i/>
        </w:rPr>
        <w:t>Made in Italy</w:t>
      </w:r>
      <w:r>
        <w:rPr/>
        <w:t>, anche valorizzando l’integrazione con le politiche agricole, con riferimento in particolare al turismo enogastronomico, ma riprendendo e rafforzando le linee di azione sul turismo culturale, che continua a rappresentare una quota rilevante - e in crescita</w:t>
      </w:r>
    </w:p>
    <w:p>
      <w:pPr>
        <w:pStyle w:val="BodyText"/>
        <w:spacing w:line="252" w:lineRule="auto" w:before="2"/>
        <w:ind w:left="1128" w:right="1413"/>
        <w:jc w:val="both"/>
      </w:pPr>
      <w:r>
        <w:rPr/>
        <w:t>- dell’industria turistica nazionale. È essenziale realizzare un migliore coordinamento</w:t>
      </w:r>
      <w:r>
        <w:rPr>
          <w:spacing w:val="-6"/>
        </w:rPr>
        <w:t> </w:t>
      </w:r>
      <w:r>
        <w:rPr/>
        <w:t>delle</w:t>
      </w:r>
      <w:r>
        <w:rPr>
          <w:spacing w:val="-5"/>
        </w:rPr>
        <w:t> </w:t>
      </w:r>
      <w:r>
        <w:rPr/>
        <w:t>responsabilità</w:t>
      </w:r>
      <w:r>
        <w:rPr>
          <w:spacing w:val="-5"/>
        </w:rPr>
        <w:t> </w:t>
      </w:r>
      <w:r>
        <w:rPr/>
        <w:t>e</w:t>
      </w:r>
      <w:r>
        <w:rPr>
          <w:spacing w:val="-5"/>
        </w:rPr>
        <w:t> </w:t>
      </w:r>
      <w:r>
        <w:rPr/>
        <w:t>delle</w:t>
      </w:r>
      <w:r>
        <w:rPr>
          <w:spacing w:val="-5"/>
        </w:rPr>
        <w:t> </w:t>
      </w:r>
      <w:r>
        <w:rPr/>
        <w:t>funzioni</w:t>
      </w:r>
      <w:r>
        <w:rPr>
          <w:spacing w:val="-5"/>
        </w:rPr>
        <w:t> </w:t>
      </w:r>
      <w:r>
        <w:rPr/>
        <w:t>tra</w:t>
      </w:r>
      <w:r>
        <w:rPr>
          <w:spacing w:val="-5"/>
        </w:rPr>
        <w:t> </w:t>
      </w:r>
      <w:r>
        <w:rPr/>
        <w:t>Stato,</w:t>
      </w:r>
      <w:r>
        <w:rPr>
          <w:spacing w:val="-4"/>
        </w:rPr>
        <w:t> </w:t>
      </w:r>
      <w:r>
        <w:rPr/>
        <w:t>Regioni</w:t>
      </w:r>
      <w:r>
        <w:rPr>
          <w:spacing w:val="-5"/>
        </w:rPr>
        <w:t> </w:t>
      </w:r>
      <w:r>
        <w:rPr/>
        <w:t>ed</w:t>
      </w:r>
      <w:r>
        <w:rPr>
          <w:spacing w:val="-8"/>
        </w:rPr>
        <w:t> </w:t>
      </w:r>
      <w:r>
        <w:rPr/>
        <w:t>Enti</w:t>
      </w:r>
      <w:r>
        <w:rPr>
          <w:spacing w:val="-6"/>
        </w:rPr>
        <w:t> </w:t>
      </w:r>
      <w:r>
        <w:rPr/>
        <w:t>locali per la valorizzazione turistica del patrimonio culturale e naturalistico e rafforzare il</w:t>
      </w:r>
      <w:r>
        <w:rPr>
          <w:spacing w:val="-6"/>
        </w:rPr>
        <w:t> </w:t>
      </w:r>
      <w:r>
        <w:rPr/>
        <w:t>ruolo</w:t>
      </w:r>
      <w:r>
        <w:rPr>
          <w:spacing w:val="-5"/>
        </w:rPr>
        <w:t> </w:t>
      </w:r>
      <w:r>
        <w:rPr/>
        <w:t>di</w:t>
      </w:r>
      <w:r>
        <w:rPr>
          <w:spacing w:val="-5"/>
        </w:rPr>
        <w:t> </w:t>
      </w:r>
      <w:r>
        <w:rPr/>
        <w:t>ENIT,</w:t>
      </w:r>
      <w:r>
        <w:rPr>
          <w:spacing w:val="-3"/>
        </w:rPr>
        <w:t> </w:t>
      </w:r>
      <w:r>
        <w:rPr/>
        <w:t>l’Agenzia</w:t>
      </w:r>
      <w:r>
        <w:rPr>
          <w:spacing w:val="-5"/>
        </w:rPr>
        <w:t> </w:t>
      </w:r>
      <w:r>
        <w:rPr/>
        <w:t>Italiana</w:t>
      </w:r>
      <w:r>
        <w:rPr>
          <w:spacing w:val="-5"/>
        </w:rPr>
        <w:t> </w:t>
      </w:r>
      <w:r>
        <w:rPr/>
        <w:t>del</w:t>
      </w:r>
      <w:r>
        <w:rPr>
          <w:spacing w:val="-4"/>
        </w:rPr>
        <w:t> </w:t>
      </w:r>
      <w:r>
        <w:rPr/>
        <w:t>Turismo,</w:t>
      </w:r>
      <w:r>
        <w:rPr>
          <w:spacing w:val="-4"/>
        </w:rPr>
        <w:t> </w:t>
      </w:r>
      <w:r>
        <w:rPr/>
        <w:t>per</w:t>
      </w:r>
      <w:r>
        <w:rPr>
          <w:spacing w:val="-4"/>
        </w:rPr>
        <w:t> </w:t>
      </w:r>
      <w:r>
        <w:rPr/>
        <w:t>costruire</w:t>
      </w:r>
      <w:r>
        <w:rPr>
          <w:spacing w:val="-7"/>
        </w:rPr>
        <w:t> </w:t>
      </w:r>
      <w:r>
        <w:rPr/>
        <w:t>un</w:t>
      </w:r>
      <w:r>
        <w:rPr>
          <w:spacing w:val="-5"/>
        </w:rPr>
        <w:t> </w:t>
      </w:r>
      <w:r>
        <w:rPr/>
        <w:t>sistema</w:t>
      </w:r>
      <w:r>
        <w:rPr>
          <w:spacing w:val="-5"/>
        </w:rPr>
        <w:t> </w:t>
      </w:r>
      <w:r>
        <w:rPr/>
        <w:t>organico</w:t>
      </w:r>
      <w:r>
        <w:rPr>
          <w:spacing w:val="-4"/>
        </w:rPr>
        <w:t> </w:t>
      </w:r>
      <w:r>
        <w:rPr/>
        <w:t>di promozione del sistema-Italia, superando la frammentazione delle proposte che possono rendere meno attrattivo all’estero il</w:t>
      </w:r>
      <w:r>
        <w:rPr>
          <w:spacing w:val="-8"/>
        </w:rPr>
        <w:t> </w:t>
      </w:r>
      <w:r>
        <w:rPr/>
        <w:t>Paese.</w:t>
      </w:r>
    </w:p>
    <w:p>
      <w:pPr>
        <w:pStyle w:val="BodyText"/>
        <w:spacing w:before="8"/>
        <w:rPr>
          <w:sz w:val="33"/>
        </w:rPr>
      </w:pPr>
    </w:p>
    <w:p>
      <w:pPr>
        <w:pStyle w:val="Heading5"/>
        <w:jc w:val="left"/>
      </w:pPr>
      <w:r>
        <w:rPr/>
        <w:t>Difesa</w:t>
      </w:r>
    </w:p>
    <w:p>
      <w:pPr>
        <w:spacing w:line="232" w:lineRule="auto" w:before="156"/>
        <w:ind w:left="1128" w:right="1412" w:firstLine="0"/>
        <w:jc w:val="both"/>
        <w:rPr>
          <w:rFonts w:ascii="Franklin Gothic Book"/>
          <w:sz w:val="20"/>
        </w:rPr>
      </w:pPr>
      <w:r>
        <w:rPr/>
        <w:pict>
          <v:line style="position:absolute;mso-position-horizontal-relative:page;mso-position-vertical-relative:paragraph;z-index:-251419648;mso-wrap-distance-left:0;mso-wrap-distance-right:0" from="111.980003pt,79.570076pt" to="525.930003pt,79.570076pt" stroked="true" strokeweight="1.44pt" strokecolor="#006247">
            <v:stroke dashstyle="solid"/>
            <w10:wrap type="topAndBottom"/>
          </v:line>
        </w:pict>
      </w:r>
      <w:r>
        <w:rPr>
          <w:rFonts w:ascii="Franklin Gothic Heavy"/>
          <w:b/>
          <w:color w:val="006247"/>
          <w:sz w:val="20"/>
        </w:rPr>
        <w:t>LINEE</w:t>
      </w:r>
      <w:r>
        <w:rPr>
          <w:rFonts w:ascii="Franklin Gothic Heavy"/>
          <w:b/>
          <w:color w:val="006247"/>
          <w:spacing w:val="-10"/>
          <w:sz w:val="20"/>
        </w:rPr>
        <w:t> </w:t>
      </w:r>
      <w:r>
        <w:rPr>
          <w:rFonts w:ascii="Franklin Gothic Heavy"/>
          <w:b/>
          <w:color w:val="006247"/>
          <w:sz w:val="20"/>
        </w:rPr>
        <w:t>PROGRAMMATICHE:</w:t>
      </w:r>
      <w:r>
        <w:rPr>
          <w:rFonts w:ascii="Franklin Gothic Heavy"/>
          <w:b/>
          <w:color w:val="006247"/>
          <w:spacing w:val="-3"/>
          <w:sz w:val="20"/>
        </w:rPr>
        <w:t> </w:t>
      </w:r>
      <w:r>
        <w:rPr>
          <w:rFonts w:ascii="Franklin Gothic Book"/>
          <w:sz w:val="20"/>
        </w:rPr>
        <w:t>La</w:t>
      </w:r>
      <w:r>
        <w:rPr>
          <w:rFonts w:ascii="Franklin Gothic Book"/>
          <w:spacing w:val="-8"/>
          <w:sz w:val="20"/>
        </w:rPr>
        <w:t> </w:t>
      </w:r>
      <w:r>
        <w:rPr>
          <w:rFonts w:ascii="Franklin Gothic Book"/>
          <w:sz w:val="20"/>
        </w:rPr>
        <w:t>tutela</w:t>
      </w:r>
      <w:r>
        <w:rPr>
          <w:rFonts w:ascii="Franklin Gothic Book"/>
          <w:spacing w:val="-8"/>
          <w:sz w:val="20"/>
        </w:rPr>
        <w:t> </w:t>
      </w:r>
      <w:r>
        <w:rPr>
          <w:rFonts w:ascii="Franklin Gothic Book"/>
          <w:sz w:val="20"/>
        </w:rPr>
        <w:t>degli</w:t>
      </w:r>
      <w:r>
        <w:rPr>
          <w:rFonts w:ascii="Franklin Gothic Book"/>
          <w:spacing w:val="-8"/>
          <w:sz w:val="20"/>
        </w:rPr>
        <w:t> </w:t>
      </w:r>
      <w:r>
        <w:rPr>
          <w:rFonts w:ascii="Franklin Gothic Book"/>
          <w:sz w:val="20"/>
        </w:rPr>
        <w:t>interessi</w:t>
      </w:r>
      <w:r>
        <w:rPr>
          <w:rFonts w:ascii="Franklin Gothic Book"/>
          <w:spacing w:val="-8"/>
          <w:sz w:val="20"/>
        </w:rPr>
        <w:t> </w:t>
      </w:r>
      <w:r>
        <w:rPr>
          <w:rFonts w:ascii="Franklin Gothic Book"/>
          <w:sz w:val="20"/>
        </w:rPr>
        <w:t>strategici</w:t>
      </w:r>
      <w:r>
        <w:rPr>
          <w:rFonts w:ascii="Franklin Gothic Book"/>
          <w:spacing w:val="-8"/>
          <w:sz w:val="20"/>
        </w:rPr>
        <w:t> </w:t>
      </w:r>
      <w:r>
        <w:rPr>
          <w:rFonts w:ascii="Franklin Gothic Book"/>
          <w:sz w:val="20"/>
        </w:rPr>
        <w:t>nazionali</w:t>
      </w:r>
      <w:r>
        <w:rPr>
          <w:rFonts w:ascii="Franklin Gothic Book"/>
          <w:spacing w:val="-9"/>
          <w:sz w:val="20"/>
        </w:rPr>
        <w:t> </w:t>
      </w:r>
      <w:r>
        <w:rPr>
          <w:rFonts w:ascii="Franklin Gothic Book"/>
          <w:sz w:val="20"/>
        </w:rPr>
        <w:t>nell'attuale</w:t>
      </w:r>
      <w:r>
        <w:rPr>
          <w:rFonts w:ascii="Franklin Gothic Book"/>
          <w:spacing w:val="-8"/>
          <w:sz w:val="20"/>
        </w:rPr>
        <w:t> </w:t>
      </w:r>
      <w:r>
        <w:rPr>
          <w:rFonts w:ascii="Franklin Gothic Book"/>
          <w:sz w:val="20"/>
        </w:rPr>
        <w:t>contesto</w:t>
      </w:r>
      <w:r>
        <w:rPr>
          <w:rFonts w:ascii="Franklin Gothic Book"/>
          <w:spacing w:val="-8"/>
          <w:sz w:val="20"/>
        </w:rPr>
        <w:t> </w:t>
      </w:r>
      <w:r>
        <w:rPr>
          <w:rFonts w:ascii="Franklin Gothic Book"/>
          <w:sz w:val="20"/>
        </w:rPr>
        <w:t>geo- strategico di riferimento ha fatto avviare, in questi ultimi anni una trasformazione dello strumento Militare allo scopo di assolvere pienamente ed efficacemente ai compiti istituzionali previsti dall'ordinamento</w:t>
      </w:r>
      <w:r>
        <w:rPr>
          <w:rFonts w:ascii="Franklin Gothic Book"/>
          <w:spacing w:val="-6"/>
          <w:sz w:val="20"/>
        </w:rPr>
        <w:t> </w:t>
      </w:r>
      <w:r>
        <w:rPr>
          <w:rFonts w:ascii="Franklin Gothic Book"/>
          <w:sz w:val="20"/>
        </w:rPr>
        <w:t>attraverso</w:t>
      </w:r>
      <w:r>
        <w:rPr>
          <w:rFonts w:ascii="Franklin Gothic Book"/>
          <w:spacing w:val="-6"/>
          <w:sz w:val="20"/>
        </w:rPr>
        <w:t> </w:t>
      </w:r>
      <w:r>
        <w:rPr>
          <w:rFonts w:ascii="Franklin Gothic Book"/>
          <w:sz w:val="20"/>
        </w:rPr>
        <w:t>l'impiego</w:t>
      </w:r>
      <w:r>
        <w:rPr>
          <w:rFonts w:ascii="Franklin Gothic Book"/>
          <w:spacing w:val="-5"/>
          <w:sz w:val="20"/>
        </w:rPr>
        <w:t> </w:t>
      </w:r>
      <w:r>
        <w:rPr>
          <w:rFonts w:ascii="Franklin Gothic Book"/>
          <w:sz w:val="20"/>
        </w:rPr>
        <w:t>di</w:t>
      </w:r>
      <w:r>
        <w:rPr>
          <w:rFonts w:ascii="Franklin Gothic Book"/>
          <w:spacing w:val="-6"/>
          <w:sz w:val="20"/>
        </w:rPr>
        <w:t> </w:t>
      </w:r>
      <w:r>
        <w:rPr>
          <w:rFonts w:ascii="Franklin Gothic Book"/>
          <w:sz w:val="20"/>
        </w:rPr>
        <w:t>forze</w:t>
      </w:r>
      <w:r>
        <w:rPr>
          <w:rFonts w:ascii="Franklin Gothic Book"/>
          <w:spacing w:val="-6"/>
          <w:sz w:val="20"/>
        </w:rPr>
        <w:t> </w:t>
      </w:r>
      <w:r>
        <w:rPr>
          <w:rFonts w:ascii="Franklin Gothic Book"/>
          <w:sz w:val="20"/>
        </w:rPr>
        <w:t>armate</w:t>
      </w:r>
      <w:r>
        <w:rPr>
          <w:rFonts w:ascii="Franklin Gothic Book"/>
          <w:spacing w:val="-6"/>
          <w:sz w:val="20"/>
        </w:rPr>
        <w:t> </w:t>
      </w:r>
      <w:r>
        <w:rPr>
          <w:rFonts w:ascii="Franklin Gothic Book"/>
          <w:sz w:val="20"/>
        </w:rPr>
        <w:t>moderne</w:t>
      </w:r>
      <w:r>
        <w:rPr>
          <w:rFonts w:ascii="Franklin Gothic Book"/>
          <w:spacing w:val="-4"/>
          <w:sz w:val="20"/>
        </w:rPr>
        <w:t> </w:t>
      </w:r>
      <w:r>
        <w:rPr>
          <w:rFonts w:ascii="Franklin Gothic Book"/>
          <w:sz w:val="20"/>
        </w:rPr>
        <w:t>a</w:t>
      </w:r>
      <w:r>
        <w:rPr>
          <w:rFonts w:ascii="Franklin Gothic Book"/>
          <w:spacing w:val="-5"/>
          <w:sz w:val="20"/>
        </w:rPr>
        <w:t> </w:t>
      </w:r>
      <w:r>
        <w:rPr>
          <w:rFonts w:ascii="Franklin Gothic Book"/>
          <w:sz w:val="20"/>
        </w:rPr>
        <w:t>connotazione</w:t>
      </w:r>
      <w:r>
        <w:rPr>
          <w:rFonts w:ascii="Franklin Gothic Book"/>
          <w:spacing w:val="-5"/>
          <w:sz w:val="20"/>
        </w:rPr>
        <w:t> </w:t>
      </w:r>
      <w:r>
        <w:rPr>
          <w:rFonts w:ascii="Franklin Gothic Book"/>
          <w:sz w:val="20"/>
        </w:rPr>
        <w:t>interforze,</w:t>
      </w:r>
      <w:r>
        <w:rPr>
          <w:rFonts w:ascii="Franklin Gothic Book"/>
          <w:spacing w:val="-5"/>
          <w:sz w:val="20"/>
        </w:rPr>
        <w:t> </w:t>
      </w:r>
      <w:r>
        <w:rPr>
          <w:rFonts w:ascii="Franklin Gothic Book"/>
          <w:sz w:val="20"/>
        </w:rPr>
        <w:t>in</w:t>
      </w:r>
      <w:r>
        <w:rPr>
          <w:rFonts w:ascii="Franklin Gothic Book"/>
          <w:spacing w:val="-6"/>
          <w:sz w:val="20"/>
        </w:rPr>
        <w:t> </w:t>
      </w:r>
      <w:r>
        <w:rPr>
          <w:rFonts w:ascii="Franklin Gothic Book"/>
          <w:sz w:val="20"/>
        </w:rPr>
        <w:t>grado di operare in maniera credibile e sinergica con gli alleati europei e della NATO nei contesti internazionali di</w:t>
      </w:r>
      <w:r>
        <w:rPr>
          <w:rFonts w:ascii="Franklin Gothic Book"/>
          <w:spacing w:val="-3"/>
          <w:sz w:val="20"/>
        </w:rPr>
        <w:t> </w:t>
      </w:r>
      <w:r>
        <w:rPr>
          <w:rFonts w:ascii="Franklin Gothic Book"/>
          <w:sz w:val="20"/>
        </w:rPr>
        <w:t>crisi</w:t>
      </w:r>
      <w:r>
        <w:rPr>
          <w:rFonts w:ascii="Franklin Gothic Book"/>
          <w:position w:val="5"/>
          <w:sz w:val="13"/>
        </w:rPr>
        <w:t>28</w:t>
      </w:r>
      <w:r>
        <w:rPr>
          <w:rFonts w:ascii="Franklin Gothic Book"/>
          <w:sz w:val="20"/>
        </w:rPr>
        <w:t>.</w:t>
      </w:r>
    </w:p>
    <w:p>
      <w:pPr>
        <w:pStyle w:val="BodyText"/>
        <w:spacing w:before="6"/>
        <w:rPr>
          <w:rFonts w:ascii="Franklin Gothic Book"/>
          <w:sz w:val="11"/>
        </w:rPr>
      </w:pPr>
    </w:p>
    <w:p>
      <w:pPr>
        <w:pStyle w:val="BodyText"/>
        <w:spacing w:line="252" w:lineRule="auto" w:before="101"/>
        <w:ind w:left="1128" w:right="1410" w:firstLine="453"/>
        <w:jc w:val="both"/>
      </w:pPr>
      <w:r>
        <w:rPr/>
        <w:t>Il rinnovamento e lo sviluppo delle capacità militari saranno fondati su un attento bilanciamento della dimensione quantitativa e qualitativa delle forze armate. Sarà necessario sviluppare sistemi ad alta tecnologia per la difesa, caratterizzati da successive fasi progettuali di lunga durata. La sicurezza cibernetica delle reti di comunicazione e di comando e controllo verrà potenziata e</w:t>
      </w:r>
      <w:r>
        <w:rPr>
          <w:spacing w:val="28"/>
        </w:rPr>
        <w:t> </w:t>
      </w:r>
      <w:r>
        <w:rPr/>
        <w:t>ammodernata,</w:t>
      </w:r>
      <w:r>
        <w:rPr>
          <w:spacing w:val="30"/>
        </w:rPr>
        <w:t> </w:t>
      </w:r>
      <w:r>
        <w:rPr/>
        <w:t>in</w:t>
      </w:r>
      <w:r>
        <w:rPr>
          <w:spacing w:val="28"/>
        </w:rPr>
        <w:t> </w:t>
      </w:r>
      <w:r>
        <w:rPr/>
        <w:t>linea</w:t>
      </w:r>
      <w:r>
        <w:rPr>
          <w:spacing w:val="29"/>
        </w:rPr>
        <w:t> </w:t>
      </w:r>
      <w:r>
        <w:rPr/>
        <w:t>con</w:t>
      </w:r>
      <w:r>
        <w:rPr>
          <w:spacing w:val="29"/>
        </w:rPr>
        <w:t> </w:t>
      </w:r>
      <w:r>
        <w:rPr/>
        <w:t>le</w:t>
      </w:r>
      <w:r>
        <w:rPr>
          <w:spacing w:val="26"/>
        </w:rPr>
        <w:t> </w:t>
      </w:r>
      <w:r>
        <w:rPr/>
        <w:t>iniziative</w:t>
      </w:r>
      <w:r>
        <w:rPr>
          <w:spacing w:val="29"/>
        </w:rPr>
        <w:t> </w:t>
      </w:r>
      <w:r>
        <w:rPr/>
        <w:t>del</w:t>
      </w:r>
      <w:r>
        <w:rPr>
          <w:spacing w:val="24"/>
        </w:rPr>
        <w:t> </w:t>
      </w:r>
      <w:r>
        <w:rPr/>
        <w:t>Governo</w:t>
      </w:r>
      <w:r>
        <w:rPr>
          <w:spacing w:val="27"/>
        </w:rPr>
        <w:t> </w:t>
      </w:r>
      <w:r>
        <w:rPr/>
        <w:t>in</w:t>
      </w:r>
      <w:r>
        <w:rPr>
          <w:spacing w:val="31"/>
        </w:rPr>
        <w:t> </w:t>
      </w:r>
      <w:r>
        <w:rPr/>
        <w:t>tema</w:t>
      </w:r>
      <w:r>
        <w:rPr>
          <w:spacing w:val="29"/>
        </w:rPr>
        <w:t> </w:t>
      </w:r>
      <w:r>
        <w:rPr/>
        <w:t>di</w:t>
      </w:r>
      <w:r>
        <w:rPr>
          <w:spacing w:val="28"/>
        </w:rPr>
        <w:t> </w:t>
      </w:r>
      <w:r>
        <w:rPr/>
        <w:t>innovazione</w:t>
      </w:r>
      <w:r>
        <w:rPr>
          <w:spacing w:val="29"/>
        </w:rPr>
        <w:t> </w:t>
      </w:r>
      <w:r>
        <w:rPr/>
        <w:t>e</w:t>
      </w:r>
    </w:p>
    <w:p>
      <w:pPr>
        <w:pStyle w:val="BodyText"/>
        <w:rPr>
          <w:sz w:val="20"/>
        </w:rPr>
      </w:pPr>
    </w:p>
    <w:p>
      <w:pPr>
        <w:pStyle w:val="BodyText"/>
        <w:rPr>
          <w:sz w:val="20"/>
        </w:rPr>
      </w:pPr>
    </w:p>
    <w:p>
      <w:pPr>
        <w:pStyle w:val="BodyText"/>
        <w:rPr>
          <w:sz w:val="20"/>
        </w:rPr>
      </w:pPr>
    </w:p>
    <w:p>
      <w:pPr>
        <w:pStyle w:val="BodyText"/>
        <w:spacing w:before="6"/>
        <w:rPr>
          <w:sz w:val="28"/>
        </w:rPr>
      </w:pPr>
      <w:r>
        <w:rPr/>
        <w:pict>
          <v:group style="position:absolute;margin-left:136.100006pt;margin-top:18.553673pt;width:21.4pt;height:2.15pt;mso-position-horizontal-relative:page;mso-position-vertical-relative:paragraph;z-index:-251418624;mso-wrap-distance-left:0;mso-wrap-distance-right:0" coordorigin="2722,371" coordsize="428,43">
            <v:line style="position:absolute" from="2722,392" to="3149,392" stroked="true" strokeweight="2.050pt" strokecolor="#aaaaaa">
              <v:stroke dashstyle="solid"/>
            </v:line>
            <v:rect style="position:absolute;left:2722;top:373;width:5;height:5" filled="true" fillcolor="#9f9f9f" stroked="false">
              <v:fill type="solid"/>
            </v:rect>
            <v:rect style="position:absolute;left:2722;top:373;width:5;height:5" filled="true" fillcolor="#9f9f9f" stroked="false">
              <v:fill type="solid"/>
            </v:rect>
            <v:line style="position:absolute" from="2727,376" to="3144,376" stroked="true" strokeweight=".23999pt" strokecolor="#9f9f9f">
              <v:stroke dashstyle="solid"/>
            </v:line>
            <v:rect style="position:absolute;left:3144;top:373;width:5;height:5" filled="true" fillcolor="#e2e2e2" stroked="false">
              <v:fill type="solid"/>
            </v:rect>
            <v:rect style="position:absolute;left:3144;top:373;width:5;height:5" filled="true" fillcolor="#9f9f9f" stroked="false">
              <v:fill type="solid"/>
            </v:rect>
            <v:rect style="position:absolute;left:2722;top:378;width:5;height:32" filled="true" fillcolor="#9f9f9f" stroked="false">
              <v:fill type="solid"/>
            </v:rect>
            <v:rect style="position:absolute;left:3144;top:378;width:5;height:32" filled="true" fillcolor="#e2e2e2" stroked="false">
              <v:fill type="solid"/>
            </v:rect>
            <v:rect style="position:absolute;left:2722;top:409;width:5;height:5" filled="true" fillcolor="#9f9f9f" stroked="false">
              <v:fill type="solid"/>
            </v:rect>
            <v:rect style="position:absolute;left:2722;top:409;width:5;height:5" filled="true" fillcolor="#e2e2e2" stroked="false">
              <v:fill type="solid"/>
            </v:rect>
            <v:line style="position:absolute" from="2727,412" to="3144,412" stroked="true" strokeweight=".23999pt" strokecolor="#e2e2e2">
              <v:stroke dashstyle="solid"/>
            </v:line>
            <v:rect style="position:absolute;left:3144;top:409;width:5;height:5" filled="true" fillcolor="#e2e2e2" stroked="false">
              <v:fill type="solid"/>
            </v:rect>
            <v:rect style="position:absolute;left:3144;top:409;width:5;height:5" filled="true" fillcolor="#e2e2e2" stroked="false">
              <v:fill type="solid"/>
            </v:rect>
            <w10:wrap type="topAndBottom"/>
          </v:group>
        </w:pict>
      </w:r>
    </w:p>
    <w:p>
      <w:pPr>
        <w:spacing w:before="18"/>
        <w:ind w:left="1128" w:right="1411" w:firstLine="453"/>
        <w:jc w:val="both"/>
        <w:rPr>
          <w:sz w:val="16"/>
        </w:rPr>
      </w:pPr>
      <w:r>
        <w:rPr>
          <w:position w:val="6"/>
          <w:sz w:val="10"/>
        </w:rPr>
        <w:t>28</w:t>
      </w:r>
      <w:r>
        <w:rPr>
          <w:spacing w:val="5"/>
          <w:position w:val="6"/>
          <w:sz w:val="10"/>
        </w:rPr>
        <w:t> </w:t>
      </w:r>
      <w:r>
        <w:rPr>
          <w:sz w:val="16"/>
        </w:rPr>
        <w:t>L'intendimento</w:t>
      </w:r>
      <w:r>
        <w:rPr>
          <w:spacing w:val="-12"/>
          <w:sz w:val="16"/>
        </w:rPr>
        <w:t> </w:t>
      </w:r>
      <w:r>
        <w:rPr>
          <w:sz w:val="16"/>
        </w:rPr>
        <w:t>italiano,</w:t>
      </w:r>
      <w:r>
        <w:rPr>
          <w:spacing w:val="-12"/>
          <w:sz w:val="16"/>
        </w:rPr>
        <w:t> </w:t>
      </w:r>
      <w:r>
        <w:rPr>
          <w:sz w:val="16"/>
        </w:rPr>
        <w:t>manifestato</w:t>
      </w:r>
      <w:r>
        <w:rPr>
          <w:spacing w:val="-12"/>
          <w:sz w:val="16"/>
        </w:rPr>
        <w:t> </w:t>
      </w:r>
      <w:r>
        <w:rPr>
          <w:sz w:val="16"/>
        </w:rPr>
        <w:t>di</w:t>
      </w:r>
      <w:r>
        <w:rPr>
          <w:spacing w:val="-13"/>
          <w:sz w:val="16"/>
        </w:rPr>
        <w:t> </w:t>
      </w:r>
      <w:r>
        <w:rPr>
          <w:sz w:val="16"/>
        </w:rPr>
        <w:t>recente,</w:t>
      </w:r>
      <w:r>
        <w:rPr>
          <w:spacing w:val="-12"/>
          <w:sz w:val="16"/>
        </w:rPr>
        <w:t> </w:t>
      </w:r>
      <w:r>
        <w:rPr>
          <w:sz w:val="16"/>
        </w:rPr>
        <w:t>di</w:t>
      </w:r>
      <w:r>
        <w:rPr>
          <w:spacing w:val="-13"/>
          <w:sz w:val="16"/>
        </w:rPr>
        <w:t> </w:t>
      </w:r>
      <w:r>
        <w:rPr>
          <w:sz w:val="16"/>
        </w:rPr>
        <w:t>partecipare</w:t>
      </w:r>
      <w:r>
        <w:rPr>
          <w:spacing w:val="-11"/>
          <w:sz w:val="16"/>
        </w:rPr>
        <w:t> </w:t>
      </w:r>
      <w:r>
        <w:rPr>
          <w:sz w:val="16"/>
        </w:rPr>
        <w:t>alla</w:t>
      </w:r>
      <w:r>
        <w:rPr>
          <w:spacing w:val="-16"/>
          <w:sz w:val="16"/>
        </w:rPr>
        <w:t> </w:t>
      </w:r>
      <w:r>
        <w:rPr>
          <w:sz w:val="16"/>
        </w:rPr>
        <w:t>"</w:t>
      </w:r>
      <w:r>
        <w:rPr>
          <w:i/>
          <w:sz w:val="16"/>
        </w:rPr>
        <w:t>European</w:t>
      </w:r>
      <w:r>
        <w:rPr>
          <w:i/>
          <w:spacing w:val="-12"/>
          <w:sz w:val="16"/>
        </w:rPr>
        <w:t> </w:t>
      </w:r>
      <w:r>
        <w:rPr>
          <w:i/>
          <w:sz w:val="16"/>
        </w:rPr>
        <w:t>Intervention</w:t>
      </w:r>
      <w:r>
        <w:rPr>
          <w:i/>
          <w:spacing w:val="-11"/>
          <w:sz w:val="16"/>
        </w:rPr>
        <w:t> </w:t>
      </w:r>
      <w:r>
        <w:rPr>
          <w:i/>
          <w:sz w:val="16"/>
        </w:rPr>
        <w:t>Initiative</w:t>
      </w:r>
      <w:r>
        <w:rPr>
          <w:i/>
          <w:spacing w:val="-13"/>
          <w:sz w:val="16"/>
        </w:rPr>
        <w:t> </w:t>
      </w:r>
      <w:r>
        <w:rPr>
          <w:sz w:val="16"/>
        </w:rPr>
        <w:t>-</w:t>
      </w:r>
      <w:r>
        <w:rPr>
          <w:spacing w:val="-11"/>
          <w:sz w:val="16"/>
        </w:rPr>
        <w:t> </w:t>
      </w:r>
      <w:r>
        <w:rPr>
          <w:sz w:val="16"/>
        </w:rPr>
        <w:t>E12" per</w:t>
      </w:r>
      <w:r>
        <w:rPr>
          <w:spacing w:val="-6"/>
          <w:sz w:val="16"/>
        </w:rPr>
        <w:t> </w:t>
      </w:r>
      <w:r>
        <w:rPr>
          <w:sz w:val="16"/>
        </w:rPr>
        <w:t>una</w:t>
      </w:r>
      <w:r>
        <w:rPr>
          <w:spacing w:val="-6"/>
          <w:sz w:val="16"/>
        </w:rPr>
        <w:t> </w:t>
      </w:r>
      <w:r>
        <w:rPr>
          <w:sz w:val="16"/>
        </w:rPr>
        <w:t>estesa</w:t>
      </w:r>
      <w:r>
        <w:rPr>
          <w:spacing w:val="-7"/>
          <w:sz w:val="16"/>
        </w:rPr>
        <w:t> </w:t>
      </w:r>
      <w:r>
        <w:rPr>
          <w:sz w:val="16"/>
        </w:rPr>
        <w:t>cooperazione</w:t>
      </w:r>
      <w:r>
        <w:rPr>
          <w:spacing w:val="-4"/>
          <w:sz w:val="16"/>
        </w:rPr>
        <w:t> </w:t>
      </w:r>
      <w:r>
        <w:rPr>
          <w:sz w:val="16"/>
        </w:rPr>
        <w:t>europea</w:t>
      </w:r>
      <w:r>
        <w:rPr>
          <w:spacing w:val="-6"/>
          <w:sz w:val="16"/>
        </w:rPr>
        <w:t> </w:t>
      </w:r>
      <w:r>
        <w:rPr>
          <w:sz w:val="16"/>
        </w:rPr>
        <w:t>nella</w:t>
      </w:r>
      <w:r>
        <w:rPr>
          <w:spacing w:val="-7"/>
          <w:sz w:val="16"/>
        </w:rPr>
        <w:t> </w:t>
      </w:r>
      <w:r>
        <w:rPr>
          <w:sz w:val="16"/>
        </w:rPr>
        <w:t>difesa,</w:t>
      </w:r>
      <w:r>
        <w:rPr>
          <w:spacing w:val="-4"/>
          <w:sz w:val="16"/>
        </w:rPr>
        <w:t> </w:t>
      </w:r>
      <w:r>
        <w:rPr>
          <w:sz w:val="16"/>
        </w:rPr>
        <w:t>ispirato</w:t>
      </w:r>
      <w:r>
        <w:rPr>
          <w:spacing w:val="-5"/>
          <w:sz w:val="16"/>
        </w:rPr>
        <w:t> </w:t>
      </w:r>
      <w:r>
        <w:rPr>
          <w:sz w:val="16"/>
        </w:rPr>
        <w:t>alle</w:t>
      </w:r>
      <w:r>
        <w:rPr>
          <w:spacing w:val="-5"/>
          <w:sz w:val="16"/>
        </w:rPr>
        <w:t> </w:t>
      </w:r>
      <w:r>
        <w:rPr>
          <w:sz w:val="16"/>
        </w:rPr>
        <w:t>idee</w:t>
      </w:r>
      <w:r>
        <w:rPr>
          <w:spacing w:val="-6"/>
          <w:sz w:val="16"/>
        </w:rPr>
        <w:t> </w:t>
      </w:r>
      <w:r>
        <w:rPr>
          <w:sz w:val="16"/>
        </w:rPr>
        <w:t>di</w:t>
      </w:r>
      <w:r>
        <w:rPr>
          <w:spacing w:val="-6"/>
          <w:sz w:val="16"/>
        </w:rPr>
        <w:t> </w:t>
      </w:r>
      <w:r>
        <w:rPr>
          <w:sz w:val="16"/>
        </w:rPr>
        <w:t>‘interoperabilità</w:t>
      </w:r>
      <w:r>
        <w:rPr>
          <w:spacing w:val="-6"/>
          <w:sz w:val="16"/>
        </w:rPr>
        <w:t> </w:t>
      </w:r>
      <w:r>
        <w:rPr>
          <w:sz w:val="16"/>
        </w:rPr>
        <w:t>politica’</w:t>
      </w:r>
      <w:r>
        <w:rPr>
          <w:spacing w:val="-7"/>
          <w:sz w:val="16"/>
        </w:rPr>
        <w:t> </w:t>
      </w:r>
      <w:r>
        <w:rPr>
          <w:sz w:val="16"/>
        </w:rPr>
        <w:t>ed</w:t>
      </w:r>
      <w:r>
        <w:rPr>
          <w:spacing w:val="-7"/>
          <w:sz w:val="16"/>
        </w:rPr>
        <w:t> </w:t>
      </w:r>
      <w:r>
        <w:rPr>
          <w:sz w:val="16"/>
        </w:rPr>
        <w:t>‘anticipazione strategica’, costituisce un segno tangibile della consapevolezza del ruolo che l'Italia intende interpretare sullo scacchiere</w:t>
      </w:r>
      <w:r>
        <w:rPr>
          <w:spacing w:val="-5"/>
          <w:sz w:val="16"/>
        </w:rPr>
        <w:t> </w:t>
      </w:r>
      <w:r>
        <w:rPr>
          <w:sz w:val="16"/>
        </w:rPr>
        <w:t>internazionale</w:t>
      </w:r>
      <w:r>
        <w:rPr>
          <w:spacing w:val="-5"/>
          <w:sz w:val="16"/>
        </w:rPr>
        <w:t> </w:t>
      </w:r>
      <w:r>
        <w:rPr>
          <w:sz w:val="16"/>
        </w:rPr>
        <w:t>fornendo</w:t>
      </w:r>
      <w:r>
        <w:rPr>
          <w:spacing w:val="-6"/>
          <w:sz w:val="16"/>
        </w:rPr>
        <w:t> </w:t>
      </w:r>
      <w:r>
        <w:rPr>
          <w:sz w:val="16"/>
        </w:rPr>
        <w:t>la</w:t>
      </w:r>
      <w:r>
        <w:rPr>
          <w:spacing w:val="-7"/>
          <w:sz w:val="16"/>
        </w:rPr>
        <w:t> </w:t>
      </w:r>
      <w:r>
        <w:rPr>
          <w:sz w:val="16"/>
        </w:rPr>
        <w:t>propria</w:t>
      </w:r>
      <w:r>
        <w:rPr>
          <w:spacing w:val="-6"/>
          <w:sz w:val="16"/>
        </w:rPr>
        <w:t> </w:t>
      </w:r>
      <w:r>
        <w:rPr>
          <w:sz w:val="16"/>
        </w:rPr>
        <w:t>peculiare</w:t>
      </w:r>
      <w:r>
        <w:rPr>
          <w:spacing w:val="-5"/>
          <w:sz w:val="16"/>
        </w:rPr>
        <w:t> </w:t>
      </w:r>
      <w:r>
        <w:rPr>
          <w:sz w:val="16"/>
        </w:rPr>
        <w:t>competenza</w:t>
      </w:r>
      <w:r>
        <w:rPr>
          <w:spacing w:val="-7"/>
          <w:sz w:val="16"/>
        </w:rPr>
        <w:t> </w:t>
      </w:r>
      <w:r>
        <w:rPr>
          <w:sz w:val="16"/>
        </w:rPr>
        <w:t>nel</w:t>
      </w:r>
      <w:r>
        <w:rPr>
          <w:spacing w:val="-6"/>
          <w:sz w:val="16"/>
        </w:rPr>
        <w:t> </w:t>
      </w:r>
      <w:r>
        <w:rPr>
          <w:sz w:val="16"/>
        </w:rPr>
        <w:t>settore</w:t>
      </w:r>
      <w:r>
        <w:rPr>
          <w:spacing w:val="-5"/>
          <w:sz w:val="16"/>
        </w:rPr>
        <w:t> </w:t>
      </w:r>
      <w:r>
        <w:rPr>
          <w:sz w:val="16"/>
        </w:rPr>
        <w:t>della</w:t>
      </w:r>
      <w:r>
        <w:rPr>
          <w:spacing w:val="-6"/>
          <w:sz w:val="16"/>
        </w:rPr>
        <w:t> </w:t>
      </w:r>
      <w:r>
        <w:rPr>
          <w:sz w:val="16"/>
        </w:rPr>
        <w:t>sicurezza</w:t>
      </w:r>
      <w:r>
        <w:rPr>
          <w:spacing w:val="-7"/>
          <w:sz w:val="16"/>
        </w:rPr>
        <w:t> </w:t>
      </w:r>
      <w:r>
        <w:rPr>
          <w:sz w:val="16"/>
        </w:rPr>
        <w:t>regionale</w:t>
      </w:r>
      <w:r>
        <w:rPr>
          <w:spacing w:val="-5"/>
          <w:sz w:val="16"/>
        </w:rPr>
        <w:t> </w:t>
      </w:r>
      <w:r>
        <w:rPr>
          <w:sz w:val="16"/>
        </w:rPr>
        <w:t>dell'area mediterranea.</w:t>
      </w:r>
    </w:p>
    <w:p>
      <w:pPr>
        <w:spacing w:after="0"/>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spacing w:before="3"/>
        <w:rPr>
          <w:sz w:val="25"/>
        </w:rPr>
      </w:pPr>
    </w:p>
    <w:p>
      <w:pPr>
        <w:pStyle w:val="BodyText"/>
        <w:spacing w:line="252" w:lineRule="auto" w:before="101"/>
        <w:ind w:left="278" w:right="2265"/>
        <w:jc w:val="both"/>
      </w:pPr>
      <w:r>
        <w:rPr/>
        <w:t>digitalizzazione. Tutto ciò avrà importanti ricadute sullo sviluppo di nuove tecnologie, sulla competitività e sui livelli occupazionali del sistema Paese</w:t>
      </w:r>
      <w:r>
        <w:rPr>
          <w:vertAlign w:val="superscript"/>
        </w:rPr>
        <w:t>29</w:t>
      </w:r>
      <w:r>
        <w:rPr>
          <w:vertAlign w:val="baseline"/>
        </w:rPr>
        <w:t>.</w:t>
      </w:r>
    </w:p>
    <w:p>
      <w:pPr>
        <w:pStyle w:val="BodyText"/>
        <w:spacing w:line="252" w:lineRule="auto" w:before="2"/>
        <w:ind w:left="278" w:right="2262" w:firstLine="453"/>
        <w:jc w:val="both"/>
      </w:pPr>
      <w:r>
        <w:rPr/>
        <w:t>Massima</w:t>
      </w:r>
      <w:r>
        <w:rPr>
          <w:spacing w:val="-8"/>
        </w:rPr>
        <w:t> </w:t>
      </w:r>
      <w:r>
        <w:rPr/>
        <w:t>attenzione</w:t>
      </w:r>
      <w:r>
        <w:rPr>
          <w:spacing w:val="-8"/>
        </w:rPr>
        <w:t> </w:t>
      </w:r>
      <w:r>
        <w:rPr/>
        <w:t>continuerà</w:t>
      </w:r>
      <w:r>
        <w:rPr>
          <w:spacing w:val="-7"/>
        </w:rPr>
        <w:t> </w:t>
      </w:r>
      <w:r>
        <w:rPr/>
        <w:t>ad</w:t>
      </w:r>
      <w:r>
        <w:rPr>
          <w:spacing w:val="-8"/>
        </w:rPr>
        <w:t> </w:t>
      </w:r>
      <w:r>
        <w:rPr/>
        <w:t>essere</w:t>
      </w:r>
      <w:r>
        <w:rPr>
          <w:spacing w:val="-9"/>
        </w:rPr>
        <w:t> </w:t>
      </w:r>
      <w:r>
        <w:rPr/>
        <w:t>rivolta</w:t>
      </w:r>
      <w:r>
        <w:rPr>
          <w:spacing w:val="-8"/>
        </w:rPr>
        <w:t> </w:t>
      </w:r>
      <w:r>
        <w:rPr/>
        <w:t>al</w:t>
      </w:r>
      <w:r>
        <w:rPr>
          <w:spacing w:val="-8"/>
        </w:rPr>
        <w:t> </w:t>
      </w:r>
      <w:r>
        <w:rPr/>
        <w:t>personale,</w:t>
      </w:r>
      <w:r>
        <w:rPr>
          <w:spacing w:val="-7"/>
        </w:rPr>
        <w:t> </w:t>
      </w:r>
      <w:r>
        <w:rPr/>
        <w:t>militare</w:t>
      </w:r>
      <w:r>
        <w:rPr>
          <w:spacing w:val="-7"/>
        </w:rPr>
        <w:t> </w:t>
      </w:r>
      <w:r>
        <w:rPr/>
        <w:t>e</w:t>
      </w:r>
      <w:r>
        <w:rPr>
          <w:spacing w:val="-10"/>
        </w:rPr>
        <w:t> </w:t>
      </w:r>
      <w:r>
        <w:rPr/>
        <w:t>civile, che rappresenta la risorsa fondamentale della Difesa, proseguendo l'azione di salvaguardia della salute e la tutela della sicurezza, la valorizzazione della condizione e delle professionalità di tutte le categorie nonché la formazione e l'aggiornamento</w:t>
      </w:r>
      <w:r>
        <w:rPr>
          <w:spacing w:val="-2"/>
        </w:rPr>
        <w:t> </w:t>
      </w:r>
      <w:r>
        <w:rPr/>
        <w:t>professionale.</w:t>
      </w:r>
    </w:p>
    <w:p>
      <w:pPr>
        <w:pStyle w:val="BodyText"/>
        <w:spacing w:line="252" w:lineRule="auto"/>
        <w:ind w:left="278" w:right="2266" w:firstLine="453"/>
        <w:jc w:val="both"/>
      </w:pPr>
      <w:r>
        <w:rPr/>
        <w:t>Si procederà inoltre ad ammodernare e rinnovare le infrastrutture operative, logistiche ed alloggiative, anche sviluppando e migliorandone la sostenibilità energetica e ambientale.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0"/>
        </w:rPr>
      </w:pPr>
      <w:r>
        <w:rPr/>
        <w:pict>
          <v:group style="position:absolute;margin-left:93.599998pt;margin-top:8.160547pt;width:21.4pt;height:2.15pt;mso-position-horizontal-relative:page;mso-position-vertical-relative:paragraph;z-index:-251417600;mso-wrap-distance-left:0;mso-wrap-distance-right:0" coordorigin="1872,163" coordsize="428,43">
            <v:line style="position:absolute" from="1872,184" to="2299,184" stroked="true" strokeweight="2.050pt" strokecolor="#aaaaaa">
              <v:stroke dashstyle="solid"/>
            </v:line>
            <v:rect style="position:absolute;left:1872;top:165;width:5;height:5" filled="true" fillcolor="#9f9f9f" stroked="false">
              <v:fill type="solid"/>
            </v:rect>
            <v:rect style="position:absolute;left:1872;top:165;width:5;height:5" filled="true" fillcolor="#9f9f9f" stroked="false">
              <v:fill type="solid"/>
            </v:rect>
            <v:line style="position:absolute" from="1877,168" to="2295,168" stroked="true" strokeweight=".23999pt" strokecolor="#9f9f9f">
              <v:stroke dashstyle="solid"/>
            </v:line>
            <v:rect style="position:absolute;left:2294;top:165;width:5;height:5" filled="true" fillcolor="#e2e2e2" stroked="false">
              <v:fill type="solid"/>
            </v:rect>
            <v:rect style="position:absolute;left:2294;top:165;width:5;height:5" filled="true" fillcolor="#9f9f9f" stroked="false">
              <v:fill type="solid"/>
            </v:rect>
            <v:rect style="position:absolute;left:1872;top:170;width:5;height:32" filled="true" fillcolor="#9f9f9f" stroked="false">
              <v:fill type="solid"/>
            </v:rect>
            <v:rect style="position:absolute;left:2294;top:170;width:5;height:32" filled="true" fillcolor="#e2e2e2" stroked="false">
              <v:fill type="solid"/>
            </v:rect>
            <v:rect style="position:absolute;left:1872;top:201;width:5;height:5" filled="true" fillcolor="#9f9f9f" stroked="false">
              <v:fill type="solid"/>
            </v:rect>
            <v:rect style="position:absolute;left:1872;top:201;width:5;height:5" filled="true" fillcolor="#e2e2e2" stroked="false">
              <v:fill type="solid"/>
            </v:rect>
            <v:line style="position:absolute" from="1877,204" to="2295,204" stroked="true" strokeweight=".23999pt" strokecolor="#e2e2e2">
              <v:stroke dashstyle="solid"/>
            </v:line>
            <v:rect style="position:absolute;left:2294;top:201;width:5;height:5" filled="true" fillcolor="#e2e2e2" stroked="false">
              <v:fill type="solid"/>
            </v:rect>
            <v:rect style="position:absolute;left:2294;top:201;width:5;height:5" filled="true" fillcolor="#e2e2e2" stroked="false">
              <v:fill type="solid"/>
            </v:rect>
            <w10:wrap type="topAndBottom"/>
          </v:group>
        </w:pict>
      </w:r>
    </w:p>
    <w:p>
      <w:pPr>
        <w:spacing w:before="18"/>
        <w:ind w:left="278" w:right="2262" w:firstLine="453"/>
        <w:jc w:val="both"/>
        <w:rPr>
          <w:sz w:val="16"/>
        </w:rPr>
      </w:pPr>
      <w:r>
        <w:rPr>
          <w:position w:val="6"/>
          <w:sz w:val="10"/>
        </w:rPr>
        <w:t>29 </w:t>
      </w:r>
      <w:r>
        <w:rPr>
          <w:sz w:val="16"/>
        </w:rPr>
        <w:t>L’orizzonte pluriennale di tali provvedimenti favorirà inoltre, l’accessibilità da parte dell'industria nazionale</w:t>
      </w:r>
      <w:r>
        <w:rPr>
          <w:spacing w:val="-8"/>
          <w:sz w:val="16"/>
        </w:rPr>
        <w:t> </w:t>
      </w:r>
      <w:r>
        <w:rPr>
          <w:sz w:val="16"/>
        </w:rPr>
        <w:t>della</w:t>
      </w:r>
      <w:r>
        <w:rPr>
          <w:spacing w:val="-8"/>
          <w:sz w:val="16"/>
        </w:rPr>
        <w:t> </w:t>
      </w:r>
      <w:r>
        <w:rPr>
          <w:sz w:val="16"/>
        </w:rPr>
        <w:t>difesa</w:t>
      </w:r>
      <w:r>
        <w:rPr>
          <w:spacing w:val="-8"/>
          <w:sz w:val="16"/>
        </w:rPr>
        <w:t> </w:t>
      </w:r>
      <w:r>
        <w:rPr>
          <w:sz w:val="16"/>
        </w:rPr>
        <w:t>alle</w:t>
      </w:r>
      <w:r>
        <w:rPr>
          <w:spacing w:val="-9"/>
          <w:sz w:val="16"/>
        </w:rPr>
        <w:t> </w:t>
      </w:r>
      <w:r>
        <w:rPr>
          <w:sz w:val="16"/>
        </w:rPr>
        <w:t>opportunità</w:t>
      </w:r>
      <w:r>
        <w:rPr>
          <w:spacing w:val="-8"/>
          <w:sz w:val="16"/>
        </w:rPr>
        <w:t> </w:t>
      </w:r>
      <w:r>
        <w:rPr>
          <w:sz w:val="16"/>
        </w:rPr>
        <w:t>offerte</w:t>
      </w:r>
      <w:r>
        <w:rPr>
          <w:spacing w:val="-8"/>
          <w:sz w:val="16"/>
        </w:rPr>
        <w:t> </w:t>
      </w:r>
      <w:r>
        <w:rPr>
          <w:sz w:val="16"/>
        </w:rPr>
        <w:t>dal</w:t>
      </w:r>
      <w:r>
        <w:rPr>
          <w:spacing w:val="-7"/>
          <w:sz w:val="16"/>
        </w:rPr>
        <w:t> </w:t>
      </w:r>
      <w:r>
        <w:rPr>
          <w:sz w:val="16"/>
        </w:rPr>
        <w:t>Fondo</w:t>
      </w:r>
      <w:r>
        <w:rPr>
          <w:spacing w:val="-7"/>
          <w:sz w:val="16"/>
        </w:rPr>
        <w:t> </w:t>
      </w:r>
      <w:r>
        <w:rPr>
          <w:sz w:val="16"/>
        </w:rPr>
        <w:t>Europeo</w:t>
      </w:r>
      <w:r>
        <w:rPr>
          <w:spacing w:val="-8"/>
          <w:sz w:val="16"/>
        </w:rPr>
        <w:t> </w:t>
      </w:r>
      <w:r>
        <w:rPr>
          <w:sz w:val="16"/>
        </w:rPr>
        <w:t>della</w:t>
      </w:r>
      <w:r>
        <w:rPr>
          <w:spacing w:val="-10"/>
          <w:sz w:val="16"/>
        </w:rPr>
        <w:t> </w:t>
      </w:r>
      <w:r>
        <w:rPr>
          <w:sz w:val="16"/>
        </w:rPr>
        <w:t>Difesa</w:t>
      </w:r>
      <w:r>
        <w:rPr>
          <w:spacing w:val="-8"/>
          <w:sz w:val="16"/>
        </w:rPr>
        <w:t> </w:t>
      </w:r>
      <w:r>
        <w:rPr>
          <w:sz w:val="16"/>
        </w:rPr>
        <w:t>(</w:t>
      </w:r>
      <w:r>
        <w:rPr>
          <w:i/>
          <w:sz w:val="16"/>
        </w:rPr>
        <w:t>European</w:t>
      </w:r>
      <w:r>
        <w:rPr>
          <w:i/>
          <w:spacing w:val="-9"/>
          <w:sz w:val="16"/>
        </w:rPr>
        <w:t> </w:t>
      </w:r>
      <w:r>
        <w:rPr>
          <w:i/>
          <w:sz w:val="16"/>
        </w:rPr>
        <w:t>Defence</w:t>
      </w:r>
      <w:r>
        <w:rPr>
          <w:i/>
          <w:spacing w:val="-7"/>
          <w:sz w:val="16"/>
        </w:rPr>
        <w:t> </w:t>
      </w:r>
      <w:r>
        <w:rPr>
          <w:i/>
          <w:sz w:val="16"/>
        </w:rPr>
        <w:t>Fund</w:t>
      </w:r>
      <w:r>
        <w:rPr>
          <w:i/>
          <w:spacing w:val="-8"/>
          <w:sz w:val="16"/>
        </w:rPr>
        <w:t> </w:t>
      </w:r>
      <w:r>
        <w:rPr>
          <w:sz w:val="16"/>
        </w:rPr>
        <w:t>—</w:t>
      </w:r>
      <w:r>
        <w:rPr>
          <w:spacing w:val="-8"/>
          <w:sz w:val="16"/>
        </w:rPr>
        <w:t> </w:t>
      </w:r>
      <w:r>
        <w:rPr>
          <w:sz w:val="16"/>
        </w:rPr>
        <w:t>EDF),</w:t>
      </w:r>
      <w:r>
        <w:rPr>
          <w:spacing w:val="-7"/>
          <w:sz w:val="16"/>
        </w:rPr>
        <w:t> </w:t>
      </w:r>
      <w:r>
        <w:rPr>
          <w:sz w:val="16"/>
        </w:rPr>
        <w:t>che prevede finanziamenti sia per la ricerca tecnologica, sia per lo sviluppo di capacità strategiche, nonché dal Programma Europeo di Sviluppo Industriale per la Difesa (</w:t>
      </w:r>
      <w:r>
        <w:rPr>
          <w:i/>
          <w:sz w:val="16"/>
        </w:rPr>
        <w:t>European Defence Industrial Development Programme </w:t>
      </w:r>
      <w:r>
        <w:rPr>
          <w:sz w:val="16"/>
        </w:rPr>
        <w:t>- EDIDP),</w:t>
      </w:r>
      <w:r>
        <w:rPr>
          <w:spacing w:val="-9"/>
          <w:sz w:val="16"/>
        </w:rPr>
        <w:t> </w:t>
      </w:r>
      <w:r>
        <w:rPr>
          <w:sz w:val="16"/>
        </w:rPr>
        <w:t>finalizzato</w:t>
      </w:r>
      <w:r>
        <w:rPr>
          <w:spacing w:val="-8"/>
          <w:sz w:val="16"/>
        </w:rPr>
        <w:t> </w:t>
      </w:r>
      <w:r>
        <w:rPr>
          <w:sz w:val="16"/>
        </w:rPr>
        <w:t>a</w:t>
      </w:r>
      <w:r>
        <w:rPr>
          <w:spacing w:val="-10"/>
          <w:sz w:val="16"/>
        </w:rPr>
        <w:t> </w:t>
      </w:r>
      <w:r>
        <w:rPr>
          <w:sz w:val="16"/>
        </w:rPr>
        <w:t>supportare</w:t>
      </w:r>
      <w:r>
        <w:rPr>
          <w:spacing w:val="-8"/>
          <w:sz w:val="16"/>
        </w:rPr>
        <w:t> </w:t>
      </w:r>
      <w:r>
        <w:rPr>
          <w:sz w:val="16"/>
        </w:rPr>
        <w:t>progetti</w:t>
      </w:r>
      <w:r>
        <w:rPr>
          <w:spacing w:val="-10"/>
          <w:sz w:val="16"/>
        </w:rPr>
        <w:t> </w:t>
      </w:r>
      <w:r>
        <w:rPr>
          <w:sz w:val="16"/>
        </w:rPr>
        <w:t>di</w:t>
      </w:r>
      <w:r>
        <w:rPr>
          <w:spacing w:val="-9"/>
          <w:sz w:val="16"/>
        </w:rPr>
        <w:t> </w:t>
      </w:r>
      <w:r>
        <w:rPr>
          <w:sz w:val="16"/>
        </w:rPr>
        <w:t>cooperazione</w:t>
      </w:r>
      <w:r>
        <w:rPr>
          <w:spacing w:val="-9"/>
          <w:sz w:val="16"/>
        </w:rPr>
        <w:t> </w:t>
      </w:r>
      <w:r>
        <w:rPr>
          <w:sz w:val="16"/>
        </w:rPr>
        <w:t>industriale</w:t>
      </w:r>
      <w:r>
        <w:rPr>
          <w:spacing w:val="-10"/>
          <w:sz w:val="16"/>
        </w:rPr>
        <w:t> </w:t>
      </w:r>
      <w:r>
        <w:rPr>
          <w:sz w:val="16"/>
        </w:rPr>
        <w:t>multilaterale</w:t>
      </w:r>
      <w:r>
        <w:rPr>
          <w:spacing w:val="-9"/>
          <w:sz w:val="16"/>
        </w:rPr>
        <w:t> </w:t>
      </w:r>
      <w:r>
        <w:rPr>
          <w:sz w:val="16"/>
        </w:rPr>
        <w:t>tra</w:t>
      </w:r>
      <w:r>
        <w:rPr>
          <w:spacing w:val="-11"/>
          <w:sz w:val="16"/>
        </w:rPr>
        <w:t> </w:t>
      </w:r>
      <w:r>
        <w:rPr>
          <w:sz w:val="16"/>
        </w:rPr>
        <w:t>aziende</w:t>
      </w:r>
      <w:r>
        <w:rPr>
          <w:spacing w:val="-10"/>
          <w:sz w:val="16"/>
        </w:rPr>
        <w:t> </w:t>
      </w:r>
      <w:r>
        <w:rPr>
          <w:sz w:val="16"/>
        </w:rPr>
        <w:t>europee</w:t>
      </w:r>
      <w:r>
        <w:rPr>
          <w:spacing w:val="-10"/>
          <w:sz w:val="16"/>
        </w:rPr>
        <w:t> </w:t>
      </w:r>
      <w:r>
        <w:rPr>
          <w:sz w:val="16"/>
        </w:rPr>
        <w:t>nel</w:t>
      </w:r>
      <w:r>
        <w:rPr>
          <w:spacing w:val="-9"/>
          <w:sz w:val="16"/>
        </w:rPr>
        <w:t> </w:t>
      </w:r>
      <w:r>
        <w:rPr>
          <w:sz w:val="16"/>
        </w:rPr>
        <w:t>settore.</w:t>
      </w:r>
    </w:p>
    <w:p>
      <w:pPr>
        <w:spacing w:after="0"/>
        <w:jc w:val="both"/>
        <w:rPr>
          <w:sz w:val="16"/>
        </w:rPr>
        <w:sectPr>
          <w:pgSz w:w="11910" w:h="16840"/>
          <w:pgMar w:header="838" w:footer="866" w:top="1100" w:bottom="1060" w:left="114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pStyle w:val="BodyText"/>
        <w:spacing w:line="360" w:lineRule="auto" w:before="94"/>
        <w:ind w:left="3509" w:right="4648" w:firstLine="1"/>
        <w:jc w:val="center"/>
        <w:rPr>
          <w:rFonts w:ascii="Arial" w:hAnsi="Arial"/>
        </w:rPr>
      </w:pPr>
      <w:bookmarkStart w:name="IVCopOnline" w:id="13"/>
      <w:bookmarkEnd w:id="13"/>
      <w:r>
        <w:rPr/>
      </w:r>
      <w:r>
        <w:rPr>
          <w:rFonts w:ascii="Arial" w:hAnsi="Arial"/>
        </w:rPr>
        <w:t>È possibile scaricare la Nota di Aggiornamento del</w:t>
      </w:r>
    </w:p>
    <w:p>
      <w:pPr>
        <w:pStyle w:val="BodyText"/>
        <w:spacing w:line="252" w:lineRule="exact"/>
        <w:ind w:left="289" w:right="1424"/>
        <w:jc w:val="center"/>
        <w:rPr>
          <w:rFonts w:ascii="Arial"/>
        </w:rPr>
      </w:pPr>
      <w:r>
        <w:rPr>
          <w:rFonts w:ascii="Arial"/>
        </w:rPr>
        <w:t>DOCUMENTO DI ECONOMIA E FINANZA 2019</w:t>
      </w:r>
    </w:p>
    <w:p>
      <w:pPr>
        <w:pStyle w:val="BodyText"/>
        <w:spacing w:before="126"/>
        <w:ind w:left="287" w:right="1424"/>
        <w:jc w:val="center"/>
        <w:rPr>
          <w:rFonts w:ascii="Arial"/>
        </w:rPr>
      </w:pPr>
      <w:r>
        <w:rPr>
          <w:rFonts w:ascii="Arial"/>
        </w:rPr>
        <w:t>dai siti Internet</w:t>
      </w:r>
    </w:p>
    <w:p>
      <w:pPr>
        <w:pStyle w:val="BodyText"/>
        <w:spacing w:before="126"/>
        <w:ind w:left="286" w:right="1424"/>
        <w:jc w:val="center"/>
        <w:rPr>
          <w:rFonts w:ascii="Arial" w:hAnsi="Arial"/>
        </w:rPr>
      </w:pPr>
      <w:hyperlink r:id="rId88">
        <w:r>
          <w:rPr>
            <w:rFonts w:ascii="Arial" w:hAnsi="Arial"/>
            <w:color w:val="0000FF"/>
            <w:u w:val="single" w:color="0000FF"/>
          </w:rPr>
          <w:t>www.mef.gov.it</w:t>
        </w:r>
        <w:r>
          <w:rPr>
            <w:rFonts w:ascii="Arial" w:hAnsi="Arial"/>
            <w:color w:val="0000FF"/>
          </w:rPr>
          <w:t> </w:t>
        </w:r>
      </w:hyperlink>
      <w:r>
        <w:rPr>
          <w:rFonts w:ascii="Arial" w:hAnsi="Arial"/>
        </w:rPr>
        <w:t>• </w:t>
      </w:r>
      <w:hyperlink r:id="rId89">
        <w:r>
          <w:rPr>
            <w:rFonts w:ascii="Arial" w:hAnsi="Arial"/>
            <w:color w:val="0000FF"/>
            <w:u w:val="single" w:color="0000FF"/>
          </w:rPr>
          <w:t>www.dt.tesoro.it</w:t>
        </w:r>
        <w:r>
          <w:rPr>
            <w:rFonts w:ascii="Arial" w:hAnsi="Arial"/>
            <w:color w:val="0000FF"/>
          </w:rPr>
          <w:t> </w:t>
        </w:r>
      </w:hyperlink>
      <w:r>
        <w:rPr>
          <w:rFonts w:ascii="Arial" w:hAnsi="Arial"/>
        </w:rPr>
        <w:t>• </w:t>
      </w:r>
      <w:hyperlink r:id="rId90">
        <w:r>
          <w:rPr>
            <w:rFonts w:ascii="Arial" w:hAnsi="Arial"/>
            <w:color w:val="0000FF"/>
            <w:u w:val="single" w:color="0000FF"/>
          </w:rPr>
          <w:t>www.rgs.mef.gov.it</w:t>
        </w:r>
      </w:hyperlink>
    </w:p>
    <w:p>
      <w:pPr>
        <w:pStyle w:val="BodyText"/>
        <w:rPr>
          <w:rFonts w:ascii="Arial"/>
          <w:sz w:val="20"/>
        </w:rPr>
      </w:pPr>
    </w:p>
    <w:p>
      <w:pPr>
        <w:pStyle w:val="BodyText"/>
        <w:spacing w:before="10"/>
        <w:rPr>
          <w:rFonts w:ascii="Arial"/>
          <w:sz w:val="26"/>
        </w:rPr>
      </w:pPr>
    </w:p>
    <w:p>
      <w:pPr>
        <w:pStyle w:val="BodyText"/>
        <w:spacing w:before="94"/>
        <w:ind w:left="287" w:right="1424"/>
        <w:jc w:val="center"/>
        <w:rPr>
          <w:rFonts w:ascii="Arial"/>
        </w:rPr>
      </w:pPr>
      <w:r>
        <w:rPr>
          <w:rFonts w:ascii="Arial"/>
        </w:rPr>
        <w:t>ISSN: 2240-0702</w:t>
      </w:r>
    </w:p>
    <w:sectPr>
      <w:headerReference w:type="even" r:id="rId86"/>
      <w:footerReference w:type="even" r:id="rId87"/>
      <w:pgSz w:w="11910" w:h="16840"/>
      <w:pgMar w:header="0" w:footer="0" w:top="1580" w:bottom="280" w:left="11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Franklin Gothic Heavy">
    <w:altName w:val="Franklin Gothic Heavy"/>
    <w:charset w:val="0"/>
    <w:family w:val="swiss"/>
    <w:pitch w:val="variable"/>
  </w:font>
  <w:font w:name="Franklin Gothic Book">
    <w:altName w:val="Franklin Gothic Book"/>
    <w:charset w:val="0"/>
    <w:family w:val="swiss"/>
    <w:pitch w:val="variable"/>
  </w:font>
  <w:font w:name="Trebuchet MS">
    <w:altName w:val="Trebuchet MS"/>
    <w:charset w:val="0"/>
    <w:family w:val="swiss"/>
    <w:pitch w:val="variable"/>
  </w:font>
  <w:font w:name="Symbol">
    <w:altName w:val="Symbol"/>
    <w:charset w:val="2"/>
    <w:family w:val="roman"/>
    <w:pitch w:val="variable"/>
  </w:font>
  <w:font w:name="Calibri">
    <w:altName w:val="Calibri"/>
    <w:charset w:val="0"/>
    <w:family w:val="swiss"/>
    <w:pitch w:val="variable"/>
  </w:font>
  <w:font w:name="Franklin Gothic Medium">
    <w:altName w:val="Franklin Gothic Medium"/>
    <w:charset w:val="0"/>
    <w:family w:val="swiss"/>
    <w:pitch w:val="variable"/>
  </w:font>
  <w:font w:name="Franklin Gothic Demi Cond">
    <w:altName w:val="Franklin Gothic Demi Cond"/>
    <w:charset w:val="0"/>
    <w:family w:val="swiss"/>
    <w:pitch w:val="variable"/>
  </w:font>
  <w:font w:name="Tahoma">
    <w:altName w:val="Tahoma"/>
    <w:charset w:val="0"/>
    <w:family w:val="swiss"/>
    <w:pitch w:val="variable"/>
  </w:font>
  <w:font w:name="MS Reference Sans Serif">
    <w:altName w:val="MS Reference Sans Serif"/>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349568" from="69.503998pt,788.856018pt" to="483.453998pt,788.856018pt" stroked="true" strokeweight=".47998pt" strokecolor="#000000">
          <v:stroke dashstyle="solid"/>
          <w10:wrap type="none"/>
        </v:line>
      </w:pict>
    </w:r>
    <w:r>
      <w:rPr/>
      <w:pict>
        <v:shape style="position:absolute;margin-left:69.944pt;margin-top:790.287476pt;width:189.8pt;height:12.25pt;mso-position-horizontal-relative:page;mso-position-vertical-relative:page;z-index:-266348544" type="#_x0000_t202" filled="false" stroked="false">
          <v:textbox inset="0,0,0,0">
            <w:txbxContent>
              <w:p>
                <w:pPr>
                  <w:spacing w:before="20"/>
                  <w:ind w:left="20" w:right="0" w:firstLine="0"/>
                  <w:jc w:val="left"/>
                  <w:rPr>
                    <w:rFonts w:ascii="Franklin Gothic Book" w:hAnsi="Franklin Gothic Book"/>
                    <w:sz w:val="18"/>
                  </w:rPr>
                </w:pPr>
                <w:r>
                  <w:rPr>
                    <w:rFonts w:ascii="Franklin Gothic Book" w:hAnsi="Franklin Gothic Book"/>
                    <w:sz w:val="18"/>
                  </w:rPr>
                  <w:t>MINISTERO DELL’ECONOMIA E DELLE FINANZE</w:t>
                </w:r>
              </w:p>
            </w:txbxContent>
          </v:textbox>
          <w10:wrap type="none"/>
        </v:shape>
      </w:pict>
    </w:r>
    <w:r>
      <w:rPr/>
      <w:pict>
        <v:shape style="position:absolute;margin-left:470.540009pt;margin-top:790.287476pt;width:13.25pt;height:12.25pt;mso-position-horizontal-relative:page;mso-position-vertical-relative:page;z-index:-266347520" type="#_x0000_t202" filled="false" stroked="false">
          <v:textbox inset="0,0,0,0">
            <w:txbxContent>
              <w:p>
                <w:pPr>
                  <w:spacing w:before="20"/>
                  <w:ind w:left="40" w:right="0" w:firstLine="0"/>
                  <w:jc w:val="left"/>
                  <w:rPr>
                    <w:rFonts w:ascii="Franklin Gothic Heavy"/>
                    <w:b/>
                    <w:sz w:val="18"/>
                  </w:rPr>
                </w:pPr>
                <w:r>
                  <w:rPr/>
                  <w:fldChar w:fldCharType="begin"/>
                </w:r>
                <w:r>
                  <w:rPr>
                    <w:rFonts w:ascii="Franklin Gothic Heavy"/>
                    <w:b/>
                    <w:color w:val="585858"/>
                    <w:sz w:val="18"/>
                  </w:rPr>
                  <w:instrText> PAGE  \* ROMAN </w:instrText>
                </w:r>
                <w:r>
                  <w:rPr/>
                  <w:fldChar w:fldCharType="separate"/>
                </w:r>
                <w:r>
                  <w:rPr/>
                  <w:t>III</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313728" from="111.980003pt,788.856018pt" to="525.930003pt,788.856018pt" stroked="true" strokeweight=".47998pt" strokecolor="#000000">
          <v:stroke dashstyle="solid"/>
          <w10:wrap type="none"/>
        </v:line>
      </w:pict>
    </w:r>
    <w:r>
      <w:rPr/>
      <w:pict>
        <v:shape style="position:absolute;margin-left:111.419998pt;margin-top:790.287476pt;width:20.6pt;height:12.25pt;mso-position-horizontal-relative:page;mso-position-vertical-relative:page;z-index:-266312704" type="#_x0000_t202" filled="false" stroked="false">
          <v:textbox inset="0,0,0,0">
            <w:txbxContent>
              <w:p>
                <w:pPr>
                  <w:spacing w:before="20"/>
                  <w:ind w:left="40" w:right="0" w:firstLine="0"/>
                  <w:jc w:val="left"/>
                  <w:rPr>
                    <w:rFonts w:ascii="Franklin Gothic Heavy"/>
                    <w:b/>
                    <w:sz w:val="18"/>
                  </w:rPr>
                </w:pPr>
                <w:r>
                  <w:rPr/>
                  <w:fldChar w:fldCharType="begin"/>
                </w:r>
                <w:r>
                  <w:rPr>
                    <w:rFonts w:ascii="Franklin Gothic Heavy"/>
                    <w:b/>
                    <w:color w:val="585858"/>
                    <w:sz w:val="18"/>
                  </w:rPr>
                  <w:instrText> PAGE </w:instrText>
                </w:r>
                <w:r>
                  <w:rPr/>
                  <w:fldChar w:fldCharType="separate"/>
                </w:r>
                <w:r>
                  <w:rPr/>
                  <w:t>100</w:t>
                </w:r>
                <w:r>
                  <w:rPr/>
                  <w:fldChar w:fldCharType="end"/>
                </w:r>
              </w:p>
            </w:txbxContent>
          </v:textbox>
          <w10:wrap type="none"/>
        </v:shape>
      </w:pict>
    </w:r>
    <w:r>
      <w:rPr/>
      <w:pict>
        <v:shape style="position:absolute;margin-left:335.190002pt;margin-top:790.287476pt;width:189.8pt;height:12.25pt;mso-position-horizontal-relative:page;mso-position-vertical-relative:page;z-index:-266311680" type="#_x0000_t202" filled="false" stroked="false">
          <v:textbox inset="0,0,0,0">
            <w:txbxContent>
              <w:p>
                <w:pPr>
                  <w:spacing w:before="20"/>
                  <w:ind w:left="20" w:right="0" w:firstLine="0"/>
                  <w:jc w:val="left"/>
                  <w:rPr>
                    <w:rFonts w:ascii="Franklin Gothic Book" w:hAnsi="Franklin Gothic Book"/>
                    <w:sz w:val="18"/>
                  </w:rPr>
                </w:pPr>
                <w:r>
                  <w:rPr>
                    <w:rFonts w:ascii="Franklin Gothic Book" w:hAnsi="Franklin Gothic Book"/>
                    <w:sz w:val="18"/>
                  </w:rPr>
                  <w:t>MINISTERO DELL’ECONOMIA E DELLE FINANZE</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306560" from="69.503998pt,788.856018pt" to="483.453998pt,788.856018pt" stroked="true" strokeweight=".47998pt" strokecolor="#000000">
          <v:stroke dashstyle="solid"/>
          <w10:wrap type="none"/>
        </v:line>
      </w:pict>
    </w:r>
    <w:r>
      <w:rPr/>
      <w:pict>
        <v:shape style="position:absolute;margin-left:69.944pt;margin-top:790.287476pt;width:189.8pt;height:12.25pt;mso-position-horizontal-relative:page;mso-position-vertical-relative:page;z-index:-266305536" type="#_x0000_t202" filled="false" stroked="false">
          <v:textbox inset="0,0,0,0">
            <w:txbxContent>
              <w:p>
                <w:pPr>
                  <w:spacing w:before="20"/>
                  <w:ind w:left="20" w:right="0" w:firstLine="0"/>
                  <w:jc w:val="left"/>
                  <w:rPr>
                    <w:rFonts w:ascii="Franklin Gothic Book" w:hAnsi="Franklin Gothic Book"/>
                    <w:sz w:val="18"/>
                  </w:rPr>
                </w:pPr>
                <w:r>
                  <w:rPr>
                    <w:rFonts w:ascii="Franklin Gothic Book" w:hAnsi="Franklin Gothic Book"/>
                    <w:sz w:val="18"/>
                  </w:rPr>
                  <w:t>MINISTERO DELL’ECONOMIA E DELLE FINANZE</w:t>
                </w:r>
              </w:p>
            </w:txbxContent>
          </v:textbox>
          <w10:wrap type="none"/>
        </v:shape>
      </w:pict>
    </w:r>
    <w:r>
      <w:rPr/>
      <w:pict>
        <v:shape style="position:absolute;margin-left:468.980011pt;margin-top:790.287476pt;width:15.05pt;height:12.25pt;mso-position-horizontal-relative:page;mso-position-vertical-relative:page;z-index:-266304512" type="#_x0000_t202" filled="false" stroked="false">
          <v:textbox inset="0,0,0,0">
            <w:txbxContent>
              <w:p>
                <w:pPr>
                  <w:spacing w:before="20"/>
                  <w:ind w:left="40" w:right="0" w:firstLine="0"/>
                  <w:jc w:val="left"/>
                  <w:rPr>
                    <w:rFonts w:ascii="Franklin Gothic Heavy"/>
                    <w:b/>
                    <w:sz w:val="18"/>
                  </w:rPr>
                </w:pPr>
                <w:r>
                  <w:rPr/>
                  <w:fldChar w:fldCharType="begin"/>
                </w:r>
                <w:r>
                  <w:rPr>
                    <w:rFonts w:ascii="Franklin Gothic Heavy"/>
                    <w:b/>
                    <w:color w:val="585858"/>
                    <w:sz w:val="18"/>
                  </w:rPr>
                  <w:instrText> PAGE </w:instrText>
                </w:r>
                <w:r>
                  <w:rPr/>
                  <w:fldChar w:fldCharType="separate"/>
                </w:r>
                <w:r>
                  <w:rPr/>
                  <w:t>13</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303488" from="111.980003pt,788.856018pt" to="525.930003pt,788.856018pt" stroked="true" strokeweight=".47998pt" strokecolor="#000000">
          <v:stroke dashstyle="solid"/>
          <w10:wrap type="none"/>
        </v:line>
      </w:pict>
    </w:r>
    <w:r>
      <w:rPr/>
      <w:pict>
        <v:shape style="position:absolute;margin-left:111.419998pt;margin-top:790.287476pt;width:15.05pt;height:12.25pt;mso-position-horizontal-relative:page;mso-position-vertical-relative:page;z-index:-266302464" type="#_x0000_t202" filled="false" stroked="false">
          <v:textbox inset="0,0,0,0">
            <w:txbxContent>
              <w:p>
                <w:pPr>
                  <w:spacing w:before="20"/>
                  <w:ind w:left="40" w:right="0" w:firstLine="0"/>
                  <w:jc w:val="left"/>
                  <w:rPr>
                    <w:rFonts w:ascii="Franklin Gothic Heavy"/>
                    <w:b/>
                    <w:sz w:val="18"/>
                  </w:rPr>
                </w:pPr>
                <w:r>
                  <w:rPr/>
                  <w:fldChar w:fldCharType="begin"/>
                </w:r>
                <w:r>
                  <w:rPr>
                    <w:rFonts w:ascii="Franklin Gothic Heavy"/>
                    <w:b/>
                    <w:color w:val="585858"/>
                    <w:sz w:val="18"/>
                  </w:rPr>
                  <w:instrText> PAGE </w:instrText>
                </w:r>
                <w:r>
                  <w:rPr/>
                  <w:fldChar w:fldCharType="separate"/>
                </w:r>
                <w:r>
                  <w:rPr/>
                  <w:t>14</w:t>
                </w:r>
                <w:r>
                  <w:rPr/>
                  <w:fldChar w:fldCharType="end"/>
                </w:r>
              </w:p>
            </w:txbxContent>
          </v:textbox>
          <w10:wrap type="none"/>
        </v:shape>
      </w:pict>
    </w:r>
    <w:r>
      <w:rPr/>
      <w:pict>
        <v:shape style="position:absolute;margin-left:335.190002pt;margin-top:790.287476pt;width:189.8pt;height:12.25pt;mso-position-horizontal-relative:page;mso-position-vertical-relative:page;z-index:-266301440" type="#_x0000_t202" filled="false" stroked="false">
          <v:textbox inset="0,0,0,0">
            <w:txbxContent>
              <w:p>
                <w:pPr>
                  <w:spacing w:before="20"/>
                  <w:ind w:left="20" w:right="0" w:firstLine="0"/>
                  <w:jc w:val="left"/>
                  <w:rPr>
                    <w:rFonts w:ascii="Franklin Gothic Book" w:hAnsi="Franklin Gothic Book"/>
                    <w:sz w:val="18"/>
                  </w:rPr>
                </w:pPr>
                <w:r>
                  <w:rPr>
                    <w:rFonts w:ascii="Franklin Gothic Book" w:hAnsi="Franklin Gothic Book"/>
                    <w:sz w:val="18"/>
                  </w:rPr>
                  <w:t>MINISTERO DELL’ECONOMIA E DELLE FINANZE</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296320" from="69.503998pt,788.856018pt" to="483.453998pt,788.856018pt" stroked="true" strokeweight=".47998pt" strokecolor="#000000">
          <v:stroke dashstyle="solid"/>
          <w10:wrap type="none"/>
        </v:line>
      </w:pict>
    </w:r>
    <w:r>
      <w:rPr/>
      <w:pict>
        <v:shape style="position:absolute;margin-left:69.944pt;margin-top:790.287476pt;width:189.8pt;height:12.25pt;mso-position-horizontal-relative:page;mso-position-vertical-relative:page;z-index:-266295296" type="#_x0000_t202" filled="false" stroked="false">
          <v:textbox inset="0,0,0,0">
            <w:txbxContent>
              <w:p>
                <w:pPr>
                  <w:spacing w:before="20"/>
                  <w:ind w:left="20" w:right="0" w:firstLine="0"/>
                  <w:jc w:val="left"/>
                  <w:rPr>
                    <w:rFonts w:ascii="Franklin Gothic Book" w:hAnsi="Franklin Gothic Book"/>
                    <w:sz w:val="18"/>
                  </w:rPr>
                </w:pPr>
                <w:r>
                  <w:rPr>
                    <w:rFonts w:ascii="Franklin Gothic Book" w:hAnsi="Franklin Gothic Book"/>
                    <w:sz w:val="18"/>
                  </w:rPr>
                  <w:t>MINISTERO DELL’ECONOMIA E DELLE FINANZE</w:t>
                </w:r>
              </w:p>
            </w:txbxContent>
          </v:textbox>
          <w10:wrap type="none"/>
        </v:shape>
      </w:pict>
    </w:r>
    <w:r>
      <w:rPr/>
      <w:pict>
        <v:shape style="position:absolute;margin-left:468.980011pt;margin-top:790.287476pt;width:15.05pt;height:12.25pt;mso-position-horizontal-relative:page;mso-position-vertical-relative:page;z-index:-266294272" type="#_x0000_t202" filled="false" stroked="false">
          <v:textbox inset="0,0,0,0">
            <w:txbxContent>
              <w:p>
                <w:pPr>
                  <w:spacing w:before="20"/>
                  <w:ind w:left="40" w:right="0" w:firstLine="0"/>
                  <w:jc w:val="left"/>
                  <w:rPr>
                    <w:rFonts w:ascii="Franklin Gothic Heavy"/>
                    <w:b/>
                    <w:sz w:val="18"/>
                  </w:rPr>
                </w:pPr>
                <w:r>
                  <w:rPr/>
                  <w:fldChar w:fldCharType="begin"/>
                </w:r>
                <w:r>
                  <w:rPr>
                    <w:rFonts w:ascii="Franklin Gothic Heavy"/>
                    <w:b/>
                    <w:color w:val="585858"/>
                    <w:sz w:val="18"/>
                  </w:rPr>
                  <w:instrText> PAGE </w:instrText>
                </w:r>
                <w:r>
                  <w:rPr/>
                  <w:fldChar w:fldCharType="separate"/>
                </w:r>
                <w:r>
                  <w:rPr/>
                  <w:t>37</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293248" from="111.980003pt,788.856018pt" to="525.930003pt,788.856018pt" stroked="true" strokeweight=".47998pt" strokecolor="#000000">
          <v:stroke dashstyle="solid"/>
          <w10:wrap type="none"/>
        </v:line>
      </w:pict>
    </w:r>
    <w:r>
      <w:rPr/>
      <w:pict>
        <v:shape style="position:absolute;margin-left:111.419998pt;margin-top:790.287476pt;width:15.05pt;height:12.25pt;mso-position-horizontal-relative:page;mso-position-vertical-relative:page;z-index:-266292224" type="#_x0000_t202" filled="false" stroked="false">
          <v:textbox inset="0,0,0,0">
            <w:txbxContent>
              <w:p>
                <w:pPr>
                  <w:spacing w:before="20"/>
                  <w:ind w:left="40" w:right="0" w:firstLine="0"/>
                  <w:jc w:val="left"/>
                  <w:rPr>
                    <w:rFonts w:ascii="Franklin Gothic Heavy"/>
                    <w:b/>
                    <w:sz w:val="18"/>
                  </w:rPr>
                </w:pPr>
                <w:r>
                  <w:rPr/>
                  <w:fldChar w:fldCharType="begin"/>
                </w:r>
                <w:r>
                  <w:rPr>
                    <w:rFonts w:ascii="Franklin Gothic Heavy"/>
                    <w:b/>
                    <w:color w:val="585858"/>
                    <w:sz w:val="18"/>
                  </w:rPr>
                  <w:instrText> PAGE </w:instrText>
                </w:r>
                <w:r>
                  <w:rPr/>
                  <w:fldChar w:fldCharType="separate"/>
                </w:r>
                <w:r>
                  <w:rPr/>
                  <w:t>38</w:t>
                </w:r>
                <w:r>
                  <w:rPr/>
                  <w:fldChar w:fldCharType="end"/>
                </w:r>
              </w:p>
            </w:txbxContent>
          </v:textbox>
          <w10:wrap type="none"/>
        </v:shape>
      </w:pict>
    </w:r>
    <w:r>
      <w:rPr/>
      <w:pict>
        <v:shape style="position:absolute;margin-left:335.190002pt;margin-top:790.287476pt;width:189.8pt;height:12.25pt;mso-position-horizontal-relative:page;mso-position-vertical-relative:page;z-index:-266291200" type="#_x0000_t202" filled="false" stroked="false">
          <v:textbox inset="0,0,0,0">
            <w:txbxContent>
              <w:p>
                <w:pPr>
                  <w:spacing w:before="20"/>
                  <w:ind w:left="20" w:right="0" w:firstLine="0"/>
                  <w:jc w:val="left"/>
                  <w:rPr>
                    <w:rFonts w:ascii="Franklin Gothic Book" w:hAnsi="Franklin Gothic Book"/>
                    <w:sz w:val="18"/>
                  </w:rPr>
                </w:pPr>
                <w:r>
                  <w:rPr>
                    <w:rFonts w:ascii="Franklin Gothic Book" w:hAnsi="Franklin Gothic Book"/>
                    <w:sz w:val="18"/>
                  </w:rPr>
                  <w:t>MINISTERO DELL’ECONOMIA E DELLE FINANZE</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286080" from="69.503998pt,788.856018pt" to="483.453998pt,788.856018pt" stroked="true" strokeweight=".47998pt" strokecolor="#000000">
          <v:stroke dashstyle="solid"/>
          <w10:wrap type="none"/>
        </v:line>
      </w:pict>
    </w:r>
    <w:r>
      <w:rPr/>
      <w:pict>
        <v:shape style="position:absolute;margin-left:69.944pt;margin-top:790.287476pt;width:189.8pt;height:12.25pt;mso-position-horizontal-relative:page;mso-position-vertical-relative:page;z-index:-266285056" type="#_x0000_t202" filled="false" stroked="false">
          <v:textbox inset="0,0,0,0">
            <w:txbxContent>
              <w:p>
                <w:pPr>
                  <w:spacing w:before="20"/>
                  <w:ind w:left="20" w:right="0" w:firstLine="0"/>
                  <w:jc w:val="left"/>
                  <w:rPr>
                    <w:rFonts w:ascii="Franklin Gothic Book" w:hAnsi="Franklin Gothic Book"/>
                    <w:sz w:val="18"/>
                  </w:rPr>
                </w:pPr>
                <w:r>
                  <w:rPr>
                    <w:rFonts w:ascii="Franklin Gothic Book" w:hAnsi="Franklin Gothic Book"/>
                    <w:sz w:val="18"/>
                  </w:rPr>
                  <w:t>MINISTERO DELL’ECONOMIA E DELLE FINANZE</w:t>
                </w:r>
              </w:p>
            </w:txbxContent>
          </v:textbox>
          <w10:wrap type="none"/>
        </v:shape>
      </w:pict>
    </w:r>
    <w:r>
      <w:rPr/>
      <w:pict>
        <v:shape style="position:absolute;margin-left:468.980011pt;margin-top:790.287476pt;width:15.05pt;height:12.25pt;mso-position-horizontal-relative:page;mso-position-vertical-relative:page;z-index:-266284032" type="#_x0000_t202" filled="false" stroked="false">
          <v:textbox inset="0,0,0,0">
            <w:txbxContent>
              <w:p>
                <w:pPr>
                  <w:spacing w:before="20"/>
                  <w:ind w:left="40" w:right="0" w:firstLine="0"/>
                  <w:jc w:val="left"/>
                  <w:rPr>
                    <w:rFonts w:ascii="Franklin Gothic Heavy"/>
                    <w:b/>
                    <w:sz w:val="18"/>
                  </w:rPr>
                </w:pPr>
                <w:r>
                  <w:rPr/>
                  <w:fldChar w:fldCharType="begin"/>
                </w:r>
                <w:r>
                  <w:rPr>
                    <w:rFonts w:ascii="Franklin Gothic Heavy"/>
                    <w:b/>
                    <w:color w:val="585858"/>
                    <w:sz w:val="18"/>
                  </w:rPr>
                  <w:instrText> PAGE </w:instrText>
                </w:r>
                <w:r>
                  <w:rPr/>
                  <w:fldChar w:fldCharType="separate"/>
                </w:r>
                <w:r>
                  <w:rPr/>
                  <w:t>79</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283008" from="111.980003pt,788.856018pt" to="525.930003pt,788.856018pt" stroked="true" strokeweight=".47998pt" strokecolor="#000000">
          <v:stroke dashstyle="solid"/>
          <w10:wrap type="none"/>
        </v:line>
      </w:pict>
    </w:r>
    <w:r>
      <w:rPr/>
      <w:pict>
        <v:shape style="position:absolute;margin-left:111.419998pt;margin-top:790.287476pt;width:15.05pt;height:12.25pt;mso-position-horizontal-relative:page;mso-position-vertical-relative:page;z-index:-266281984" type="#_x0000_t202" filled="false" stroked="false">
          <v:textbox inset="0,0,0,0">
            <w:txbxContent>
              <w:p>
                <w:pPr>
                  <w:spacing w:before="20"/>
                  <w:ind w:left="40" w:right="0" w:firstLine="0"/>
                  <w:jc w:val="left"/>
                  <w:rPr>
                    <w:rFonts w:ascii="Franklin Gothic Heavy"/>
                    <w:b/>
                    <w:sz w:val="18"/>
                  </w:rPr>
                </w:pPr>
                <w:r>
                  <w:rPr/>
                  <w:fldChar w:fldCharType="begin"/>
                </w:r>
                <w:r>
                  <w:rPr>
                    <w:rFonts w:ascii="Franklin Gothic Heavy"/>
                    <w:b/>
                    <w:color w:val="585858"/>
                    <w:sz w:val="18"/>
                  </w:rPr>
                  <w:instrText> PAGE </w:instrText>
                </w:r>
                <w:r>
                  <w:rPr/>
                  <w:fldChar w:fldCharType="separate"/>
                </w:r>
                <w:r>
                  <w:rPr/>
                  <w:t>80</w:t>
                </w:r>
                <w:r>
                  <w:rPr/>
                  <w:fldChar w:fldCharType="end"/>
                </w:r>
              </w:p>
            </w:txbxContent>
          </v:textbox>
          <w10:wrap type="none"/>
        </v:shape>
      </w:pict>
    </w:r>
    <w:r>
      <w:rPr/>
      <w:pict>
        <v:shape style="position:absolute;margin-left:335.190002pt;margin-top:790.287476pt;width:189.8pt;height:12.25pt;mso-position-horizontal-relative:page;mso-position-vertical-relative:page;z-index:-266280960" type="#_x0000_t202" filled="false" stroked="false">
          <v:textbox inset="0,0,0,0">
            <w:txbxContent>
              <w:p>
                <w:pPr>
                  <w:spacing w:before="20"/>
                  <w:ind w:left="20" w:right="0" w:firstLine="0"/>
                  <w:jc w:val="left"/>
                  <w:rPr>
                    <w:rFonts w:ascii="Franklin Gothic Book" w:hAnsi="Franklin Gothic Book"/>
                    <w:sz w:val="18"/>
                  </w:rPr>
                </w:pPr>
                <w:r>
                  <w:rPr>
                    <w:rFonts w:ascii="Franklin Gothic Book" w:hAnsi="Franklin Gothic Book"/>
                    <w:sz w:val="18"/>
                  </w:rPr>
                  <w:t>MINISTERO DELL’ECONOMIA E DELLE FINANZE</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346496" from="111.980003pt,788.856018pt" to="525.930003pt,788.856018pt" stroked="true" strokeweight=".47998pt" strokecolor="#000000">
          <v:stroke dashstyle="solid"/>
          <w10:wrap type="none"/>
        </v:line>
      </w:pict>
    </w:r>
    <w:r>
      <w:rPr/>
      <w:pict>
        <v:shape style="position:absolute;margin-left:111.419998pt;margin-top:790.287476pt;width:13.15pt;height:12.25pt;mso-position-horizontal-relative:page;mso-position-vertical-relative:page;z-index:-266345472" type="#_x0000_t202" filled="false" stroked="false">
          <v:textbox inset="0,0,0,0">
            <w:txbxContent>
              <w:p>
                <w:pPr>
                  <w:spacing w:before="20"/>
                  <w:ind w:left="40" w:right="0" w:firstLine="0"/>
                  <w:jc w:val="left"/>
                  <w:rPr>
                    <w:rFonts w:ascii="Franklin Gothic Heavy"/>
                    <w:b/>
                    <w:sz w:val="18"/>
                  </w:rPr>
                </w:pPr>
                <w:r>
                  <w:rPr/>
                  <w:fldChar w:fldCharType="begin"/>
                </w:r>
                <w:r>
                  <w:rPr>
                    <w:rFonts w:ascii="Franklin Gothic Heavy"/>
                    <w:b/>
                    <w:color w:val="585858"/>
                    <w:sz w:val="18"/>
                  </w:rPr>
                  <w:instrText> PAGE  \* ROMAN </w:instrText>
                </w:r>
                <w:r>
                  <w:rPr/>
                  <w:fldChar w:fldCharType="separate"/>
                </w:r>
                <w:r>
                  <w:rPr/>
                  <w:t>VI</w:t>
                </w:r>
                <w:r>
                  <w:rPr/>
                  <w:fldChar w:fldCharType="end"/>
                </w:r>
              </w:p>
            </w:txbxContent>
          </v:textbox>
          <w10:wrap type="none"/>
        </v:shape>
      </w:pict>
    </w:r>
    <w:r>
      <w:rPr/>
      <w:pict>
        <v:shape style="position:absolute;margin-left:335.190002pt;margin-top:790.287476pt;width:189.8pt;height:12.25pt;mso-position-horizontal-relative:page;mso-position-vertical-relative:page;z-index:-266344448" type="#_x0000_t202" filled="false" stroked="false">
          <v:textbox inset="0,0,0,0">
            <w:txbxContent>
              <w:p>
                <w:pPr>
                  <w:spacing w:before="20"/>
                  <w:ind w:left="20" w:right="0" w:firstLine="0"/>
                  <w:jc w:val="left"/>
                  <w:rPr>
                    <w:rFonts w:ascii="Franklin Gothic Book" w:hAnsi="Franklin Gothic Book"/>
                    <w:sz w:val="18"/>
                  </w:rPr>
                </w:pPr>
                <w:r>
                  <w:rPr>
                    <w:rFonts w:ascii="Franklin Gothic Book" w:hAnsi="Franklin Gothic Book"/>
                    <w:sz w:val="18"/>
                  </w:rPr>
                  <w:t>MINISTERO DELL’ECONOMIA E DELLE FINANZE</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341376" from="69.503998pt,788.856018pt" to="483.453998pt,788.856018pt" stroked="true" strokeweight=".47998pt" strokecolor="#000000">
          <v:stroke dashstyle="solid"/>
          <w10:wrap type="none"/>
        </v:line>
      </w:pict>
    </w:r>
    <w:r>
      <w:rPr/>
      <w:pict>
        <v:shape style="position:absolute;margin-left:69.944pt;margin-top:790.287476pt;width:189.8pt;height:12.25pt;mso-position-horizontal-relative:page;mso-position-vertical-relative:page;z-index:-266340352" type="#_x0000_t202" filled="false" stroked="false">
          <v:textbox inset="0,0,0,0">
            <w:txbxContent>
              <w:p>
                <w:pPr>
                  <w:spacing w:before="20"/>
                  <w:ind w:left="20" w:right="0" w:firstLine="0"/>
                  <w:jc w:val="left"/>
                  <w:rPr>
                    <w:rFonts w:ascii="Franklin Gothic Book" w:hAnsi="Franklin Gothic Book"/>
                    <w:sz w:val="18"/>
                  </w:rPr>
                </w:pPr>
                <w:r>
                  <w:rPr>
                    <w:rFonts w:ascii="Franklin Gothic Book" w:hAnsi="Franklin Gothic Book"/>
                    <w:sz w:val="18"/>
                  </w:rPr>
                  <w:t>MINISTERO DELL’ECONOMIA E DELLE FINANZE</w:t>
                </w:r>
              </w:p>
            </w:txbxContent>
          </v:textbox>
          <w10:wrap type="none"/>
        </v:shape>
      </w:pict>
    </w:r>
    <w:r>
      <w:rPr/>
      <w:pict>
        <v:shape style="position:absolute;margin-left:474.019989pt;margin-top:790.287476pt;width:9.75pt;height:12.25pt;mso-position-horizontal-relative:page;mso-position-vertical-relative:page;z-index:-266339328" type="#_x0000_t202" filled="false" stroked="false">
          <v:textbox inset="0,0,0,0">
            <w:txbxContent>
              <w:p>
                <w:pPr>
                  <w:spacing w:before="20"/>
                  <w:ind w:left="40" w:right="0" w:firstLine="0"/>
                  <w:jc w:val="left"/>
                  <w:rPr>
                    <w:rFonts w:ascii="Franklin Gothic Heavy"/>
                    <w:b/>
                    <w:sz w:val="18"/>
                  </w:rPr>
                </w:pPr>
                <w:r>
                  <w:rPr/>
                  <w:fldChar w:fldCharType="begin"/>
                </w:r>
                <w:r>
                  <w:rPr>
                    <w:rFonts w:ascii="Franklin Gothic Heavy"/>
                    <w:b/>
                    <w:color w:val="585858"/>
                    <w:w w:val="99"/>
                    <w:sz w:val="18"/>
                  </w:rPr>
                  <w:instrText> PAGE  \* ROMAN </w:instrText>
                </w:r>
                <w:r>
                  <w:rPr/>
                  <w:fldChar w:fldCharType="separate"/>
                </w:r>
                <w:r>
                  <w:rPr/>
                  <w:t>V</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338304" from="111.980003pt,788.856018pt" to="525.930003pt,788.856018pt" stroked="true" strokeweight=".47998pt" strokecolor="#000000">
          <v:stroke dashstyle="solid"/>
          <w10:wrap type="none"/>
        </v:line>
      </w:pict>
    </w:r>
    <w:r>
      <w:rPr/>
      <w:pict>
        <v:shape style="position:absolute;margin-left:111.419998pt;margin-top:790.287476pt;width:13.15pt;height:12.25pt;mso-position-horizontal-relative:page;mso-position-vertical-relative:page;z-index:-266337280" type="#_x0000_t202" filled="false" stroked="false">
          <v:textbox inset="0,0,0,0">
            <w:txbxContent>
              <w:p>
                <w:pPr>
                  <w:spacing w:before="20"/>
                  <w:ind w:left="40" w:right="0" w:firstLine="0"/>
                  <w:jc w:val="left"/>
                  <w:rPr>
                    <w:rFonts w:ascii="Franklin Gothic Heavy"/>
                    <w:b/>
                    <w:sz w:val="18"/>
                  </w:rPr>
                </w:pPr>
                <w:r>
                  <w:rPr/>
                  <w:fldChar w:fldCharType="begin"/>
                </w:r>
                <w:r>
                  <w:rPr>
                    <w:rFonts w:ascii="Franklin Gothic Heavy"/>
                    <w:b/>
                    <w:color w:val="585858"/>
                    <w:sz w:val="18"/>
                  </w:rPr>
                  <w:instrText> PAGE  \* ROMAN </w:instrText>
                </w:r>
                <w:r>
                  <w:rPr/>
                  <w:fldChar w:fldCharType="separate"/>
                </w:r>
                <w:r>
                  <w:rPr/>
                  <w:t>VI</w:t>
                </w:r>
                <w:r>
                  <w:rPr/>
                  <w:fldChar w:fldCharType="end"/>
                </w:r>
              </w:p>
            </w:txbxContent>
          </v:textbox>
          <w10:wrap type="none"/>
        </v:shape>
      </w:pict>
    </w:r>
    <w:r>
      <w:rPr/>
      <w:pict>
        <v:shape style="position:absolute;margin-left:335.190002pt;margin-top:790.287476pt;width:189.8pt;height:12.25pt;mso-position-horizontal-relative:page;mso-position-vertical-relative:page;z-index:-266336256" type="#_x0000_t202" filled="false" stroked="false">
          <v:textbox inset="0,0,0,0">
            <w:txbxContent>
              <w:p>
                <w:pPr>
                  <w:spacing w:before="20"/>
                  <w:ind w:left="20" w:right="0" w:firstLine="0"/>
                  <w:jc w:val="left"/>
                  <w:rPr>
                    <w:rFonts w:ascii="Franklin Gothic Book" w:hAnsi="Franklin Gothic Book"/>
                    <w:sz w:val="18"/>
                  </w:rPr>
                </w:pPr>
                <w:r>
                  <w:rPr>
                    <w:rFonts w:ascii="Franklin Gothic Book" w:hAnsi="Franklin Gothic Book"/>
                    <w:sz w:val="18"/>
                  </w:rPr>
                  <w:t>MINISTERO DELL’ECONOMIA E DELLE FINANZE</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333184" from="69.503998pt,788.856018pt" to="483.453998pt,788.856018pt" stroked="true" strokeweight=".47998pt" strokecolor="#000000">
          <v:stroke dashstyle="solid"/>
          <w10:wrap type="none"/>
        </v:line>
      </w:pict>
    </w:r>
    <w:r>
      <w:rPr/>
      <w:pict>
        <v:shape style="position:absolute;margin-left:69.944pt;margin-top:790.287476pt;width:189.8pt;height:12.25pt;mso-position-horizontal-relative:page;mso-position-vertical-relative:page;z-index:-266332160" type="#_x0000_t202" filled="false" stroked="false">
          <v:textbox inset="0,0,0,0">
            <w:txbxContent>
              <w:p>
                <w:pPr>
                  <w:spacing w:before="20"/>
                  <w:ind w:left="20" w:right="0" w:firstLine="0"/>
                  <w:jc w:val="left"/>
                  <w:rPr>
                    <w:rFonts w:ascii="Franklin Gothic Book" w:hAnsi="Franklin Gothic Book"/>
                    <w:sz w:val="18"/>
                  </w:rPr>
                </w:pPr>
                <w:r>
                  <w:rPr>
                    <w:rFonts w:ascii="Franklin Gothic Book" w:hAnsi="Franklin Gothic Book"/>
                    <w:sz w:val="18"/>
                  </w:rPr>
                  <w:t>MINISTERO DELL’ECONOMIA E DELLE FINANZE</w:t>
                </w:r>
              </w:p>
            </w:txbxContent>
          </v:textbox>
          <w10:wrap type="none"/>
        </v:shape>
      </w:pict>
    </w:r>
    <w:r>
      <w:rPr/>
      <w:pict>
        <v:shape style="position:absolute;margin-left:467.779999pt;margin-top:790.287476pt;width:16pt;height:12.25pt;mso-position-horizontal-relative:page;mso-position-vertical-relative:page;z-index:-266331136" type="#_x0000_t202" filled="false" stroked="false">
          <v:textbox inset="0,0,0,0">
            <w:txbxContent>
              <w:p>
                <w:pPr>
                  <w:spacing w:before="20"/>
                  <w:ind w:left="40" w:right="0" w:firstLine="0"/>
                  <w:jc w:val="left"/>
                  <w:rPr>
                    <w:rFonts w:ascii="Franklin Gothic Heavy"/>
                    <w:b/>
                    <w:sz w:val="18"/>
                  </w:rPr>
                </w:pPr>
                <w:r>
                  <w:rPr/>
                  <w:fldChar w:fldCharType="begin"/>
                </w:r>
                <w:r>
                  <w:rPr>
                    <w:rFonts w:ascii="Franklin Gothic Heavy"/>
                    <w:b/>
                    <w:color w:val="585858"/>
                    <w:sz w:val="18"/>
                  </w:rPr>
                  <w:instrText> PAGE  \* ROMAN </w:instrText>
                </w:r>
                <w:r>
                  <w:rPr/>
                  <w:fldChar w:fldCharType="separate"/>
                </w:r>
                <w:r>
                  <w:rPr/>
                  <w:t>VII</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330112" from="111.980003pt,788.856018pt" to="525.930003pt,788.856018pt" stroked="true" strokeweight=".47998pt" strokecolor="#000000">
          <v:stroke dashstyle="solid"/>
          <w10:wrap type="none"/>
        </v:line>
      </w:pict>
    </w:r>
    <w:r>
      <w:rPr/>
      <w:pict>
        <v:shape style="position:absolute;margin-left:111.419998pt;margin-top:790.287476pt;width:19.25pt;height:12.25pt;mso-position-horizontal-relative:page;mso-position-vertical-relative:page;z-index:-266329088" type="#_x0000_t202" filled="false" stroked="false">
          <v:textbox inset="0,0,0,0">
            <w:txbxContent>
              <w:p>
                <w:pPr>
                  <w:spacing w:before="20"/>
                  <w:ind w:left="40" w:right="0" w:firstLine="0"/>
                  <w:jc w:val="left"/>
                  <w:rPr>
                    <w:rFonts w:ascii="Franklin Gothic Heavy"/>
                    <w:b/>
                    <w:sz w:val="18"/>
                  </w:rPr>
                </w:pPr>
                <w:r>
                  <w:rPr/>
                  <w:fldChar w:fldCharType="begin"/>
                </w:r>
                <w:r>
                  <w:rPr>
                    <w:rFonts w:ascii="Franklin Gothic Heavy"/>
                    <w:b/>
                    <w:color w:val="585858"/>
                    <w:sz w:val="18"/>
                  </w:rPr>
                  <w:instrText> PAGE  \* ROMAN </w:instrText>
                </w:r>
                <w:r>
                  <w:rPr/>
                  <w:fldChar w:fldCharType="separate"/>
                </w:r>
                <w:r>
                  <w:rPr/>
                  <w:t>VIII</w:t>
                </w:r>
                <w:r>
                  <w:rPr/>
                  <w:fldChar w:fldCharType="end"/>
                </w:r>
              </w:p>
            </w:txbxContent>
          </v:textbox>
          <w10:wrap type="none"/>
        </v:shape>
      </w:pict>
    </w:r>
    <w:r>
      <w:rPr/>
      <w:pict>
        <v:shape style="position:absolute;margin-left:335.190002pt;margin-top:790.287476pt;width:189.9pt;height:12.25pt;mso-position-horizontal-relative:page;mso-position-vertical-relative:page;z-index:-266328064" type="#_x0000_t202" filled="false" stroked="false">
          <v:textbox inset="0,0,0,0">
            <w:txbxContent>
              <w:p>
                <w:pPr>
                  <w:spacing w:before="20"/>
                  <w:ind w:left="20" w:right="0" w:firstLine="0"/>
                  <w:jc w:val="left"/>
                  <w:rPr>
                    <w:rFonts w:ascii="Franklin Gothic Book" w:hAnsi="Franklin Gothic Book"/>
                    <w:sz w:val="18"/>
                  </w:rPr>
                </w:pPr>
                <w:r>
                  <w:rPr>
                    <w:rFonts w:ascii="Franklin Gothic Book" w:hAnsi="Franklin Gothic Book"/>
                    <w:sz w:val="18"/>
                  </w:rPr>
                  <w:t>MINISTERO DELL’ECONOMIA E DELLE FINANZE</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324992" from="69.503998pt,788.856018pt" to="483.453998pt,788.856018pt" stroked="true" strokeweight=".47998pt" strokecolor="#000000">
          <v:stroke dashstyle="solid"/>
          <w10:wrap type="none"/>
        </v:line>
      </w:pict>
    </w:r>
    <w:r>
      <w:rPr/>
      <w:pict>
        <v:shape style="position:absolute;margin-left:69.944pt;margin-top:790.287476pt;width:189.8pt;height:12.25pt;mso-position-horizontal-relative:page;mso-position-vertical-relative:page;z-index:-266323968" type="#_x0000_t202" filled="false" stroked="false">
          <v:textbox inset="0,0,0,0">
            <w:txbxContent>
              <w:p>
                <w:pPr>
                  <w:spacing w:before="20"/>
                  <w:ind w:left="20" w:right="0" w:firstLine="0"/>
                  <w:jc w:val="left"/>
                  <w:rPr>
                    <w:rFonts w:ascii="Franklin Gothic Book" w:hAnsi="Franklin Gothic Book"/>
                    <w:sz w:val="18"/>
                  </w:rPr>
                </w:pPr>
                <w:r>
                  <w:rPr>
                    <w:rFonts w:ascii="Franklin Gothic Book" w:hAnsi="Franklin Gothic Book"/>
                    <w:sz w:val="18"/>
                  </w:rPr>
                  <w:t>MINISTERO DELL’ECONOMIA E DELLE FINANZE</w:t>
                </w:r>
              </w:p>
            </w:txbxContent>
          </v:textbox>
          <w10:wrap type="none"/>
        </v:shape>
      </w:pict>
    </w:r>
    <w:r>
      <w:rPr/>
      <w:pict>
        <v:shape style="position:absolute;margin-left:470.779999pt;margin-top:790.287476pt;width:13.45pt;height:12.25pt;mso-position-horizontal-relative:page;mso-position-vertical-relative:page;z-index:-266322944" type="#_x0000_t202" filled="false" stroked="false">
          <v:textbox inset="0,0,0,0">
            <w:txbxContent>
              <w:p>
                <w:pPr>
                  <w:spacing w:before="20"/>
                  <w:ind w:left="40" w:right="0" w:firstLine="0"/>
                  <w:jc w:val="left"/>
                  <w:rPr>
                    <w:rFonts w:ascii="Franklin Gothic Heavy"/>
                    <w:b/>
                    <w:sz w:val="18"/>
                  </w:rPr>
                </w:pPr>
                <w:r>
                  <w:rPr/>
                  <w:fldChar w:fldCharType="begin"/>
                </w:r>
                <w:r>
                  <w:rPr>
                    <w:rFonts w:ascii="Franklin Gothic Heavy"/>
                    <w:b/>
                    <w:color w:val="585858"/>
                    <w:sz w:val="18"/>
                  </w:rPr>
                  <w:instrText> PAGE  \* ROMAN </w:instrText>
                </w:r>
                <w:r>
                  <w:rPr/>
                  <w:fldChar w:fldCharType="separate"/>
                </w:r>
                <w:r>
                  <w:rPr/>
                  <w:t>IX</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321920" from="111.980003pt,788.856018pt" to="525.930003pt,788.856018pt" stroked="true" strokeweight=".47998pt" strokecolor="#000000">
          <v:stroke dashstyle="solid"/>
          <w10:wrap type="none"/>
        </v:line>
      </w:pict>
    </w:r>
    <w:r>
      <w:rPr/>
      <w:pict>
        <v:shape style="position:absolute;margin-left:111.419998pt;margin-top:790.287476pt;width:9.85pt;height:12.25pt;mso-position-horizontal-relative:page;mso-position-vertical-relative:page;z-index:-266320896" type="#_x0000_t202" filled="false" stroked="false">
          <v:textbox inset="0,0,0,0">
            <w:txbxContent>
              <w:p>
                <w:pPr>
                  <w:spacing w:before="20"/>
                  <w:ind w:left="40" w:right="0" w:firstLine="0"/>
                  <w:jc w:val="left"/>
                  <w:rPr>
                    <w:rFonts w:ascii="Franklin Gothic Heavy"/>
                    <w:b/>
                    <w:sz w:val="18"/>
                  </w:rPr>
                </w:pPr>
                <w:r>
                  <w:rPr/>
                  <w:fldChar w:fldCharType="begin"/>
                </w:r>
                <w:r>
                  <w:rPr>
                    <w:rFonts w:ascii="Franklin Gothic Heavy"/>
                    <w:b/>
                    <w:color w:val="585858"/>
                    <w:w w:val="99"/>
                    <w:sz w:val="18"/>
                  </w:rPr>
                  <w:instrText> PAGE  \* ROMAN </w:instrText>
                </w:r>
                <w:r>
                  <w:rPr/>
                  <w:fldChar w:fldCharType="separate"/>
                </w:r>
                <w:r>
                  <w:rPr/>
                  <w:t>X</w:t>
                </w:r>
                <w:r>
                  <w:rPr/>
                  <w:fldChar w:fldCharType="end"/>
                </w:r>
              </w:p>
            </w:txbxContent>
          </v:textbox>
          <w10:wrap type="none"/>
        </v:shape>
      </w:pict>
    </w:r>
    <w:r>
      <w:rPr/>
      <w:pict>
        <v:shape style="position:absolute;margin-left:335.190002pt;margin-top:790.287476pt;width:189.9pt;height:12.25pt;mso-position-horizontal-relative:page;mso-position-vertical-relative:page;z-index:-266319872" type="#_x0000_t202" filled="false" stroked="false">
          <v:textbox inset="0,0,0,0">
            <w:txbxContent>
              <w:p>
                <w:pPr>
                  <w:spacing w:before="20"/>
                  <w:ind w:left="20" w:right="0" w:firstLine="0"/>
                  <w:jc w:val="left"/>
                  <w:rPr>
                    <w:rFonts w:ascii="Franklin Gothic Book" w:hAnsi="Franklin Gothic Book"/>
                    <w:sz w:val="18"/>
                  </w:rPr>
                </w:pPr>
                <w:r>
                  <w:rPr>
                    <w:rFonts w:ascii="Franklin Gothic Book" w:hAnsi="Franklin Gothic Book"/>
                    <w:sz w:val="18"/>
                  </w:rPr>
                  <w:t>MINISTERO DELL’ECONOMIA E DELLE FINANZE</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316800" from="69.503998pt,788.856018pt" to="483.453998pt,788.856018pt" stroked="true" strokeweight=".47998pt" strokecolor="#000000">
          <v:stroke dashstyle="solid"/>
          <w10:wrap type="none"/>
        </v:line>
      </w:pict>
    </w:r>
    <w:r>
      <w:rPr/>
      <w:pict>
        <v:shape style="position:absolute;margin-left:69.944pt;margin-top:790.287476pt;width:189.8pt;height:12.25pt;mso-position-horizontal-relative:page;mso-position-vertical-relative:page;z-index:-266315776" type="#_x0000_t202" filled="false" stroked="false">
          <v:textbox inset="0,0,0,0">
            <w:txbxContent>
              <w:p>
                <w:pPr>
                  <w:spacing w:before="20"/>
                  <w:ind w:left="20" w:right="0" w:firstLine="0"/>
                  <w:jc w:val="left"/>
                  <w:rPr>
                    <w:rFonts w:ascii="Franklin Gothic Book" w:hAnsi="Franklin Gothic Book"/>
                    <w:sz w:val="18"/>
                  </w:rPr>
                </w:pPr>
                <w:r>
                  <w:rPr>
                    <w:rFonts w:ascii="Franklin Gothic Book" w:hAnsi="Franklin Gothic Book"/>
                    <w:sz w:val="18"/>
                  </w:rPr>
                  <w:t>MINISTERO DELL’ECONOMIA E DELLE FINANZE</w:t>
                </w:r>
              </w:p>
            </w:txbxContent>
          </v:textbox>
          <w10:wrap type="none"/>
        </v:shape>
      </w:pict>
    </w:r>
    <w:r>
      <w:rPr/>
      <w:pict>
        <v:shape style="position:absolute;margin-left:463.459991pt;margin-top:790.287476pt;width:20.6pt;height:12.25pt;mso-position-horizontal-relative:page;mso-position-vertical-relative:page;z-index:-266314752" type="#_x0000_t202" filled="false" stroked="false">
          <v:textbox inset="0,0,0,0">
            <w:txbxContent>
              <w:p>
                <w:pPr>
                  <w:spacing w:before="20"/>
                  <w:ind w:left="40" w:right="0" w:firstLine="0"/>
                  <w:jc w:val="left"/>
                  <w:rPr>
                    <w:rFonts w:ascii="Franklin Gothic Heavy"/>
                    <w:b/>
                    <w:sz w:val="18"/>
                  </w:rPr>
                </w:pPr>
                <w:r>
                  <w:rPr/>
                  <w:fldChar w:fldCharType="begin"/>
                </w:r>
                <w:r>
                  <w:rPr>
                    <w:rFonts w:ascii="Franklin Gothic Heavy"/>
                    <w:b/>
                    <w:color w:val="585858"/>
                    <w:sz w:val="18"/>
                  </w:rPr>
                  <w:instrText> PAGE </w:instrText>
                </w:r>
                <w:r>
                  <w:rPr/>
                  <w:fldChar w:fldCharType="separate"/>
                </w:r>
                <w:r>
                  <w:rPr/>
                  <w:t>101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343424" from="111.980003pt,55.559982pt" to="525.930003pt,55.559982pt" stroked="true" strokeweight=".48pt" strokecolor="#000000">
          <v:stroke dashstyle="solid"/>
          <w10:wrap type="none"/>
        </v:line>
      </w:pict>
    </w:r>
    <w:r>
      <w:rPr/>
      <w:pict>
        <v:shape style="position:absolute;margin-left:221.770004pt;margin-top:40.911449pt;width:303.75pt;height:12.25pt;mso-position-horizontal-relative:page;mso-position-vertical-relative:page;z-index:-266342400" type="#_x0000_t202" filled="false" stroked="false">
          <v:textbox inset="0,0,0,0">
            <w:txbxContent>
              <w:p>
                <w:pPr>
                  <w:spacing w:before="20"/>
                  <w:ind w:left="20" w:right="0" w:firstLine="0"/>
                  <w:jc w:val="left"/>
                  <w:rPr>
                    <w:rFonts w:ascii="Franklin Gothic Heavy"/>
                    <w:b/>
                    <w:sz w:val="18"/>
                  </w:rPr>
                </w:pPr>
                <w:r>
                  <w:rPr>
                    <w:rFonts w:ascii="Franklin Gothic Heavy"/>
                    <w:b/>
                    <w:color w:val="086D44"/>
                    <w:sz w:val="18"/>
                  </w:rPr>
                  <w:t>NOTA DI AGGIORNAMENTO DEL </w:t>
                </w:r>
                <w:r>
                  <w:rPr>
                    <w:rFonts w:ascii="Franklin Gothic Book"/>
                    <w:sz w:val="18"/>
                  </w:rPr>
                  <w:t>DOCUMENTO DI ECONOMIA E FINANZA 20</w:t>
                </w:r>
                <w:r>
                  <w:rPr>
                    <w:rFonts w:ascii="Franklin Gothic Heavy"/>
                    <w:b/>
                    <w:color w:val="086D44"/>
                    <w:sz w:val="18"/>
                  </w:rPr>
                  <w:t>19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308608" from="69.503998pt,55.559982pt" to="483.453998pt,55.559982pt" stroked="true" strokeweight=".48pt" strokecolor="#000000">
          <v:stroke dashstyle="solid"/>
          <w10:wrap type="none"/>
        </v:line>
      </w:pict>
    </w:r>
    <w:r>
      <w:rPr/>
      <w:pict>
        <v:shape style="position:absolute;margin-left:69.944pt;margin-top:40.911449pt;width:264.7pt;height:12.25pt;mso-position-horizontal-relative:page;mso-position-vertical-relative:page;z-index:-266307584" type="#_x0000_t202" filled="false" stroked="false">
          <v:textbox inset="0,0,0,0">
            <w:txbxContent>
              <w:p>
                <w:pPr>
                  <w:spacing w:before="20"/>
                  <w:ind w:left="20" w:right="0" w:firstLine="0"/>
                  <w:jc w:val="left"/>
                  <w:rPr>
                    <w:rFonts w:ascii="Franklin Gothic Heavy"/>
                    <w:b/>
                    <w:sz w:val="18"/>
                  </w:rPr>
                </w:pPr>
                <w:r>
                  <w:rPr>
                    <w:rFonts w:ascii="Franklin Gothic Heavy"/>
                    <w:b/>
                    <w:color w:val="585858"/>
                    <w:sz w:val="18"/>
                  </w:rPr>
                  <w:t>I. </w:t>
                </w:r>
                <w:r>
                  <w:rPr>
                    <w:rFonts w:ascii="Franklin Gothic Heavy"/>
                    <w:b/>
                    <w:color w:val="086D44"/>
                    <w:sz w:val="18"/>
                  </w:rPr>
                  <w:t>QUADRO COMPLESSIVO E OBIETTIVI DI POLITICA DI BILANCIO</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300416" from="111.980003pt,55.559982pt" to="525.930003pt,55.559982pt" stroked="true" strokeweight=".48pt" strokecolor="#000000">
          <v:stroke dashstyle="solid"/>
          <w10:wrap type="none"/>
        </v:line>
      </w:pict>
    </w:r>
    <w:r>
      <w:rPr/>
      <w:pict>
        <v:shape style="position:absolute;margin-left:221.770004pt;margin-top:40.911449pt;width:303.75pt;height:12.25pt;mso-position-horizontal-relative:page;mso-position-vertical-relative:page;z-index:-266299392" type="#_x0000_t202" filled="false" stroked="false">
          <v:textbox inset="0,0,0,0">
            <w:txbxContent>
              <w:p>
                <w:pPr>
                  <w:spacing w:before="20"/>
                  <w:ind w:left="20" w:right="0" w:firstLine="0"/>
                  <w:jc w:val="left"/>
                  <w:rPr>
                    <w:rFonts w:ascii="Franklin Gothic Heavy"/>
                    <w:b/>
                    <w:sz w:val="18"/>
                  </w:rPr>
                </w:pPr>
                <w:r>
                  <w:rPr>
                    <w:rFonts w:ascii="Franklin Gothic Heavy"/>
                    <w:b/>
                    <w:color w:val="086D44"/>
                    <w:sz w:val="18"/>
                  </w:rPr>
                  <w:t>NOTA DI AGGIORNAMENTO DEL </w:t>
                </w:r>
                <w:r>
                  <w:rPr>
                    <w:rFonts w:ascii="Franklin Gothic Book"/>
                    <w:sz w:val="18"/>
                  </w:rPr>
                  <w:t>DOCUMENTO DI ECONOMIA E FINANZA 20</w:t>
                </w:r>
                <w:r>
                  <w:rPr>
                    <w:rFonts w:ascii="Franklin Gothic Heavy"/>
                    <w:b/>
                    <w:color w:val="086D44"/>
                    <w:sz w:val="18"/>
                  </w:rPr>
                  <w:t>19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298368" from="69.503998pt,55.559982pt" to="483.453998pt,55.559982pt" stroked="true" strokeweight=".48pt" strokecolor="#000000">
          <v:stroke dashstyle="solid"/>
          <w10:wrap type="none"/>
        </v:line>
      </w:pict>
    </w:r>
    <w:r>
      <w:rPr/>
      <w:pict>
        <v:shape style="position:absolute;margin-left:69.944pt;margin-top:40.911449pt;width:134.4pt;height:12.25pt;mso-position-horizontal-relative:page;mso-position-vertical-relative:page;z-index:-266297344" type="#_x0000_t202" filled="false" stroked="false">
          <v:textbox inset="0,0,0,0">
            <w:txbxContent>
              <w:p>
                <w:pPr>
                  <w:spacing w:before="20"/>
                  <w:ind w:left="20" w:right="0" w:firstLine="0"/>
                  <w:jc w:val="left"/>
                  <w:rPr>
                    <w:rFonts w:ascii="Franklin Gothic Heavy"/>
                    <w:b/>
                    <w:sz w:val="18"/>
                  </w:rPr>
                </w:pPr>
                <w:r>
                  <w:rPr>
                    <w:rFonts w:ascii="Franklin Gothic Heavy"/>
                    <w:b/>
                    <w:color w:val="585858"/>
                    <w:sz w:val="18"/>
                  </w:rPr>
                  <w:t>II. </w:t>
                </w:r>
                <w:r>
                  <w:rPr>
                    <w:rFonts w:ascii="Franklin Gothic Heavy"/>
                    <w:b/>
                    <w:color w:val="086D44"/>
                    <w:sz w:val="18"/>
                  </w:rPr>
                  <w:t>QUADRO MACROECONOMICO</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290176" from="111.980003pt,55.559982pt" to="525.930003pt,55.559982pt" stroked="true" strokeweight=".48pt" strokecolor="#000000">
          <v:stroke dashstyle="solid"/>
          <w10:wrap type="none"/>
        </v:line>
      </w:pict>
    </w:r>
    <w:r>
      <w:rPr/>
      <w:pict>
        <v:shape style="position:absolute;margin-left:221.770004pt;margin-top:40.911449pt;width:303.75pt;height:12.25pt;mso-position-horizontal-relative:page;mso-position-vertical-relative:page;z-index:-266289152" type="#_x0000_t202" filled="false" stroked="false">
          <v:textbox inset="0,0,0,0">
            <w:txbxContent>
              <w:p>
                <w:pPr>
                  <w:spacing w:before="20"/>
                  <w:ind w:left="20" w:right="0" w:firstLine="0"/>
                  <w:jc w:val="left"/>
                  <w:rPr>
                    <w:rFonts w:ascii="Franklin Gothic Heavy"/>
                    <w:b/>
                    <w:sz w:val="18"/>
                  </w:rPr>
                </w:pPr>
                <w:r>
                  <w:rPr>
                    <w:rFonts w:ascii="Franklin Gothic Heavy"/>
                    <w:b/>
                    <w:color w:val="086D44"/>
                    <w:sz w:val="18"/>
                  </w:rPr>
                  <w:t>NOTA DI AGGIORNAMENTO DEL </w:t>
                </w:r>
                <w:r>
                  <w:rPr>
                    <w:rFonts w:ascii="Franklin Gothic Book"/>
                    <w:sz w:val="18"/>
                  </w:rPr>
                  <w:t>DOCUMENTO DI ECONOMIA E FINANZA 20</w:t>
                </w:r>
                <w:r>
                  <w:rPr>
                    <w:rFonts w:ascii="Franklin Gothic Heavy"/>
                    <w:b/>
                    <w:color w:val="086D44"/>
                    <w:sz w:val="18"/>
                  </w:rPr>
                  <w:t>19</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288128" from="69.503998pt,55.559982pt" to="483.453998pt,55.559982pt" stroked="true" strokeweight=".48pt" strokecolor="#000000">
          <v:stroke dashstyle="solid"/>
          <w10:wrap type="none"/>
        </v:line>
      </w:pict>
    </w:r>
    <w:r>
      <w:rPr/>
      <w:pict>
        <v:shape style="position:absolute;margin-left:69.944pt;margin-top:40.911449pt;width:197.45pt;height:12.25pt;mso-position-horizontal-relative:page;mso-position-vertical-relative:page;z-index:-266287104" type="#_x0000_t202" filled="false" stroked="false">
          <v:textbox inset="0,0,0,0">
            <w:txbxContent>
              <w:p>
                <w:pPr>
                  <w:spacing w:before="20"/>
                  <w:ind w:left="20" w:right="0" w:firstLine="0"/>
                  <w:jc w:val="left"/>
                  <w:rPr>
                    <w:rFonts w:ascii="Franklin Gothic Heavy"/>
                    <w:b/>
                    <w:sz w:val="18"/>
                  </w:rPr>
                </w:pPr>
                <w:r>
                  <w:rPr>
                    <w:rFonts w:ascii="Franklin Gothic Heavy"/>
                    <w:b/>
                    <w:color w:val="585858"/>
                    <w:sz w:val="18"/>
                  </w:rPr>
                  <w:t>III. </w:t>
                </w:r>
                <w:r>
                  <w:rPr>
                    <w:rFonts w:ascii="Franklin Gothic Heavy"/>
                    <w:b/>
                    <w:color w:val="086D44"/>
                    <w:sz w:val="18"/>
                  </w:rPr>
                  <w:t>INDEBITAMENTO NETTO E DEBITO PUBBLICO</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279936" from="111.980003pt,55.559982pt" to="525.930003pt,55.559982pt" stroked="true" strokeweight=".48pt" strokecolor="#000000">
          <v:stroke dashstyle="solid"/>
          <w10:wrap type="none"/>
        </v:line>
      </w:pict>
    </w:r>
    <w:r>
      <w:rPr/>
      <w:pict>
        <v:shape style="position:absolute;margin-left:221.770004pt;margin-top:40.911449pt;width:303.75pt;height:12.25pt;mso-position-horizontal-relative:page;mso-position-vertical-relative:page;z-index:-266278912" type="#_x0000_t202" filled="false" stroked="false">
          <v:textbox inset="0,0,0,0">
            <w:txbxContent>
              <w:p>
                <w:pPr>
                  <w:spacing w:before="20"/>
                  <w:ind w:left="20" w:right="0" w:firstLine="0"/>
                  <w:jc w:val="left"/>
                  <w:rPr>
                    <w:rFonts w:ascii="Franklin Gothic Heavy"/>
                    <w:b/>
                    <w:sz w:val="18"/>
                  </w:rPr>
                </w:pPr>
                <w:r>
                  <w:rPr>
                    <w:rFonts w:ascii="Franklin Gothic Heavy"/>
                    <w:b/>
                    <w:color w:val="086D44"/>
                    <w:sz w:val="18"/>
                  </w:rPr>
                  <w:t>NOTA DI AGGIORNAMENTO DEL </w:t>
                </w:r>
                <w:r>
                  <w:rPr>
                    <w:rFonts w:ascii="Franklin Gothic Book"/>
                    <w:sz w:val="18"/>
                  </w:rPr>
                  <w:t>DOCUMENTO DI ECONOMIA E FINANZA 20</w:t>
                </w:r>
                <w:r>
                  <w:rPr>
                    <w:rFonts w:ascii="Franklin Gothic Heavy"/>
                    <w:b/>
                    <w:color w:val="086D44"/>
                    <w:sz w:val="18"/>
                  </w:rPr>
                  <w:t>19</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277888" from="69.503998pt,55.559982pt" to="483.453998pt,55.559982pt" stroked="true" strokeweight=".48pt" strokecolor="#000000">
          <v:stroke dashstyle="solid"/>
          <w10:wrap type="none"/>
        </v:line>
      </w:pict>
    </w:r>
    <w:r>
      <w:rPr/>
      <w:pict>
        <v:shape style="position:absolute;margin-left:69.944pt;margin-top:40.911449pt;width:341.35pt;height:12.25pt;mso-position-horizontal-relative:page;mso-position-vertical-relative:page;z-index:-266276864" type="#_x0000_t202" filled="false" stroked="false">
          <v:textbox inset="0,0,0,0">
            <w:txbxContent>
              <w:p>
                <w:pPr>
                  <w:spacing w:before="20"/>
                  <w:ind w:left="20" w:right="0" w:firstLine="0"/>
                  <w:jc w:val="left"/>
                  <w:rPr>
                    <w:rFonts w:ascii="Franklin Gothic Heavy" w:hAnsi="Franklin Gothic Heavy"/>
                    <w:b/>
                    <w:sz w:val="18"/>
                  </w:rPr>
                </w:pPr>
                <w:r>
                  <w:rPr>
                    <w:rFonts w:ascii="Franklin Gothic Heavy" w:hAnsi="Franklin Gothic Heavy"/>
                    <w:b/>
                    <w:color w:val="585858"/>
                    <w:sz w:val="18"/>
                  </w:rPr>
                  <w:t>IV</w:t>
                </w:r>
                <w:r>
                  <w:rPr>
                    <w:rFonts w:ascii="Franklin Gothic Book" w:hAnsi="Franklin Gothic Book"/>
                    <w:sz w:val="18"/>
                  </w:rPr>
                  <w:t>. </w:t>
                </w:r>
                <w:r>
                  <w:rPr>
                    <w:rFonts w:ascii="Franklin Gothic Heavy" w:hAnsi="Franklin Gothic Heavy"/>
                    <w:b/>
                    <w:color w:val="086D44"/>
                    <w:sz w:val="18"/>
                  </w:rPr>
                  <w:t>LE RIFORME E LE RACCOMANDAZIONI DEL CONSIGLIO DELL’UNIONE EUROPEA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335232" from="111.980003pt,55.559982pt" to="525.930003pt,55.559982pt" stroked="true" strokeweight=".48pt" strokecolor="#000000">
          <v:stroke dashstyle="solid"/>
          <w10:wrap type="none"/>
        </v:line>
      </w:pict>
    </w:r>
    <w:r>
      <w:rPr/>
      <w:pict>
        <v:shape style="position:absolute;margin-left:221.770004pt;margin-top:40.911449pt;width:303.75pt;height:12.25pt;mso-position-horizontal-relative:page;mso-position-vertical-relative:page;z-index:-266334208" type="#_x0000_t202" filled="false" stroked="false">
          <v:textbox inset="0,0,0,0">
            <w:txbxContent>
              <w:p>
                <w:pPr>
                  <w:spacing w:before="20"/>
                  <w:ind w:left="20" w:right="0" w:firstLine="0"/>
                  <w:jc w:val="left"/>
                  <w:rPr>
                    <w:rFonts w:ascii="Franklin Gothic Heavy"/>
                    <w:b/>
                    <w:sz w:val="18"/>
                  </w:rPr>
                </w:pPr>
                <w:r>
                  <w:rPr>
                    <w:rFonts w:ascii="Franklin Gothic Heavy"/>
                    <w:b/>
                    <w:color w:val="086D44"/>
                    <w:sz w:val="18"/>
                  </w:rPr>
                  <w:t>NOTA DI AGGIORNAMENTO DEL </w:t>
                </w:r>
                <w:r>
                  <w:rPr>
                    <w:rFonts w:ascii="Franklin Gothic Book"/>
                    <w:sz w:val="18"/>
                  </w:rPr>
                  <w:t>DOCUMENTO DI ECONOMIA E FINANZA 20</w:t>
                </w:r>
                <w:r>
                  <w:rPr>
                    <w:rFonts w:ascii="Franklin Gothic Heavy"/>
                    <w:b/>
                    <w:color w:val="086D44"/>
                    <w:sz w:val="18"/>
                  </w:rPr>
                  <w:t>19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327040" from="111.980003pt,55.559982pt" to="525.930003pt,55.559982pt" stroked="true" strokeweight=".48pt" strokecolor="#000000">
          <v:stroke dashstyle="solid"/>
          <w10:wrap type="none"/>
        </v:line>
      </w:pict>
    </w:r>
    <w:r>
      <w:rPr/>
      <w:pict>
        <v:shape style="position:absolute;margin-left:221.770004pt;margin-top:40.911449pt;width:303.75pt;height:12.25pt;mso-position-horizontal-relative:page;mso-position-vertical-relative:page;z-index:-266326016" type="#_x0000_t202" filled="false" stroked="false">
          <v:textbox inset="0,0,0,0">
            <w:txbxContent>
              <w:p>
                <w:pPr>
                  <w:spacing w:before="20"/>
                  <w:ind w:left="20" w:right="0" w:firstLine="0"/>
                  <w:jc w:val="left"/>
                  <w:rPr>
                    <w:rFonts w:ascii="Franklin Gothic Heavy"/>
                    <w:b/>
                    <w:sz w:val="18"/>
                  </w:rPr>
                </w:pPr>
                <w:r>
                  <w:rPr>
                    <w:rFonts w:ascii="Franklin Gothic Heavy"/>
                    <w:b/>
                    <w:color w:val="086D44"/>
                    <w:sz w:val="18"/>
                  </w:rPr>
                  <w:t>NOTA DI AGGIORNAMENTO DEL </w:t>
                </w:r>
                <w:r>
                  <w:rPr>
                    <w:rFonts w:ascii="Franklin Gothic Book"/>
                    <w:sz w:val="18"/>
                  </w:rPr>
                  <w:t>DOCUMENTO DI ECONOMIA E FINANZA </w:t>
                </w:r>
                <w:r>
                  <w:rPr>
                    <w:rFonts w:ascii="Franklin Gothic Heavy"/>
                    <w:b/>
                    <w:color w:val="086D44"/>
                    <w:sz w:val="18"/>
                  </w:rPr>
                  <w:t>2019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318848" from="111.980003pt,55.559982pt" to="525.930003pt,55.559982pt" stroked="true" strokeweight=".48pt" strokecolor="#000000">
          <v:stroke dashstyle="solid"/>
          <w10:wrap type="none"/>
        </v:line>
      </w:pict>
    </w:r>
    <w:r>
      <w:rPr/>
      <w:pict>
        <v:shape style="position:absolute;margin-left:221.770004pt;margin-top:40.911449pt;width:303.75pt;height:12.25pt;mso-position-horizontal-relative:page;mso-position-vertical-relative:page;z-index:-266317824" type="#_x0000_t202" filled="false" stroked="false">
          <v:textbox inset="0,0,0,0">
            <w:txbxContent>
              <w:p>
                <w:pPr>
                  <w:spacing w:before="20"/>
                  <w:ind w:left="20" w:right="0" w:firstLine="0"/>
                  <w:jc w:val="left"/>
                  <w:rPr>
                    <w:rFonts w:ascii="Franklin Gothic Heavy"/>
                    <w:b/>
                    <w:sz w:val="18"/>
                  </w:rPr>
                </w:pPr>
                <w:r>
                  <w:rPr>
                    <w:rFonts w:ascii="Franklin Gothic Heavy"/>
                    <w:b/>
                    <w:color w:val="086D44"/>
                    <w:sz w:val="18"/>
                  </w:rPr>
                  <w:t>NOTA DI AGGIORNAMENTO DEL </w:t>
                </w:r>
                <w:r>
                  <w:rPr>
                    <w:rFonts w:ascii="Franklin Gothic Book"/>
                    <w:sz w:val="18"/>
                  </w:rPr>
                  <w:t>DOCUMENTO DI ECONOMIA E FINANZA </w:t>
                </w:r>
                <w:r>
                  <w:rPr>
                    <w:rFonts w:ascii="Franklin Gothic Heavy"/>
                    <w:b/>
                    <w:color w:val="086D44"/>
                    <w:sz w:val="18"/>
                  </w:rPr>
                  <w:t>2019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310656" from="111.980003pt,55.559982pt" to="525.930003pt,55.559982pt" stroked="true" strokeweight=".48pt" strokecolor="#000000">
          <v:stroke dashstyle="solid"/>
          <w10:wrap type="none"/>
        </v:line>
      </w:pict>
    </w:r>
    <w:r>
      <w:rPr/>
      <w:pict>
        <v:shape style="position:absolute;margin-left:221.770004pt;margin-top:40.911449pt;width:303.75pt;height:12.25pt;mso-position-horizontal-relative:page;mso-position-vertical-relative:page;z-index:-266309632" type="#_x0000_t202" filled="false" stroked="false">
          <v:textbox inset="0,0,0,0">
            <w:txbxContent>
              <w:p>
                <w:pPr>
                  <w:spacing w:before="20"/>
                  <w:ind w:left="20" w:right="0" w:firstLine="0"/>
                  <w:jc w:val="left"/>
                  <w:rPr>
                    <w:rFonts w:ascii="Franklin Gothic Heavy"/>
                    <w:b/>
                    <w:sz w:val="18"/>
                  </w:rPr>
                </w:pPr>
                <w:r>
                  <w:rPr>
                    <w:rFonts w:ascii="Franklin Gothic Heavy"/>
                    <w:b/>
                    <w:color w:val="086D44"/>
                    <w:sz w:val="18"/>
                  </w:rPr>
                  <w:t>NOTA DI AGGIORNAMENTO DEL </w:t>
                </w:r>
                <w:r>
                  <w:rPr>
                    <w:rFonts w:ascii="Franklin Gothic Book"/>
                    <w:sz w:val="18"/>
                  </w:rPr>
                  <w:t>DOCUMENTO DI ECONOMIA E FINANZA 20</w:t>
                </w:r>
                <w:r>
                  <w:rPr>
                    <w:rFonts w:ascii="Franklin Gothic Heavy"/>
                    <w:b/>
                    <w:color w:val="086D44"/>
                    <w:sz w:val="18"/>
                  </w:rPr>
                  <w:t>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706" w:hanging="428"/>
      </w:pPr>
      <w:rPr>
        <w:rFonts w:hint="default" w:ascii="Symbol" w:hAnsi="Symbol" w:eastAsia="Symbol" w:cs="Symbol"/>
        <w:w w:val="100"/>
        <w:sz w:val="22"/>
        <w:szCs w:val="22"/>
        <w:lang w:val="it-IT" w:eastAsia="it-IT" w:bidi="it-IT"/>
      </w:rPr>
    </w:lvl>
    <w:lvl w:ilvl="1">
      <w:start w:val="0"/>
      <w:numFmt w:val="bullet"/>
      <w:lvlText w:val=""/>
      <w:lvlJc w:val="left"/>
      <w:pPr>
        <w:ind w:left="1553" w:hanging="428"/>
      </w:pPr>
      <w:rPr>
        <w:rFonts w:hint="default" w:ascii="Symbol" w:hAnsi="Symbol" w:eastAsia="Symbol" w:cs="Symbol"/>
        <w:w w:val="100"/>
        <w:sz w:val="22"/>
        <w:szCs w:val="22"/>
        <w:lang w:val="it-IT" w:eastAsia="it-IT" w:bidi="it-IT"/>
      </w:rPr>
    </w:lvl>
    <w:lvl w:ilvl="2">
      <w:start w:val="0"/>
      <w:numFmt w:val="bullet"/>
      <w:lvlText w:val="•"/>
      <w:lvlJc w:val="left"/>
      <w:pPr>
        <w:ind w:left="2582" w:hanging="428"/>
      </w:pPr>
      <w:rPr>
        <w:rFonts w:hint="default"/>
        <w:lang w:val="it-IT" w:eastAsia="it-IT" w:bidi="it-IT"/>
      </w:rPr>
    </w:lvl>
    <w:lvl w:ilvl="3">
      <w:start w:val="0"/>
      <w:numFmt w:val="bullet"/>
      <w:lvlText w:val="•"/>
      <w:lvlJc w:val="left"/>
      <w:pPr>
        <w:ind w:left="3605" w:hanging="428"/>
      </w:pPr>
      <w:rPr>
        <w:rFonts w:hint="default"/>
        <w:lang w:val="it-IT" w:eastAsia="it-IT" w:bidi="it-IT"/>
      </w:rPr>
    </w:lvl>
    <w:lvl w:ilvl="4">
      <w:start w:val="0"/>
      <w:numFmt w:val="bullet"/>
      <w:lvlText w:val="•"/>
      <w:lvlJc w:val="left"/>
      <w:pPr>
        <w:ind w:left="4628" w:hanging="428"/>
      </w:pPr>
      <w:rPr>
        <w:rFonts w:hint="default"/>
        <w:lang w:val="it-IT" w:eastAsia="it-IT" w:bidi="it-IT"/>
      </w:rPr>
    </w:lvl>
    <w:lvl w:ilvl="5">
      <w:start w:val="0"/>
      <w:numFmt w:val="bullet"/>
      <w:lvlText w:val="•"/>
      <w:lvlJc w:val="left"/>
      <w:pPr>
        <w:ind w:left="5651" w:hanging="428"/>
      </w:pPr>
      <w:rPr>
        <w:rFonts w:hint="default"/>
        <w:lang w:val="it-IT" w:eastAsia="it-IT" w:bidi="it-IT"/>
      </w:rPr>
    </w:lvl>
    <w:lvl w:ilvl="6">
      <w:start w:val="0"/>
      <w:numFmt w:val="bullet"/>
      <w:lvlText w:val="•"/>
      <w:lvlJc w:val="left"/>
      <w:pPr>
        <w:ind w:left="6674" w:hanging="428"/>
      </w:pPr>
      <w:rPr>
        <w:rFonts w:hint="default"/>
        <w:lang w:val="it-IT" w:eastAsia="it-IT" w:bidi="it-IT"/>
      </w:rPr>
    </w:lvl>
    <w:lvl w:ilvl="7">
      <w:start w:val="0"/>
      <w:numFmt w:val="bullet"/>
      <w:lvlText w:val="•"/>
      <w:lvlJc w:val="left"/>
      <w:pPr>
        <w:ind w:left="7697" w:hanging="428"/>
      </w:pPr>
      <w:rPr>
        <w:rFonts w:hint="default"/>
        <w:lang w:val="it-IT" w:eastAsia="it-IT" w:bidi="it-IT"/>
      </w:rPr>
    </w:lvl>
    <w:lvl w:ilvl="8">
      <w:start w:val="0"/>
      <w:numFmt w:val="bullet"/>
      <w:lvlText w:val="•"/>
      <w:lvlJc w:val="left"/>
      <w:pPr>
        <w:ind w:left="8720" w:hanging="428"/>
      </w:pPr>
      <w:rPr>
        <w:rFonts w:hint="default"/>
        <w:lang w:val="it-IT" w:eastAsia="it-IT" w:bidi="it-IT"/>
      </w:rPr>
    </w:lvl>
  </w:abstractNum>
  <w:abstractNum w:abstractNumId="12">
    <w:multiLevelType w:val="hybridMultilevel"/>
    <w:lvl w:ilvl="0">
      <w:start w:val="1"/>
      <w:numFmt w:val="decimal"/>
      <w:lvlText w:val="%1)"/>
      <w:lvlJc w:val="left"/>
      <w:pPr>
        <w:ind w:left="732" w:hanging="454"/>
        <w:jc w:val="left"/>
      </w:pPr>
      <w:rPr>
        <w:rFonts w:hint="default" w:ascii="Trebuchet MS" w:hAnsi="Trebuchet MS" w:eastAsia="Trebuchet MS" w:cs="Trebuchet MS"/>
        <w:spacing w:val="-1"/>
        <w:w w:val="100"/>
        <w:sz w:val="22"/>
        <w:szCs w:val="22"/>
        <w:lang w:val="it-IT" w:eastAsia="it-IT" w:bidi="it-IT"/>
      </w:rPr>
    </w:lvl>
    <w:lvl w:ilvl="1">
      <w:start w:val="0"/>
      <w:numFmt w:val="bullet"/>
      <w:lvlText w:val="•"/>
      <w:lvlJc w:val="left"/>
      <w:pPr>
        <w:ind w:left="1742" w:hanging="454"/>
      </w:pPr>
      <w:rPr>
        <w:rFonts w:hint="default"/>
        <w:lang w:val="it-IT" w:eastAsia="it-IT" w:bidi="it-IT"/>
      </w:rPr>
    </w:lvl>
    <w:lvl w:ilvl="2">
      <w:start w:val="0"/>
      <w:numFmt w:val="bullet"/>
      <w:lvlText w:val="•"/>
      <w:lvlJc w:val="left"/>
      <w:pPr>
        <w:ind w:left="2745" w:hanging="454"/>
      </w:pPr>
      <w:rPr>
        <w:rFonts w:hint="default"/>
        <w:lang w:val="it-IT" w:eastAsia="it-IT" w:bidi="it-IT"/>
      </w:rPr>
    </w:lvl>
    <w:lvl w:ilvl="3">
      <w:start w:val="0"/>
      <w:numFmt w:val="bullet"/>
      <w:lvlText w:val="•"/>
      <w:lvlJc w:val="left"/>
      <w:pPr>
        <w:ind w:left="3747" w:hanging="454"/>
      </w:pPr>
      <w:rPr>
        <w:rFonts w:hint="default"/>
        <w:lang w:val="it-IT" w:eastAsia="it-IT" w:bidi="it-IT"/>
      </w:rPr>
    </w:lvl>
    <w:lvl w:ilvl="4">
      <w:start w:val="0"/>
      <w:numFmt w:val="bullet"/>
      <w:lvlText w:val="•"/>
      <w:lvlJc w:val="left"/>
      <w:pPr>
        <w:ind w:left="4750" w:hanging="454"/>
      </w:pPr>
      <w:rPr>
        <w:rFonts w:hint="default"/>
        <w:lang w:val="it-IT" w:eastAsia="it-IT" w:bidi="it-IT"/>
      </w:rPr>
    </w:lvl>
    <w:lvl w:ilvl="5">
      <w:start w:val="0"/>
      <w:numFmt w:val="bullet"/>
      <w:lvlText w:val="•"/>
      <w:lvlJc w:val="left"/>
      <w:pPr>
        <w:ind w:left="5753" w:hanging="454"/>
      </w:pPr>
      <w:rPr>
        <w:rFonts w:hint="default"/>
        <w:lang w:val="it-IT" w:eastAsia="it-IT" w:bidi="it-IT"/>
      </w:rPr>
    </w:lvl>
    <w:lvl w:ilvl="6">
      <w:start w:val="0"/>
      <w:numFmt w:val="bullet"/>
      <w:lvlText w:val="•"/>
      <w:lvlJc w:val="left"/>
      <w:pPr>
        <w:ind w:left="6755" w:hanging="454"/>
      </w:pPr>
      <w:rPr>
        <w:rFonts w:hint="default"/>
        <w:lang w:val="it-IT" w:eastAsia="it-IT" w:bidi="it-IT"/>
      </w:rPr>
    </w:lvl>
    <w:lvl w:ilvl="7">
      <w:start w:val="0"/>
      <w:numFmt w:val="bullet"/>
      <w:lvlText w:val="•"/>
      <w:lvlJc w:val="left"/>
      <w:pPr>
        <w:ind w:left="7758" w:hanging="454"/>
      </w:pPr>
      <w:rPr>
        <w:rFonts w:hint="default"/>
        <w:lang w:val="it-IT" w:eastAsia="it-IT" w:bidi="it-IT"/>
      </w:rPr>
    </w:lvl>
    <w:lvl w:ilvl="8">
      <w:start w:val="0"/>
      <w:numFmt w:val="bullet"/>
      <w:lvlText w:val="•"/>
      <w:lvlJc w:val="left"/>
      <w:pPr>
        <w:ind w:left="8761" w:hanging="454"/>
      </w:pPr>
      <w:rPr>
        <w:rFonts w:hint="default"/>
        <w:lang w:val="it-IT" w:eastAsia="it-IT" w:bidi="it-IT"/>
      </w:rPr>
    </w:lvl>
  </w:abstractNum>
  <w:abstractNum w:abstractNumId="11">
    <w:multiLevelType w:val="hybridMultilevel"/>
    <w:lvl w:ilvl="0">
      <w:start w:val="1"/>
      <w:numFmt w:val="lowerRoman"/>
      <w:lvlText w:val="%1)"/>
      <w:lvlJc w:val="left"/>
      <w:pPr>
        <w:ind w:left="1582" w:hanging="454"/>
        <w:jc w:val="left"/>
      </w:pPr>
      <w:rPr>
        <w:rFonts w:hint="default" w:ascii="Trebuchet MS" w:hAnsi="Trebuchet MS" w:eastAsia="Trebuchet MS" w:cs="Trebuchet MS"/>
        <w:spacing w:val="-1"/>
        <w:w w:val="100"/>
        <w:sz w:val="22"/>
        <w:szCs w:val="22"/>
        <w:lang w:val="it-IT" w:eastAsia="it-IT" w:bidi="it-IT"/>
      </w:rPr>
    </w:lvl>
    <w:lvl w:ilvl="1">
      <w:start w:val="0"/>
      <w:numFmt w:val="bullet"/>
      <w:lvlText w:val="•"/>
      <w:lvlJc w:val="left"/>
      <w:pPr>
        <w:ind w:left="2498" w:hanging="454"/>
      </w:pPr>
      <w:rPr>
        <w:rFonts w:hint="default"/>
        <w:lang w:val="it-IT" w:eastAsia="it-IT" w:bidi="it-IT"/>
      </w:rPr>
    </w:lvl>
    <w:lvl w:ilvl="2">
      <w:start w:val="0"/>
      <w:numFmt w:val="bullet"/>
      <w:lvlText w:val="•"/>
      <w:lvlJc w:val="left"/>
      <w:pPr>
        <w:ind w:left="3417" w:hanging="454"/>
      </w:pPr>
      <w:rPr>
        <w:rFonts w:hint="default"/>
        <w:lang w:val="it-IT" w:eastAsia="it-IT" w:bidi="it-IT"/>
      </w:rPr>
    </w:lvl>
    <w:lvl w:ilvl="3">
      <w:start w:val="0"/>
      <w:numFmt w:val="bullet"/>
      <w:lvlText w:val="•"/>
      <w:lvlJc w:val="left"/>
      <w:pPr>
        <w:ind w:left="4335" w:hanging="454"/>
      </w:pPr>
      <w:rPr>
        <w:rFonts w:hint="default"/>
        <w:lang w:val="it-IT" w:eastAsia="it-IT" w:bidi="it-IT"/>
      </w:rPr>
    </w:lvl>
    <w:lvl w:ilvl="4">
      <w:start w:val="0"/>
      <w:numFmt w:val="bullet"/>
      <w:lvlText w:val="•"/>
      <w:lvlJc w:val="left"/>
      <w:pPr>
        <w:ind w:left="5254" w:hanging="454"/>
      </w:pPr>
      <w:rPr>
        <w:rFonts w:hint="default"/>
        <w:lang w:val="it-IT" w:eastAsia="it-IT" w:bidi="it-IT"/>
      </w:rPr>
    </w:lvl>
    <w:lvl w:ilvl="5">
      <w:start w:val="0"/>
      <w:numFmt w:val="bullet"/>
      <w:lvlText w:val="•"/>
      <w:lvlJc w:val="left"/>
      <w:pPr>
        <w:ind w:left="6173" w:hanging="454"/>
      </w:pPr>
      <w:rPr>
        <w:rFonts w:hint="default"/>
        <w:lang w:val="it-IT" w:eastAsia="it-IT" w:bidi="it-IT"/>
      </w:rPr>
    </w:lvl>
    <w:lvl w:ilvl="6">
      <w:start w:val="0"/>
      <w:numFmt w:val="bullet"/>
      <w:lvlText w:val="•"/>
      <w:lvlJc w:val="left"/>
      <w:pPr>
        <w:ind w:left="7091" w:hanging="454"/>
      </w:pPr>
      <w:rPr>
        <w:rFonts w:hint="default"/>
        <w:lang w:val="it-IT" w:eastAsia="it-IT" w:bidi="it-IT"/>
      </w:rPr>
    </w:lvl>
    <w:lvl w:ilvl="7">
      <w:start w:val="0"/>
      <w:numFmt w:val="bullet"/>
      <w:lvlText w:val="•"/>
      <w:lvlJc w:val="left"/>
      <w:pPr>
        <w:ind w:left="8010" w:hanging="454"/>
      </w:pPr>
      <w:rPr>
        <w:rFonts w:hint="default"/>
        <w:lang w:val="it-IT" w:eastAsia="it-IT" w:bidi="it-IT"/>
      </w:rPr>
    </w:lvl>
    <w:lvl w:ilvl="8">
      <w:start w:val="0"/>
      <w:numFmt w:val="bullet"/>
      <w:lvlText w:val="•"/>
      <w:lvlJc w:val="left"/>
      <w:pPr>
        <w:ind w:left="8929" w:hanging="454"/>
      </w:pPr>
      <w:rPr>
        <w:rFonts w:hint="default"/>
        <w:lang w:val="it-IT" w:eastAsia="it-IT" w:bidi="it-IT"/>
      </w:rPr>
    </w:lvl>
  </w:abstractNum>
  <w:abstractNum w:abstractNumId="10">
    <w:multiLevelType w:val="hybridMultilevel"/>
    <w:lvl w:ilvl="0">
      <w:start w:val="0"/>
      <w:numFmt w:val="bullet"/>
      <w:lvlText w:val=""/>
      <w:lvlJc w:val="left"/>
      <w:pPr>
        <w:ind w:left="1222" w:hanging="454"/>
      </w:pPr>
      <w:rPr>
        <w:rFonts w:hint="default"/>
        <w:w w:val="99"/>
        <w:lang w:val="it-IT" w:eastAsia="it-IT" w:bidi="it-IT"/>
      </w:rPr>
    </w:lvl>
    <w:lvl w:ilvl="1">
      <w:start w:val="0"/>
      <w:numFmt w:val="bullet"/>
      <w:lvlText w:val="•"/>
      <w:lvlJc w:val="left"/>
      <w:pPr>
        <w:ind w:left="2174" w:hanging="454"/>
      </w:pPr>
      <w:rPr>
        <w:rFonts w:hint="default"/>
        <w:lang w:val="it-IT" w:eastAsia="it-IT" w:bidi="it-IT"/>
      </w:rPr>
    </w:lvl>
    <w:lvl w:ilvl="2">
      <w:start w:val="0"/>
      <w:numFmt w:val="bullet"/>
      <w:lvlText w:val="•"/>
      <w:lvlJc w:val="left"/>
      <w:pPr>
        <w:ind w:left="3129" w:hanging="454"/>
      </w:pPr>
      <w:rPr>
        <w:rFonts w:hint="default"/>
        <w:lang w:val="it-IT" w:eastAsia="it-IT" w:bidi="it-IT"/>
      </w:rPr>
    </w:lvl>
    <w:lvl w:ilvl="3">
      <w:start w:val="0"/>
      <w:numFmt w:val="bullet"/>
      <w:lvlText w:val="•"/>
      <w:lvlJc w:val="left"/>
      <w:pPr>
        <w:ind w:left="4083" w:hanging="454"/>
      </w:pPr>
      <w:rPr>
        <w:rFonts w:hint="default"/>
        <w:lang w:val="it-IT" w:eastAsia="it-IT" w:bidi="it-IT"/>
      </w:rPr>
    </w:lvl>
    <w:lvl w:ilvl="4">
      <w:start w:val="0"/>
      <w:numFmt w:val="bullet"/>
      <w:lvlText w:val="•"/>
      <w:lvlJc w:val="left"/>
      <w:pPr>
        <w:ind w:left="5038" w:hanging="454"/>
      </w:pPr>
      <w:rPr>
        <w:rFonts w:hint="default"/>
        <w:lang w:val="it-IT" w:eastAsia="it-IT" w:bidi="it-IT"/>
      </w:rPr>
    </w:lvl>
    <w:lvl w:ilvl="5">
      <w:start w:val="0"/>
      <w:numFmt w:val="bullet"/>
      <w:lvlText w:val="•"/>
      <w:lvlJc w:val="left"/>
      <w:pPr>
        <w:ind w:left="5993" w:hanging="454"/>
      </w:pPr>
      <w:rPr>
        <w:rFonts w:hint="default"/>
        <w:lang w:val="it-IT" w:eastAsia="it-IT" w:bidi="it-IT"/>
      </w:rPr>
    </w:lvl>
    <w:lvl w:ilvl="6">
      <w:start w:val="0"/>
      <w:numFmt w:val="bullet"/>
      <w:lvlText w:val="•"/>
      <w:lvlJc w:val="left"/>
      <w:pPr>
        <w:ind w:left="6947" w:hanging="454"/>
      </w:pPr>
      <w:rPr>
        <w:rFonts w:hint="default"/>
        <w:lang w:val="it-IT" w:eastAsia="it-IT" w:bidi="it-IT"/>
      </w:rPr>
    </w:lvl>
    <w:lvl w:ilvl="7">
      <w:start w:val="0"/>
      <w:numFmt w:val="bullet"/>
      <w:lvlText w:val="•"/>
      <w:lvlJc w:val="left"/>
      <w:pPr>
        <w:ind w:left="7902" w:hanging="454"/>
      </w:pPr>
      <w:rPr>
        <w:rFonts w:hint="default"/>
        <w:lang w:val="it-IT" w:eastAsia="it-IT" w:bidi="it-IT"/>
      </w:rPr>
    </w:lvl>
    <w:lvl w:ilvl="8">
      <w:start w:val="0"/>
      <w:numFmt w:val="bullet"/>
      <w:lvlText w:val="•"/>
      <w:lvlJc w:val="left"/>
      <w:pPr>
        <w:ind w:left="8857" w:hanging="454"/>
      </w:pPr>
      <w:rPr>
        <w:rFonts w:hint="default"/>
        <w:lang w:val="it-IT" w:eastAsia="it-IT" w:bidi="it-IT"/>
      </w:rPr>
    </w:lvl>
  </w:abstractNum>
  <w:abstractNum w:abstractNumId="9">
    <w:multiLevelType w:val="hybridMultilevel"/>
    <w:lvl w:ilvl="0">
      <w:start w:val="1"/>
      <w:numFmt w:val="lowerLetter"/>
      <w:lvlText w:val="%1)"/>
      <w:lvlJc w:val="left"/>
      <w:pPr>
        <w:ind w:left="996" w:hanging="228"/>
        <w:jc w:val="left"/>
      </w:pPr>
      <w:rPr>
        <w:rFonts w:hint="default" w:ascii="Franklin Gothic Book" w:hAnsi="Franklin Gothic Book" w:eastAsia="Franklin Gothic Book" w:cs="Franklin Gothic Book"/>
        <w:w w:val="99"/>
        <w:sz w:val="20"/>
        <w:szCs w:val="20"/>
        <w:lang w:val="it-IT" w:eastAsia="it-IT" w:bidi="it-IT"/>
      </w:rPr>
    </w:lvl>
    <w:lvl w:ilvl="1">
      <w:start w:val="0"/>
      <w:numFmt w:val="bullet"/>
      <w:lvlText w:val="•"/>
      <w:lvlJc w:val="left"/>
      <w:pPr>
        <w:ind w:left="1976" w:hanging="228"/>
      </w:pPr>
      <w:rPr>
        <w:rFonts w:hint="default"/>
        <w:lang w:val="it-IT" w:eastAsia="it-IT" w:bidi="it-IT"/>
      </w:rPr>
    </w:lvl>
    <w:lvl w:ilvl="2">
      <w:start w:val="0"/>
      <w:numFmt w:val="bullet"/>
      <w:lvlText w:val="•"/>
      <w:lvlJc w:val="left"/>
      <w:pPr>
        <w:ind w:left="2953" w:hanging="228"/>
      </w:pPr>
      <w:rPr>
        <w:rFonts w:hint="default"/>
        <w:lang w:val="it-IT" w:eastAsia="it-IT" w:bidi="it-IT"/>
      </w:rPr>
    </w:lvl>
    <w:lvl w:ilvl="3">
      <w:start w:val="0"/>
      <w:numFmt w:val="bullet"/>
      <w:lvlText w:val="•"/>
      <w:lvlJc w:val="left"/>
      <w:pPr>
        <w:ind w:left="3929" w:hanging="228"/>
      </w:pPr>
      <w:rPr>
        <w:rFonts w:hint="default"/>
        <w:lang w:val="it-IT" w:eastAsia="it-IT" w:bidi="it-IT"/>
      </w:rPr>
    </w:lvl>
    <w:lvl w:ilvl="4">
      <w:start w:val="0"/>
      <w:numFmt w:val="bullet"/>
      <w:lvlText w:val="•"/>
      <w:lvlJc w:val="left"/>
      <w:pPr>
        <w:ind w:left="4906" w:hanging="228"/>
      </w:pPr>
      <w:rPr>
        <w:rFonts w:hint="default"/>
        <w:lang w:val="it-IT" w:eastAsia="it-IT" w:bidi="it-IT"/>
      </w:rPr>
    </w:lvl>
    <w:lvl w:ilvl="5">
      <w:start w:val="0"/>
      <w:numFmt w:val="bullet"/>
      <w:lvlText w:val="•"/>
      <w:lvlJc w:val="left"/>
      <w:pPr>
        <w:ind w:left="5883" w:hanging="228"/>
      </w:pPr>
      <w:rPr>
        <w:rFonts w:hint="default"/>
        <w:lang w:val="it-IT" w:eastAsia="it-IT" w:bidi="it-IT"/>
      </w:rPr>
    </w:lvl>
    <w:lvl w:ilvl="6">
      <w:start w:val="0"/>
      <w:numFmt w:val="bullet"/>
      <w:lvlText w:val="•"/>
      <w:lvlJc w:val="left"/>
      <w:pPr>
        <w:ind w:left="6859" w:hanging="228"/>
      </w:pPr>
      <w:rPr>
        <w:rFonts w:hint="default"/>
        <w:lang w:val="it-IT" w:eastAsia="it-IT" w:bidi="it-IT"/>
      </w:rPr>
    </w:lvl>
    <w:lvl w:ilvl="7">
      <w:start w:val="0"/>
      <w:numFmt w:val="bullet"/>
      <w:lvlText w:val="•"/>
      <w:lvlJc w:val="left"/>
      <w:pPr>
        <w:ind w:left="7836" w:hanging="228"/>
      </w:pPr>
      <w:rPr>
        <w:rFonts w:hint="default"/>
        <w:lang w:val="it-IT" w:eastAsia="it-IT" w:bidi="it-IT"/>
      </w:rPr>
    </w:lvl>
    <w:lvl w:ilvl="8">
      <w:start w:val="0"/>
      <w:numFmt w:val="bullet"/>
      <w:lvlText w:val="•"/>
      <w:lvlJc w:val="left"/>
      <w:pPr>
        <w:ind w:left="8813" w:hanging="228"/>
      </w:pPr>
      <w:rPr>
        <w:rFonts w:hint="default"/>
        <w:lang w:val="it-IT" w:eastAsia="it-IT" w:bidi="it-IT"/>
      </w:rPr>
    </w:lvl>
  </w:abstractNum>
  <w:abstractNum w:abstractNumId="8">
    <w:multiLevelType w:val="hybridMultilevel"/>
    <w:lvl w:ilvl="0">
      <w:start w:val="1"/>
      <w:numFmt w:val="decimal"/>
      <w:lvlText w:val="(%1)"/>
      <w:lvlJc w:val="left"/>
      <w:pPr>
        <w:ind w:left="535" w:hanging="231"/>
        <w:jc w:val="left"/>
      </w:pPr>
      <w:rPr>
        <w:rFonts w:hint="default" w:ascii="Franklin Gothic Book" w:hAnsi="Franklin Gothic Book" w:eastAsia="Franklin Gothic Book" w:cs="Franklin Gothic Book"/>
        <w:spacing w:val="-1"/>
        <w:w w:val="100"/>
        <w:sz w:val="16"/>
        <w:szCs w:val="16"/>
        <w:lang w:val="it-IT" w:eastAsia="it-IT" w:bidi="it-IT"/>
      </w:rPr>
    </w:lvl>
    <w:lvl w:ilvl="1">
      <w:start w:val="0"/>
      <w:numFmt w:val="bullet"/>
      <w:lvlText w:val="•"/>
      <w:lvlJc w:val="left"/>
      <w:pPr>
        <w:ind w:left="1562" w:hanging="231"/>
      </w:pPr>
      <w:rPr>
        <w:rFonts w:hint="default"/>
        <w:lang w:val="it-IT" w:eastAsia="it-IT" w:bidi="it-IT"/>
      </w:rPr>
    </w:lvl>
    <w:lvl w:ilvl="2">
      <w:start w:val="0"/>
      <w:numFmt w:val="bullet"/>
      <w:lvlText w:val="•"/>
      <w:lvlJc w:val="left"/>
      <w:pPr>
        <w:ind w:left="2585" w:hanging="231"/>
      </w:pPr>
      <w:rPr>
        <w:rFonts w:hint="default"/>
        <w:lang w:val="it-IT" w:eastAsia="it-IT" w:bidi="it-IT"/>
      </w:rPr>
    </w:lvl>
    <w:lvl w:ilvl="3">
      <w:start w:val="0"/>
      <w:numFmt w:val="bullet"/>
      <w:lvlText w:val="•"/>
      <w:lvlJc w:val="left"/>
      <w:pPr>
        <w:ind w:left="3607" w:hanging="231"/>
      </w:pPr>
      <w:rPr>
        <w:rFonts w:hint="default"/>
        <w:lang w:val="it-IT" w:eastAsia="it-IT" w:bidi="it-IT"/>
      </w:rPr>
    </w:lvl>
    <w:lvl w:ilvl="4">
      <w:start w:val="0"/>
      <w:numFmt w:val="bullet"/>
      <w:lvlText w:val="•"/>
      <w:lvlJc w:val="left"/>
      <w:pPr>
        <w:ind w:left="4630" w:hanging="231"/>
      </w:pPr>
      <w:rPr>
        <w:rFonts w:hint="default"/>
        <w:lang w:val="it-IT" w:eastAsia="it-IT" w:bidi="it-IT"/>
      </w:rPr>
    </w:lvl>
    <w:lvl w:ilvl="5">
      <w:start w:val="0"/>
      <w:numFmt w:val="bullet"/>
      <w:lvlText w:val="•"/>
      <w:lvlJc w:val="left"/>
      <w:pPr>
        <w:ind w:left="5653" w:hanging="231"/>
      </w:pPr>
      <w:rPr>
        <w:rFonts w:hint="default"/>
        <w:lang w:val="it-IT" w:eastAsia="it-IT" w:bidi="it-IT"/>
      </w:rPr>
    </w:lvl>
    <w:lvl w:ilvl="6">
      <w:start w:val="0"/>
      <w:numFmt w:val="bullet"/>
      <w:lvlText w:val="•"/>
      <w:lvlJc w:val="left"/>
      <w:pPr>
        <w:ind w:left="6675" w:hanging="231"/>
      </w:pPr>
      <w:rPr>
        <w:rFonts w:hint="default"/>
        <w:lang w:val="it-IT" w:eastAsia="it-IT" w:bidi="it-IT"/>
      </w:rPr>
    </w:lvl>
    <w:lvl w:ilvl="7">
      <w:start w:val="0"/>
      <w:numFmt w:val="bullet"/>
      <w:lvlText w:val="•"/>
      <w:lvlJc w:val="left"/>
      <w:pPr>
        <w:ind w:left="7698" w:hanging="231"/>
      </w:pPr>
      <w:rPr>
        <w:rFonts w:hint="default"/>
        <w:lang w:val="it-IT" w:eastAsia="it-IT" w:bidi="it-IT"/>
      </w:rPr>
    </w:lvl>
    <w:lvl w:ilvl="8">
      <w:start w:val="0"/>
      <w:numFmt w:val="bullet"/>
      <w:lvlText w:val="•"/>
      <w:lvlJc w:val="left"/>
      <w:pPr>
        <w:ind w:left="8721" w:hanging="231"/>
      </w:pPr>
      <w:rPr>
        <w:rFonts w:hint="default"/>
        <w:lang w:val="it-IT" w:eastAsia="it-IT" w:bidi="it-IT"/>
      </w:rPr>
    </w:lvl>
  </w:abstractNum>
  <w:abstractNum w:abstractNumId="7">
    <w:multiLevelType w:val="hybridMultilevel"/>
    <w:lvl w:ilvl="0">
      <w:start w:val="1"/>
      <w:numFmt w:val="decimal"/>
      <w:lvlText w:val="(%1)"/>
      <w:lvlJc w:val="left"/>
      <w:pPr>
        <w:ind w:left="523" w:hanging="245"/>
        <w:jc w:val="left"/>
      </w:pPr>
      <w:rPr>
        <w:rFonts w:hint="default" w:ascii="Franklin Gothic Book" w:hAnsi="Franklin Gothic Book" w:eastAsia="Franklin Gothic Book" w:cs="Franklin Gothic Book"/>
        <w:spacing w:val="-1"/>
        <w:w w:val="100"/>
        <w:sz w:val="17"/>
        <w:szCs w:val="17"/>
        <w:lang w:val="it-IT" w:eastAsia="it-IT" w:bidi="it-IT"/>
      </w:rPr>
    </w:lvl>
    <w:lvl w:ilvl="1">
      <w:start w:val="0"/>
      <w:numFmt w:val="bullet"/>
      <w:lvlText w:val="•"/>
      <w:lvlJc w:val="left"/>
      <w:pPr>
        <w:ind w:left="1544" w:hanging="245"/>
      </w:pPr>
      <w:rPr>
        <w:rFonts w:hint="default"/>
        <w:lang w:val="it-IT" w:eastAsia="it-IT" w:bidi="it-IT"/>
      </w:rPr>
    </w:lvl>
    <w:lvl w:ilvl="2">
      <w:start w:val="0"/>
      <w:numFmt w:val="bullet"/>
      <w:lvlText w:val="•"/>
      <w:lvlJc w:val="left"/>
      <w:pPr>
        <w:ind w:left="2569" w:hanging="245"/>
      </w:pPr>
      <w:rPr>
        <w:rFonts w:hint="default"/>
        <w:lang w:val="it-IT" w:eastAsia="it-IT" w:bidi="it-IT"/>
      </w:rPr>
    </w:lvl>
    <w:lvl w:ilvl="3">
      <w:start w:val="0"/>
      <w:numFmt w:val="bullet"/>
      <w:lvlText w:val="•"/>
      <w:lvlJc w:val="left"/>
      <w:pPr>
        <w:ind w:left="3593" w:hanging="245"/>
      </w:pPr>
      <w:rPr>
        <w:rFonts w:hint="default"/>
        <w:lang w:val="it-IT" w:eastAsia="it-IT" w:bidi="it-IT"/>
      </w:rPr>
    </w:lvl>
    <w:lvl w:ilvl="4">
      <w:start w:val="0"/>
      <w:numFmt w:val="bullet"/>
      <w:lvlText w:val="•"/>
      <w:lvlJc w:val="left"/>
      <w:pPr>
        <w:ind w:left="4618" w:hanging="245"/>
      </w:pPr>
      <w:rPr>
        <w:rFonts w:hint="default"/>
        <w:lang w:val="it-IT" w:eastAsia="it-IT" w:bidi="it-IT"/>
      </w:rPr>
    </w:lvl>
    <w:lvl w:ilvl="5">
      <w:start w:val="0"/>
      <w:numFmt w:val="bullet"/>
      <w:lvlText w:val="•"/>
      <w:lvlJc w:val="left"/>
      <w:pPr>
        <w:ind w:left="5643" w:hanging="245"/>
      </w:pPr>
      <w:rPr>
        <w:rFonts w:hint="default"/>
        <w:lang w:val="it-IT" w:eastAsia="it-IT" w:bidi="it-IT"/>
      </w:rPr>
    </w:lvl>
    <w:lvl w:ilvl="6">
      <w:start w:val="0"/>
      <w:numFmt w:val="bullet"/>
      <w:lvlText w:val="•"/>
      <w:lvlJc w:val="left"/>
      <w:pPr>
        <w:ind w:left="6667" w:hanging="245"/>
      </w:pPr>
      <w:rPr>
        <w:rFonts w:hint="default"/>
        <w:lang w:val="it-IT" w:eastAsia="it-IT" w:bidi="it-IT"/>
      </w:rPr>
    </w:lvl>
    <w:lvl w:ilvl="7">
      <w:start w:val="0"/>
      <w:numFmt w:val="bullet"/>
      <w:lvlText w:val="•"/>
      <w:lvlJc w:val="left"/>
      <w:pPr>
        <w:ind w:left="7692" w:hanging="245"/>
      </w:pPr>
      <w:rPr>
        <w:rFonts w:hint="default"/>
        <w:lang w:val="it-IT" w:eastAsia="it-IT" w:bidi="it-IT"/>
      </w:rPr>
    </w:lvl>
    <w:lvl w:ilvl="8">
      <w:start w:val="0"/>
      <w:numFmt w:val="bullet"/>
      <w:lvlText w:val="•"/>
      <w:lvlJc w:val="left"/>
      <w:pPr>
        <w:ind w:left="8717" w:hanging="245"/>
      </w:pPr>
      <w:rPr>
        <w:rFonts w:hint="default"/>
        <w:lang w:val="it-IT" w:eastAsia="it-IT" w:bidi="it-IT"/>
      </w:rPr>
    </w:lvl>
  </w:abstractNum>
  <w:abstractNum w:abstractNumId="6">
    <w:multiLevelType w:val="hybridMultilevel"/>
    <w:lvl w:ilvl="0">
      <w:start w:val="1"/>
      <w:numFmt w:val="decimal"/>
      <w:lvlText w:val="%1)"/>
      <w:lvlJc w:val="left"/>
      <w:pPr>
        <w:ind w:left="499" w:hanging="195"/>
        <w:jc w:val="left"/>
      </w:pPr>
      <w:rPr>
        <w:rFonts w:hint="default" w:ascii="Franklin Gothic Book" w:hAnsi="Franklin Gothic Book" w:eastAsia="Franklin Gothic Book" w:cs="Franklin Gothic Book"/>
        <w:w w:val="100"/>
        <w:sz w:val="17"/>
        <w:szCs w:val="17"/>
        <w:lang w:val="it-IT" w:eastAsia="it-IT" w:bidi="it-IT"/>
      </w:rPr>
    </w:lvl>
    <w:lvl w:ilvl="1">
      <w:start w:val="0"/>
      <w:numFmt w:val="bullet"/>
      <w:lvlText w:val="•"/>
      <w:lvlJc w:val="left"/>
      <w:pPr>
        <w:ind w:left="1526" w:hanging="195"/>
      </w:pPr>
      <w:rPr>
        <w:rFonts w:hint="default"/>
        <w:lang w:val="it-IT" w:eastAsia="it-IT" w:bidi="it-IT"/>
      </w:rPr>
    </w:lvl>
    <w:lvl w:ilvl="2">
      <w:start w:val="0"/>
      <w:numFmt w:val="bullet"/>
      <w:lvlText w:val="•"/>
      <w:lvlJc w:val="left"/>
      <w:pPr>
        <w:ind w:left="2553" w:hanging="195"/>
      </w:pPr>
      <w:rPr>
        <w:rFonts w:hint="default"/>
        <w:lang w:val="it-IT" w:eastAsia="it-IT" w:bidi="it-IT"/>
      </w:rPr>
    </w:lvl>
    <w:lvl w:ilvl="3">
      <w:start w:val="0"/>
      <w:numFmt w:val="bullet"/>
      <w:lvlText w:val="•"/>
      <w:lvlJc w:val="left"/>
      <w:pPr>
        <w:ind w:left="3579" w:hanging="195"/>
      </w:pPr>
      <w:rPr>
        <w:rFonts w:hint="default"/>
        <w:lang w:val="it-IT" w:eastAsia="it-IT" w:bidi="it-IT"/>
      </w:rPr>
    </w:lvl>
    <w:lvl w:ilvl="4">
      <w:start w:val="0"/>
      <w:numFmt w:val="bullet"/>
      <w:lvlText w:val="•"/>
      <w:lvlJc w:val="left"/>
      <w:pPr>
        <w:ind w:left="4606" w:hanging="195"/>
      </w:pPr>
      <w:rPr>
        <w:rFonts w:hint="default"/>
        <w:lang w:val="it-IT" w:eastAsia="it-IT" w:bidi="it-IT"/>
      </w:rPr>
    </w:lvl>
    <w:lvl w:ilvl="5">
      <w:start w:val="0"/>
      <w:numFmt w:val="bullet"/>
      <w:lvlText w:val="•"/>
      <w:lvlJc w:val="left"/>
      <w:pPr>
        <w:ind w:left="5633" w:hanging="195"/>
      </w:pPr>
      <w:rPr>
        <w:rFonts w:hint="default"/>
        <w:lang w:val="it-IT" w:eastAsia="it-IT" w:bidi="it-IT"/>
      </w:rPr>
    </w:lvl>
    <w:lvl w:ilvl="6">
      <w:start w:val="0"/>
      <w:numFmt w:val="bullet"/>
      <w:lvlText w:val="•"/>
      <w:lvlJc w:val="left"/>
      <w:pPr>
        <w:ind w:left="6659" w:hanging="195"/>
      </w:pPr>
      <w:rPr>
        <w:rFonts w:hint="default"/>
        <w:lang w:val="it-IT" w:eastAsia="it-IT" w:bidi="it-IT"/>
      </w:rPr>
    </w:lvl>
    <w:lvl w:ilvl="7">
      <w:start w:val="0"/>
      <w:numFmt w:val="bullet"/>
      <w:lvlText w:val="•"/>
      <w:lvlJc w:val="left"/>
      <w:pPr>
        <w:ind w:left="7686" w:hanging="195"/>
      </w:pPr>
      <w:rPr>
        <w:rFonts w:hint="default"/>
        <w:lang w:val="it-IT" w:eastAsia="it-IT" w:bidi="it-IT"/>
      </w:rPr>
    </w:lvl>
    <w:lvl w:ilvl="8">
      <w:start w:val="0"/>
      <w:numFmt w:val="bullet"/>
      <w:lvlText w:val="•"/>
      <w:lvlJc w:val="left"/>
      <w:pPr>
        <w:ind w:left="8713" w:hanging="195"/>
      </w:pPr>
      <w:rPr>
        <w:rFonts w:hint="default"/>
        <w:lang w:val="it-IT" w:eastAsia="it-IT" w:bidi="it-IT"/>
      </w:rPr>
    </w:lvl>
  </w:abstractNum>
  <w:abstractNum w:abstractNumId="5">
    <w:multiLevelType w:val="hybridMultilevel"/>
    <w:lvl w:ilvl="0">
      <w:start w:val="0"/>
      <w:numFmt w:val="bullet"/>
      <w:lvlText w:val=""/>
      <w:lvlJc w:val="left"/>
      <w:pPr>
        <w:ind w:left="1346" w:hanging="360"/>
      </w:pPr>
      <w:rPr>
        <w:rFonts w:hint="default" w:ascii="Symbol" w:hAnsi="Symbol" w:eastAsia="Symbol" w:cs="Symbol"/>
        <w:w w:val="100"/>
        <w:sz w:val="22"/>
        <w:szCs w:val="22"/>
        <w:lang w:val="it-IT" w:eastAsia="it-IT" w:bidi="it-IT"/>
      </w:rPr>
    </w:lvl>
    <w:lvl w:ilvl="1">
      <w:start w:val="0"/>
      <w:numFmt w:val="bullet"/>
      <w:lvlText w:val="•"/>
      <w:lvlJc w:val="left"/>
      <w:pPr>
        <w:ind w:left="2282" w:hanging="360"/>
      </w:pPr>
      <w:rPr>
        <w:rFonts w:hint="default"/>
        <w:lang w:val="it-IT" w:eastAsia="it-IT" w:bidi="it-IT"/>
      </w:rPr>
    </w:lvl>
    <w:lvl w:ilvl="2">
      <w:start w:val="0"/>
      <w:numFmt w:val="bullet"/>
      <w:lvlText w:val="•"/>
      <w:lvlJc w:val="left"/>
      <w:pPr>
        <w:ind w:left="3225" w:hanging="360"/>
      </w:pPr>
      <w:rPr>
        <w:rFonts w:hint="default"/>
        <w:lang w:val="it-IT" w:eastAsia="it-IT" w:bidi="it-IT"/>
      </w:rPr>
    </w:lvl>
    <w:lvl w:ilvl="3">
      <w:start w:val="0"/>
      <w:numFmt w:val="bullet"/>
      <w:lvlText w:val="•"/>
      <w:lvlJc w:val="left"/>
      <w:pPr>
        <w:ind w:left="4167" w:hanging="360"/>
      </w:pPr>
      <w:rPr>
        <w:rFonts w:hint="default"/>
        <w:lang w:val="it-IT" w:eastAsia="it-IT" w:bidi="it-IT"/>
      </w:rPr>
    </w:lvl>
    <w:lvl w:ilvl="4">
      <w:start w:val="0"/>
      <w:numFmt w:val="bullet"/>
      <w:lvlText w:val="•"/>
      <w:lvlJc w:val="left"/>
      <w:pPr>
        <w:ind w:left="5110" w:hanging="360"/>
      </w:pPr>
      <w:rPr>
        <w:rFonts w:hint="default"/>
        <w:lang w:val="it-IT" w:eastAsia="it-IT" w:bidi="it-IT"/>
      </w:rPr>
    </w:lvl>
    <w:lvl w:ilvl="5">
      <w:start w:val="0"/>
      <w:numFmt w:val="bullet"/>
      <w:lvlText w:val="•"/>
      <w:lvlJc w:val="left"/>
      <w:pPr>
        <w:ind w:left="6053" w:hanging="360"/>
      </w:pPr>
      <w:rPr>
        <w:rFonts w:hint="default"/>
        <w:lang w:val="it-IT" w:eastAsia="it-IT" w:bidi="it-IT"/>
      </w:rPr>
    </w:lvl>
    <w:lvl w:ilvl="6">
      <w:start w:val="0"/>
      <w:numFmt w:val="bullet"/>
      <w:lvlText w:val="•"/>
      <w:lvlJc w:val="left"/>
      <w:pPr>
        <w:ind w:left="6995" w:hanging="360"/>
      </w:pPr>
      <w:rPr>
        <w:rFonts w:hint="default"/>
        <w:lang w:val="it-IT" w:eastAsia="it-IT" w:bidi="it-IT"/>
      </w:rPr>
    </w:lvl>
    <w:lvl w:ilvl="7">
      <w:start w:val="0"/>
      <w:numFmt w:val="bullet"/>
      <w:lvlText w:val="•"/>
      <w:lvlJc w:val="left"/>
      <w:pPr>
        <w:ind w:left="7938" w:hanging="360"/>
      </w:pPr>
      <w:rPr>
        <w:rFonts w:hint="default"/>
        <w:lang w:val="it-IT" w:eastAsia="it-IT" w:bidi="it-IT"/>
      </w:rPr>
    </w:lvl>
    <w:lvl w:ilvl="8">
      <w:start w:val="0"/>
      <w:numFmt w:val="bullet"/>
      <w:lvlText w:val="•"/>
      <w:lvlJc w:val="left"/>
      <w:pPr>
        <w:ind w:left="8881" w:hanging="360"/>
      </w:pPr>
      <w:rPr>
        <w:rFonts w:hint="default"/>
        <w:lang w:val="it-IT" w:eastAsia="it-IT" w:bidi="it-IT"/>
      </w:rPr>
    </w:lvl>
  </w:abstractNum>
  <w:abstractNum w:abstractNumId="4">
    <w:multiLevelType w:val="hybridMultilevel"/>
    <w:lvl w:ilvl="0">
      <w:start w:val="3"/>
      <w:numFmt w:val="decimal"/>
      <w:lvlText w:val="%1)"/>
      <w:lvlJc w:val="left"/>
      <w:pPr>
        <w:ind w:left="1157" w:hanging="197"/>
        <w:jc w:val="left"/>
      </w:pPr>
      <w:rPr>
        <w:rFonts w:hint="default" w:ascii="Franklin Gothic Book" w:hAnsi="Franklin Gothic Book" w:eastAsia="Franklin Gothic Book" w:cs="Franklin Gothic Book"/>
        <w:spacing w:val="-1"/>
        <w:w w:val="100"/>
        <w:sz w:val="16"/>
        <w:szCs w:val="16"/>
        <w:lang w:val="it-IT" w:eastAsia="it-IT" w:bidi="it-IT"/>
      </w:rPr>
    </w:lvl>
    <w:lvl w:ilvl="1">
      <w:start w:val="0"/>
      <w:numFmt w:val="bullet"/>
      <w:lvlText w:val="•"/>
      <w:lvlJc w:val="left"/>
      <w:pPr>
        <w:ind w:left="2120" w:hanging="197"/>
      </w:pPr>
      <w:rPr>
        <w:rFonts w:hint="default"/>
        <w:lang w:val="it-IT" w:eastAsia="it-IT" w:bidi="it-IT"/>
      </w:rPr>
    </w:lvl>
    <w:lvl w:ilvl="2">
      <w:start w:val="0"/>
      <w:numFmt w:val="bullet"/>
      <w:lvlText w:val="•"/>
      <w:lvlJc w:val="left"/>
      <w:pPr>
        <w:ind w:left="3081" w:hanging="197"/>
      </w:pPr>
      <w:rPr>
        <w:rFonts w:hint="default"/>
        <w:lang w:val="it-IT" w:eastAsia="it-IT" w:bidi="it-IT"/>
      </w:rPr>
    </w:lvl>
    <w:lvl w:ilvl="3">
      <w:start w:val="0"/>
      <w:numFmt w:val="bullet"/>
      <w:lvlText w:val="•"/>
      <w:lvlJc w:val="left"/>
      <w:pPr>
        <w:ind w:left="4041" w:hanging="197"/>
      </w:pPr>
      <w:rPr>
        <w:rFonts w:hint="default"/>
        <w:lang w:val="it-IT" w:eastAsia="it-IT" w:bidi="it-IT"/>
      </w:rPr>
    </w:lvl>
    <w:lvl w:ilvl="4">
      <w:start w:val="0"/>
      <w:numFmt w:val="bullet"/>
      <w:lvlText w:val="•"/>
      <w:lvlJc w:val="left"/>
      <w:pPr>
        <w:ind w:left="5002" w:hanging="197"/>
      </w:pPr>
      <w:rPr>
        <w:rFonts w:hint="default"/>
        <w:lang w:val="it-IT" w:eastAsia="it-IT" w:bidi="it-IT"/>
      </w:rPr>
    </w:lvl>
    <w:lvl w:ilvl="5">
      <w:start w:val="0"/>
      <w:numFmt w:val="bullet"/>
      <w:lvlText w:val="•"/>
      <w:lvlJc w:val="left"/>
      <w:pPr>
        <w:ind w:left="5963" w:hanging="197"/>
      </w:pPr>
      <w:rPr>
        <w:rFonts w:hint="default"/>
        <w:lang w:val="it-IT" w:eastAsia="it-IT" w:bidi="it-IT"/>
      </w:rPr>
    </w:lvl>
    <w:lvl w:ilvl="6">
      <w:start w:val="0"/>
      <w:numFmt w:val="bullet"/>
      <w:lvlText w:val="•"/>
      <w:lvlJc w:val="left"/>
      <w:pPr>
        <w:ind w:left="6923" w:hanging="197"/>
      </w:pPr>
      <w:rPr>
        <w:rFonts w:hint="default"/>
        <w:lang w:val="it-IT" w:eastAsia="it-IT" w:bidi="it-IT"/>
      </w:rPr>
    </w:lvl>
    <w:lvl w:ilvl="7">
      <w:start w:val="0"/>
      <w:numFmt w:val="bullet"/>
      <w:lvlText w:val="•"/>
      <w:lvlJc w:val="left"/>
      <w:pPr>
        <w:ind w:left="7884" w:hanging="197"/>
      </w:pPr>
      <w:rPr>
        <w:rFonts w:hint="default"/>
        <w:lang w:val="it-IT" w:eastAsia="it-IT" w:bidi="it-IT"/>
      </w:rPr>
    </w:lvl>
    <w:lvl w:ilvl="8">
      <w:start w:val="0"/>
      <w:numFmt w:val="bullet"/>
      <w:lvlText w:val="•"/>
      <w:lvlJc w:val="left"/>
      <w:pPr>
        <w:ind w:left="8845" w:hanging="197"/>
      </w:pPr>
      <w:rPr>
        <w:rFonts w:hint="default"/>
        <w:lang w:val="it-IT" w:eastAsia="it-IT" w:bidi="it-IT"/>
      </w:rPr>
    </w:lvl>
  </w:abstractNum>
  <w:abstractNum w:abstractNumId="3">
    <w:multiLevelType w:val="hybridMultilevel"/>
    <w:lvl w:ilvl="0">
      <w:start w:val="1"/>
      <w:numFmt w:val="decimal"/>
      <w:lvlText w:val="(%1)"/>
      <w:lvlJc w:val="left"/>
      <w:pPr>
        <w:ind w:left="576" w:hanging="228"/>
        <w:jc w:val="left"/>
      </w:pPr>
      <w:rPr>
        <w:rFonts w:hint="default" w:ascii="Franklin Gothic Book" w:hAnsi="Franklin Gothic Book" w:eastAsia="Franklin Gothic Book" w:cs="Franklin Gothic Book"/>
        <w:spacing w:val="-1"/>
        <w:w w:val="100"/>
        <w:sz w:val="16"/>
        <w:szCs w:val="16"/>
        <w:lang w:val="it-IT" w:eastAsia="it-IT" w:bidi="it-IT"/>
      </w:rPr>
    </w:lvl>
    <w:lvl w:ilvl="1">
      <w:start w:val="1"/>
      <w:numFmt w:val="decimal"/>
      <w:lvlText w:val="(%2)"/>
      <w:lvlJc w:val="left"/>
      <w:pPr>
        <w:ind w:left="1385" w:hanging="228"/>
        <w:jc w:val="left"/>
      </w:pPr>
      <w:rPr>
        <w:rFonts w:hint="default" w:ascii="Franklin Gothic Book" w:hAnsi="Franklin Gothic Book" w:eastAsia="Franklin Gothic Book" w:cs="Franklin Gothic Book"/>
        <w:spacing w:val="-1"/>
        <w:w w:val="100"/>
        <w:sz w:val="16"/>
        <w:szCs w:val="16"/>
        <w:lang w:val="it-IT" w:eastAsia="it-IT" w:bidi="it-IT"/>
      </w:rPr>
    </w:lvl>
    <w:lvl w:ilvl="2">
      <w:start w:val="0"/>
      <w:numFmt w:val="bullet"/>
      <w:lvlText w:val="•"/>
      <w:lvlJc w:val="left"/>
      <w:pPr>
        <w:ind w:left="2422" w:hanging="228"/>
      </w:pPr>
      <w:rPr>
        <w:rFonts w:hint="default"/>
        <w:lang w:val="it-IT" w:eastAsia="it-IT" w:bidi="it-IT"/>
      </w:rPr>
    </w:lvl>
    <w:lvl w:ilvl="3">
      <w:start w:val="0"/>
      <w:numFmt w:val="bullet"/>
      <w:lvlText w:val="•"/>
      <w:lvlJc w:val="left"/>
      <w:pPr>
        <w:ind w:left="3465" w:hanging="228"/>
      </w:pPr>
      <w:rPr>
        <w:rFonts w:hint="default"/>
        <w:lang w:val="it-IT" w:eastAsia="it-IT" w:bidi="it-IT"/>
      </w:rPr>
    </w:lvl>
    <w:lvl w:ilvl="4">
      <w:start w:val="0"/>
      <w:numFmt w:val="bullet"/>
      <w:lvlText w:val="•"/>
      <w:lvlJc w:val="left"/>
      <w:pPr>
        <w:ind w:left="4508" w:hanging="228"/>
      </w:pPr>
      <w:rPr>
        <w:rFonts w:hint="default"/>
        <w:lang w:val="it-IT" w:eastAsia="it-IT" w:bidi="it-IT"/>
      </w:rPr>
    </w:lvl>
    <w:lvl w:ilvl="5">
      <w:start w:val="0"/>
      <w:numFmt w:val="bullet"/>
      <w:lvlText w:val="•"/>
      <w:lvlJc w:val="left"/>
      <w:pPr>
        <w:ind w:left="5551" w:hanging="228"/>
      </w:pPr>
      <w:rPr>
        <w:rFonts w:hint="default"/>
        <w:lang w:val="it-IT" w:eastAsia="it-IT" w:bidi="it-IT"/>
      </w:rPr>
    </w:lvl>
    <w:lvl w:ilvl="6">
      <w:start w:val="0"/>
      <w:numFmt w:val="bullet"/>
      <w:lvlText w:val="•"/>
      <w:lvlJc w:val="left"/>
      <w:pPr>
        <w:ind w:left="6594" w:hanging="228"/>
      </w:pPr>
      <w:rPr>
        <w:rFonts w:hint="default"/>
        <w:lang w:val="it-IT" w:eastAsia="it-IT" w:bidi="it-IT"/>
      </w:rPr>
    </w:lvl>
    <w:lvl w:ilvl="7">
      <w:start w:val="0"/>
      <w:numFmt w:val="bullet"/>
      <w:lvlText w:val="•"/>
      <w:lvlJc w:val="left"/>
      <w:pPr>
        <w:ind w:left="7637" w:hanging="228"/>
      </w:pPr>
      <w:rPr>
        <w:rFonts w:hint="default"/>
        <w:lang w:val="it-IT" w:eastAsia="it-IT" w:bidi="it-IT"/>
      </w:rPr>
    </w:lvl>
    <w:lvl w:ilvl="8">
      <w:start w:val="0"/>
      <w:numFmt w:val="bullet"/>
      <w:lvlText w:val="•"/>
      <w:lvlJc w:val="left"/>
      <w:pPr>
        <w:ind w:left="8680" w:hanging="228"/>
      </w:pPr>
      <w:rPr>
        <w:rFonts w:hint="default"/>
        <w:lang w:val="it-IT" w:eastAsia="it-IT" w:bidi="it-IT"/>
      </w:rPr>
    </w:lvl>
  </w:abstractNum>
  <w:abstractNum w:abstractNumId="2">
    <w:multiLevelType w:val="hybridMultilevel"/>
    <w:lvl w:ilvl="0">
      <w:start w:val="2"/>
      <w:numFmt w:val="decimal"/>
      <w:lvlText w:val="(%1)"/>
      <w:lvlJc w:val="left"/>
      <w:pPr>
        <w:ind w:left="1428" w:hanging="231"/>
        <w:jc w:val="left"/>
      </w:pPr>
      <w:rPr>
        <w:rFonts w:hint="default" w:ascii="Franklin Gothic Book" w:hAnsi="Franklin Gothic Book" w:eastAsia="Franklin Gothic Book" w:cs="Franklin Gothic Book"/>
        <w:spacing w:val="-1"/>
        <w:w w:val="100"/>
        <w:sz w:val="16"/>
        <w:szCs w:val="16"/>
        <w:lang w:val="it-IT" w:eastAsia="it-IT" w:bidi="it-IT"/>
      </w:rPr>
    </w:lvl>
    <w:lvl w:ilvl="1">
      <w:start w:val="0"/>
      <w:numFmt w:val="bullet"/>
      <w:lvlText w:val="•"/>
      <w:lvlJc w:val="left"/>
      <w:pPr>
        <w:ind w:left="2354" w:hanging="231"/>
      </w:pPr>
      <w:rPr>
        <w:rFonts w:hint="default"/>
        <w:lang w:val="it-IT" w:eastAsia="it-IT" w:bidi="it-IT"/>
      </w:rPr>
    </w:lvl>
    <w:lvl w:ilvl="2">
      <w:start w:val="0"/>
      <w:numFmt w:val="bullet"/>
      <w:lvlText w:val="•"/>
      <w:lvlJc w:val="left"/>
      <w:pPr>
        <w:ind w:left="3289" w:hanging="231"/>
      </w:pPr>
      <w:rPr>
        <w:rFonts w:hint="default"/>
        <w:lang w:val="it-IT" w:eastAsia="it-IT" w:bidi="it-IT"/>
      </w:rPr>
    </w:lvl>
    <w:lvl w:ilvl="3">
      <w:start w:val="0"/>
      <w:numFmt w:val="bullet"/>
      <w:lvlText w:val="•"/>
      <w:lvlJc w:val="left"/>
      <w:pPr>
        <w:ind w:left="4223" w:hanging="231"/>
      </w:pPr>
      <w:rPr>
        <w:rFonts w:hint="default"/>
        <w:lang w:val="it-IT" w:eastAsia="it-IT" w:bidi="it-IT"/>
      </w:rPr>
    </w:lvl>
    <w:lvl w:ilvl="4">
      <w:start w:val="0"/>
      <w:numFmt w:val="bullet"/>
      <w:lvlText w:val="•"/>
      <w:lvlJc w:val="left"/>
      <w:pPr>
        <w:ind w:left="5158" w:hanging="231"/>
      </w:pPr>
      <w:rPr>
        <w:rFonts w:hint="default"/>
        <w:lang w:val="it-IT" w:eastAsia="it-IT" w:bidi="it-IT"/>
      </w:rPr>
    </w:lvl>
    <w:lvl w:ilvl="5">
      <w:start w:val="0"/>
      <w:numFmt w:val="bullet"/>
      <w:lvlText w:val="•"/>
      <w:lvlJc w:val="left"/>
      <w:pPr>
        <w:ind w:left="6093" w:hanging="231"/>
      </w:pPr>
      <w:rPr>
        <w:rFonts w:hint="default"/>
        <w:lang w:val="it-IT" w:eastAsia="it-IT" w:bidi="it-IT"/>
      </w:rPr>
    </w:lvl>
    <w:lvl w:ilvl="6">
      <w:start w:val="0"/>
      <w:numFmt w:val="bullet"/>
      <w:lvlText w:val="•"/>
      <w:lvlJc w:val="left"/>
      <w:pPr>
        <w:ind w:left="7027" w:hanging="231"/>
      </w:pPr>
      <w:rPr>
        <w:rFonts w:hint="default"/>
        <w:lang w:val="it-IT" w:eastAsia="it-IT" w:bidi="it-IT"/>
      </w:rPr>
    </w:lvl>
    <w:lvl w:ilvl="7">
      <w:start w:val="0"/>
      <w:numFmt w:val="bullet"/>
      <w:lvlText w:val="•"/>
      <w:lvlJc w:val="left"/>
      <w:pPr>
        <w:ind w:left="7962" w:hanging="231"/>
      </w:pPr>
      <w:rPr>
        <w:rFonts w:hint="default"/>
        <w:lang w:val="it-IT" w:eastAsia="it-IT" w:bidi="it-IT"/>
      </w:rPr>
    </w:lvl>
    <w:lvl w:ilvl="8">
      <w:start w:val="0"/>
      <w:numFmt w:val="bullet"/>
      <w:lvlText w:val="•"/>
      <w:lvlJc w:val="left"/>
      <w:pPr>
        <w:ind w:left="8897" w:hanging="231"/>
      </w:pPr>
      <w:rPr>
        <w:rFonts w:hint="default"/>
        <w:lang w:val="it-IT" w:eastAsia="it-IT" w:bidi="it-IT"/>
      </w:rPr>
    </w:lvl>
  </w:abstractNum>
  <w:abstractNum w:abstractNumId="1">
    <w:multiLevelType w:val="hybridMultilevel"/>
    <w:lvl w:ilvl="0">
      <w:start w:val="1"/>
      <w:numFmt w:val="upperRoman"/>
      <w:lvlText w:val="%1."/>
      <w:lvlJc w:val="left"/>
      <w:pPr>
        <w:ind w:left="562" w:hanging="272"/>
        <w:jc w:val="left"/>
      </w:pPr>
      <w:rPr>
        <w:rFonts w:hint="default" w:ascii="Franklin Gothic Heavy" w:hAnsi="Franklin Gothic Heavy" w:eastAsia="Franklin Gothic Heavy" w:cs="Franklin Gothic Heavy"/>
        <w:b/>
        <w:bCs/>
        <w:color w:val="585858"/>
        <w:w w:val="99"/>
        <w:sz w:val="32"/>
        <w:szCs w:val="32"/>
        <w:lang w:val="it-IT" w:eastAsia="it-IT" w:bidi="it-IT"/>
      </w:rPr>
    </w:lvl>
    <w:lvl w:ilvl="1">
      <w:start w:val="1"/>
      <w:numFmt w:val="decimal"/>
      <w:lvlText w:val="%1.%2"/>
      <w:lvlJc w:val="left"/>
      <w:pPr>
        <w:ind w:left="650" w:hanging="372"/>
        <w:jc w:val="left"/>
      </w:pPr>
      <w:rPr>
        <w:rFonts w:hint="default" w:ascii="Franklin Gothic Heavy" w:hAnsi="Franklin Gothic Heavy" w:eastAsia="Franklin Gothic Heavy" w:cs="Franklin Gothic Heavy"/>
        <w:b/>
        <w:bCs/>
        <w:color w:val="585858"/>
        <w:w w:val="99"/>
        <w:sz w:val="26"/>
        <w:szCs w:val="26"/>
        <w:lang w:val="it-IT" w:eastAsia="it-IT" w:bidi="it-IT"/>
      </w:rPr>
    </w:lvl>
    <w:lvl w:ilvl="2">
      <w:start w:val="0"/>
      <w:numFmt w:val="bullet"/>
      <w:lvlText w:val=""/>
      <w:lvlJc w:val="left"/>
      <w:pPr>
        <w:ind w:left="1582" w:hanging="454"/>
      </w:pPr>
      <w:rPr>
        <w:rFonts w:hint="default" w:ascii="Symbol" w:hAnsi="Symbol" w:eastAsia="Symbol" w:cs="Symbol"/>
        <w:w w:val="100"/>
        <w:sz w:val="22"/>
        <w:szCs w:val="22"/>
        <w:lang w:val="it-IT" w:eastAsia="it-IT" w:bidi="it-IT"/>
      </w:rPr>
    </w:lvl>
    <w:lvl w:ilvl="3">
      <w:start w:val="0"/>
      <w:numFmt w:val="bullet"/>
      <w:lvlText w:val="•"/>
      <w:lvlJc w:val="left"/>
      <w:pPr>
        <w:ind w:left="740" w:hanging="454"/>
      </w:pPr>
      <w:rPr>
        <w:rFonts w:hint="default"/>
        <w:lang w:val="it-IT" w:eastAsia="it-IT" w:bidi="it-IT"/>
      </w:rPr>
    </w:lvl>
    <w:lvl w:ilvl="4">
      <w:start w:val="0"/>
      <w:numFmt w:val="bullet"/>
      <w:lvlText w:val="•"/>
      <w:lvlJc w:val="left"/>
      <w:pPr>
        <w:ind w:left="780" w:hanging="454"/>
      </w:pPr>
      <w:rPr>
        <w:rFonts w:hint="default"/>
        <w:lang w:val="it-IT" w:eastAsia="it-IT" w:bidi="it-IT"/>
      </w:rPr>
    </w:lvl>
    <w:lvl w:ilvl="5">
      <w:start w:val="0"/>
      <w:numFmt w:val="bullet"/>
      <w:lvlText w:val="•"/>
      <w:lvlJc w:val="left"/>
      <w:pPr>
        <w:ind w:left="820" w:hanging="454"/>
      </w:pPr>
      <w:rPr>
        <w:rFonts w:hint="default"/>
        <w:lang w:val="it-IT" w:eastAsia="it-IT" w:bidi="it-IT"/>
      </w:rPr>
    </w:lvl>
    <w:lvl w:ilvl="6">
      <w:start w:val="0"/>
      <w:numFmt w:val="bullet"/>
      <w:lvlText w:val="•"/>
      <w:lvlJc w:val="left"/>
      <w:pPr>
        <w:ind w:left="1120" w:hanging="454"/>
      </w:pPr>
      <w:rPr>
        <w:rFonts w:hint="default"/>
        <w:lang w:val="it-IT" w:eastAsia="it-IT" w:bidi="it-IT"/>
      </w:rPr>
    </w:lvl>
    <w:lvl w:ilvl="7">
      <w:start w:val="0"/>
      <w:numFmt w:val="bullet"/>
      <w:lvlText w:val="•"/>
      <w:lvlJc w:val="left"/>
      <w:pPr>
        <w:ind w:left="1580" w:hanging="454"/>
      </w:pPr>
      <w:rPr>
        <w:rFonts w:hint="default"/>
        <w:lang w:val="it-IT" w:eastAsia="it-IT" w:bidi="it-IT"/>
      </w:rPr>
    </w:lvl>
    <w:lvl w:ilvl="8">
      <w:start w:val="0"/>
      <w:numFmt w:val="bullet"/>
      <w:lvlText w:val="•"/>
      <w:lvlJc w:val="left"/>
      <w:pPr>
        <w:ind w:left="7040" w:hanging="454"/>
      </w:pPr>
      <w:rPr>
        <w:rFonts w:hint="default"/>
        <w:lang w:val="it-IT" w:eastAsia="it-IT" w:bidi="it-IT"/>
      </w:rPr>
    </w:lvl>
  </w:abstractNum>
  <w:abstractNum w:abstractNumId="0">
    <w:multiLevelType w:val="hybridMultilevel"/>
    <w:lvl w:ilvl="0">
      <w:start w:val="1"/>
      <w:numFmt w:val="upperRoman"/>
      <w:lvlText w:val="%1."/>
      <w:lvlJc w:val="left"/>
      <w:pPr>
        <w:ind w:left="986" w:hanging="708"/>
        <w:jc w:val="left"/>
      </w:pPr>
      <w:rPr>
        <w:rFonts w:hint="default" w:ascii="Franklin Gothic Heavy" w:hAnsi="Franklin Gothic Heavy" w:eastAsia="Franklin Gothic Heavy" w:cs="Franklin Gothic Heavy"/>
        <w:b/>
        <w:bCs/>
        <w:color w:val="585858"/>
        <w:spacing w:val="-1"/>
        <w:w w:val="99"/>
        <w:sz w:val="24"/>
        <w:szCs w:val="24"/>
        <w:lang w:val="it-IT" w:eastAsia="it-IT" w:bidi="it-IT"/>
      </w:rPr>
    </w:lvl>
    <w:lvl w:ilvl="1">
      <w:start w:val="1"/>
      <w:numFmt w:val="decimal"/>
      <w:lvlText w:val="%1.%2"/>
      <w:lvlJc w:val="left"/>
      <w:pPr>
        <w:ind w:left="986" w:hanging="708"/>
        <w:jc w:val="left"/>
      </w:pPr>
      <w:rPr>
        <w:rFonts w:hint="default" w:ascii="Franklin Gothic Book" w:hAnsi="Franklin Gothic Book" w:eastAsia="Franklin Gothic Book" w:cs="Franklin Gothic Book"/>
        <w:w w:val="100"/>
        <w:sz w:val="22"/>
        <w:szCs w:val="22"/>
        <w:lang w:val="it-IT" w:eastAsia="it-IT" w:bidi="it-IT"/>
      </w:rPr>
    </w:lvl>
    <w:lvl w:ilvl="2">
      <w:start w:val="0"/>
      <w:numFmt w:val="bullet"/>
      <w:lvlText w:val="•"/>
      <w:lvlJc w:val="left"/>
      <w:pPr>
        <w:ind w:left="2937" w:hanging="708"/>
      </w:pPr>
      <w:rPr>
        <w:rFonts w:hint="default"/>
        <w:lang w:val="it-IT" w:eastAsia="it-IT" w:bidi="it-IT"/>
      </w:rPr>
    </w:lvl>
    <w:lvl w:ilvl="3">
      <w:start w:val="0"/>
      <w:numFmt w:val="bullet"/>
      <w:lvlText w:val="•"/>
      <w:lvlJc w:val="left"/>
      <w:pPr>
        <w:ind w:left="3915" w:hanging="708"/>
      </w:pPr>
      <w:rPr>
        <w:rFonts w:hint="default"/>
        <w:lang w:val="it-IT" w:eastAsia="it-IT" w:bidi="it-IT"/>
      </w:rPr>
    </w:lvl>
    <w:lvl w:ilvl="4">
      <w:start w:val="0"/>
      <w:numFmt w:val="bullet"/>
      <w:lvlText w:val="•"/>
      <w:lvlJc w:val="left"/>
      <w:pPr>
        <w:ind w:left="4894" w:hanging="708"/>
      </w:pPr>
      <w:rPr>
        <w:rFonts w:hint="default"/>
        <w:lang w:val="it-IT" w:eastAsia="it-IT" w:bidi="it-IT"/>
      </w:rPr>
    </w:lvl>
    <w:lvl w:ilvl="5">
      <w:start w:val="0"/>
      <w:numFmt w:val="bullet"/>
      <w:lvlText w:val="•"/>
      <w:lvlJc w:val="left"/>
      <w:pPr>
        <w:ind w:left="5873" w:hanging="708"/>
      </w:pPr>
      <w:rPr>
        <w:rFonts w:hint="default"/>
        <w:lang w:val="it-IT" w:eastAsia="it-IT" w:bidi="it-IT"/>
      </w:rPr>
    </w:lvl>
    <w:lvl w:ilvl="6">
      <w:start w:val="0"/>
      <w:numFmt w:val="bullet"/>
      <w:lvlText w:val="•"/>
      <w:lvlJc w:val="left"/>
      <w:pPr>
        <w:ind w:left="6851" w:hanging="708"/>
      </w:pPr>
      <w:rPr>
        <w:rFonts w:hint="default"/>
        <w:lang w:val="it-IT" w:eastAsia="it-IT" w:bidi="it-IT"/>
      </w:rPr>
    </w:lvl>
    <w:lvl w:ilvl="7">
      <w:start w:val="0"/>
      <w:numFmt w:val="bullet"/>
      <w:lvlText w:val="•"/>
      <w:lvlJc w:val="left"/>
      <w:pPr>
        <w:ind w:left="7830" w:hanging="708"/>
      </w:pPr>
      <w:rPr>
        <w:rFonts w:hint="default"/>
        <w:lang w:val="it-IT" w:eastAsia="it-IT" w:bidi="it-IT"/>
      </w:rPr>
    </w:lvl>
    <w:lvl w:ilvl="8">
      <w:start w:val="0"/>
      <w:numFmt w:val="bullet"/>
      <w:lvlText w:val="•"/>
      <w:lvlJc w:val="left"/>
      <w:pPr>
        <w:ind w:left="8809" w:hanging="708"/>
      </w:pPr>
      <w:rPr>
        <w:rFonts w:hint="default"/>
        <w:lang w:val="it-IT" w:eastAsia="it-IT" w:bidi="it-IT"/>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it-IT" w:eastAsia="it-IT" w:bidi="it-IT"/>
    </w:rPr>
  </w:style>
  <w:style w:styleId="BodyText" w:type="paragraph">
    <w:name w:val="Body Text"/>
    <w:basedOn w:val="Normal"/>
    <w:uiPriority w:val="1"/>
    <w:qFormat/>
    <w:pPr/>
    <w:rPr>
      <w:rFonts w:ascii="Trebuchet MS" w:hAnsi="Trebuchet MS" w:eastAsia="Trebuchet MS" w:cs="Trebuchet MS"/>
      <w:sz w:val="22"/>
      <w:szCs w:val="22"/>
      <w:lang w:val="it-IT" w:eastAsia="it-IT" w:bidi="it-IT"/>
    </w:rPr>
  </w:style>
  <w:style w:styleId="Heading1" w:type="paragraph">
    <w:name w:val="Heading 1"/>
    <w:basedOn w:val="Normal"/>
    <w:uiPriority w:val="1"/>
    <w:qFormat/>
    <w:pPr>
      <w:spacing w:before="99"/>
      <w:ind w:left="278"/>
      <w:outlineLvl w:val="1"/>
    </w:pPr>
    <w:rPr>
      <w:rFonts w:ascii="Franklin Gothic Heavy" w:hAnsi="Franklin Gothic Heavy" w:eastAsia="Franklin Gothic Heavy" w:cs="Franklin Gothic Heavy"/>
      <w:b/>
      <w:bCs/>
      <w:sz w:val="32"/>
      <w:szCs w:val="32"/>
      <w:lang w:val="it-IT" w:eastAsia="it-IT" w:bidi="it-IT"/>
    </w:rPr>
  </w:style>
  <w:style w:styleId="Heading2" w:type="paragraph">
    <w:name w:val="Heading 2"/>
    <w:basedOn w:val="Normal"/>
    <w:uiPriority w:val="1"/>
    <w:qFormat/>
    <w:pPr>
      <w:ind w:left="818" w:hanging="541"/>
      <w:outlineLvl w:val="2"/>
    </w:pPr>
    <w:rPr>
      <w:rFonts w:ascii="Franklin Gothic Heavy" w:hAnsi="Franklin Gothic Heavy" w:eastAsia="Franklin Gothic Heavy" w:cs="Franklin Gothic Heavy"/>
      <w:b/>
      <w:bCs/>
      <w:sz w:val="26"/>
      <w:szCs w:val="26"/>
      <w:lang w:val="it-IT" w:eastAsia="it-IT" w:bidi="it-IT"/>
    </w:rPr>
  </w:style>
  <w:style w:styleId="Heading3" w:type="paragraph">
    <w:name w:val="Heading 3"/>
    <w:basedOn w:val="Normal"/>
    <w:uiPriority w:val="1"/>
    <w:qFormat/>
    <w:pPr>
      <w:ind w:left="278"/>
      <w:outlineLvl w:val="3"/>
    </w:pPr>
    <w:rPr>
      <w:rFonts w:ascii="Franklin Gothic Medium" w:hAnsi="Franklin Gothic Medium" w:eastAsia="Franklin Gothic Medium" w:cs="Franklin Gothic Medium"/>
      <w:sz w:val="26"/>
      <w:szCs w:val="26"/>
      <w:lang w:val="it-IT" w:eastAsia="it-IT" w:bidi="it-IT"/>
    </w:rPr>
  </w:style>
  <w:style w:styleId="Heading4" w:type="paragraph">
    <w:name w:val="Heading 4"/>
    <w:basedOn w:val="Normal"/>
    <w:uiPriority w:val="1"/>
    <w:qFormat/>
    <w:pPr>
      <w:spacing w:before="20"/>
      <w:ind w:left="20"/>
      <w:outlineLvl w:val="4"/>
    </w:pPr>
    <w:rPr>
      <w:rFonts w:ascii="Franklin Gothic Heavy" w:hAnsi="Franklin Gothic Heavy" w:eastAsia="Franklin Gothic Heavy" w:cs="Franklin Gothic Heavy"/>
      <w:b/>
      <w:bCs/>
      <w:sz w:val="24"/>
      <w:szCs w:val="24"/>
      <w:lang w:val="it-IT" w:eastAsia="it-IT" w:bidi="it-IT"/>
    </w:rPr>
  </w:style>
  <w:style w:styleId="Heading5" w:type="paragraph">
    <w:name w:val="Heading 5"/>
    <w:basedOn w:val="Normal"/>
    <w:uiPriority w:val="1"/>
    <w:qFormat/>
    <w:pPr>
      <w:ind w:left="1128"/>
      <w:jc w:val="both"/>
      <w:outlineLvl w:val="5"/>
    </w:pPr>
    <w:rPr>
      <w:rFonts w:ascii="Franklin Gothic Medium" w:hAnsi="Franklin Gothic Medium" w:eastAsia="Franklin Gothic Medium" w:cs="Franklin Gothic Medium"/>
      <w:sz w:val="23"/>
      <w:szCs w:val="23"/>
      <w:lang w:val="it-IT" w:eastAsia="it-IT" w:bidi="it-IT"/>
    </w:rPr>
  </w:style>
  <w:style w:styleId="Heading6" w:type="paragraph">
    <w:name w:val="Heading 6"/>
    <w:basedOn w:val="Normal"/>
    <w:uiPriority w:val="1"/>
    <w:qFormat/>
    <w:pPr>
      <w:spacing w:before="101"/>
      <w:ind w:left="453"/>
      <w:jc w:val="both"/>
      <w:outlineLvl w:val="6"/>
    </w:pPr>
    <w:rPr>
      <w:rFonts w:ascii="Franklin Gothic Demi Cond" w:hAnsi="Franklin Gothic Demi Cond" w:eastAsia="Franklin Gothic Demi Cond" w:cs="Franklin Gothic Demi Cond"/>
      <w:b/>
      <w:bCs/>
      <w:sz w:val="22"/>
      <w:szCs w:val="22"/>
      <w:lang w:val="it-IT" w:eastAsia="it-IT" w:bidi="it-IT"/>
    </w:rPr>
  </w:style>
  <w:style w:styleId="ListParagraph" w:type="paragraph">
    <w:name w:val="List Paragraph"/>
    <w:basedOn w:val="Normal"/>
    <w:uiPriority w:val="1"/>
    <w:qFormat/>
    <w:pPr>
      <w:ind w:left="1346" w:hanging="454"/>
    </w:pPr>
    <w:rPr>
      <w:rFonts w:ascii="Trebuchet MS" w:hAnsi="Trebuchet MS" w:eastAsia="Trebuchet MS" w:cs="Trebuchet MS"/>
      <w:lang w:val="it-IT" w:eastAsia="it-IT" w:bidi="it-IT"/>
    </w:rPr>
  </w:style>
  <w:style w:styleId="TableParagraph" w:type="paragraph">
    <w:name w:val="Table Paragraph"/>
    <w:basedOn w:val="Normal"/>
    <w:uiPriority w:val="1"/>
    <w:qFormat/>
    <w:pPr>
      <w:jc w:val="right"/>
    </w:pPr>
    <w:rPr>
      <w:rFonts w:ascii="Franklin Gothic Book" w:hAnsi="Franklin Gothic Book" w:eastAsia="Franklin Gothic Book" w:cs="Franklin Gothic Book"/>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3.xml"/><Relationship Id="rId27" Type="http://schemas.openxmlformats.org/officeDocument/2006/relationships/footer" Target="footer4.xml"/><Relationship Id="rId28" Type="http://schemas.openxmlformats.org/officeDocument/2006/relationships/header" Target="header3.xml"/><Relationship Id="rId29" Type="http://schemas.openxmlformats.org/officeDocument/2006/relationships/header" Target="header4.xml"/><Relationship Id="rId30" Type="http://schemas.openxmlformats.org/officeDocument/2006/relationships/footer" Target="footer5.xml"/><Relationship Id="rId31" Type="http://schemas.openxmlformats.org/officeDocument/2006/relationships/footer" Target="footer6.xml"/><Relationship Id="rId32" Type="http://schemas.openxmlformats.org/officeDocument/2006/relationships/header" Target="header5.xml"/><Relationship Id="rId33" Type="http://schemas.openxmlformats.org/officeDocument/2006/relationships/header" Target="header6.xml"/><Relationship Id="rId34" Type="http://schemas.openxmlformats.org/officeDocument/2006/relationships/footer" Target="footer7.xml"/><Relationship Id="rId35" Type="http://schemas.openxmlformats.org/officeDocument/2006/relationships/footer" Target="footer8.xml"/><Relationship Id="rId36" Type="http://schemas.openxmlformats.org/officeDocument/2006/relationships/header" Target="header7.xml"/><Relationship Id="rId37" Type="http://schemas.openxmlformats.org/officeDocument/2006/relationships/header" Target="header8.xml"/><Relationship Id="rId38" Type="http://schemas.openxmlformats.org/officeDocument/2006/relationships/footer" Target="footer9.xml"/><Relationship Id="rId39" Type="http://schemas.openxmlformats.org/officeDocument/2006/relationships/footer" Target="footer10.xml"/><Relationship Id="rId40" Type="http://schemas.openxmlformats.org/officeDocument/2006/relationships/header" Target="header9.xml"/><Relationship Id="rId41" Type="http://schemas.openxmlformats.org/officeDocument/2006/relationships/header" Target="header10.xml"/><Relationship Id="rId42" Type="http://schemas.openxmlformats.org/officeDocument/2006/relationships/hyperlink" Target="https://ec.europa.eu/eurostat/web/products-manuals-and-guidelines/-/KS-GQ-19-007" TargetMode="External"/><Relationship Id="rId43" Type="http://schemas.openxmlformats.org/officeDocument/2006/relationships/header" Target="header11.xml"/><Relationship Id="rId44" Type="http://schemas.openxmlformats.org/officeDocument/2006/relationships/footer" Target="footer11.xml"/><Relationship Id="rId45" Type="http://schemas.openxmlformats.org/officeDocument/2006/relationships/footer" Target="footer12.xml"/><Relationship Id="rId46" Type="http://schemas.openxmlformats.org/officeDocument/2006/relationships/header" Target="header12.xml"/><Relationship Id="rId47" Type="http://schemas.openxmlformats.org/officeDocument/2006/relationships/header" Target="header13.xml"/><Relationship Id="rId48" Type="http://schemas.openxmlformats.org/officeDocument/2006/relationships/hyperlink" Target="https://europa.eu/rapid/press-release_MEMO-18-6784_en.htm" TargetMode="External"/><Relationship Id="rId49" Type="http://schemas.openxmlformats.org/officeDocument/2006/relationships/image" Target="media/image18.png"/><Relationship Id="rId50" Type="http://schemas.openxmlformats.org/officeDocument/2006/relationships/image" Target="media/image19.png"/><Relationship Id="rId51" Type="http://schemas.openxmlformats.org/officeDocument/2006/relationships/header" Target="header14.xml"/><Relationship Id="rId52" Type="http://schemas.openxmlformats.org/officeDocument/2006/relationships/footer" Target="footer13.xml"/><Relationship Id="rId53" Type="http://schemas.openxmlformats.org/officeDocument/2006/relationships/footer" Target="footer14.xml"/><Relationship Id="rId54" Type="http://schemas.openxmlformats.org/officeDocument/2006/relationships/header" Target="header15.xml"/><Relationship Id="rId55" Type="http://schemas.openxmlformats.org/officeDocument/2006/relationships/header" Target="header16.xml"/><Relationship Id="rId56" Type="http://schemas.openxmlformats.org/officeDocument/2006/relationships/hyperlink" Target="http://demo.istat.it/" TargetMode="External"/><Relationship Id="rId57" Type="http://schemas.openxmlformats.org/officeDocument/2006/relationships/hyperlink" Target="http://www.mef.gov.it/documenti-allegati/2018/Allegato_4_-_richiesta_di_flessibilitx.pdf" TargetMode="External"/><Relationship Id="rId58" Type="http://schemas.openxmlformats.org/officeDocument/2006/relationships/hyperlink" Target="http://www.mef.gov.it/ufficio-stampa/comunicati/2019/comunicato_0165.html" TargetMode="External"/><Relationship Id="rId59" Type="http://schemas.openxmlformats.org/officeDocument/2006/relationships/image" Target="media/image20.png"/><Relationship Id="rId60" Type="http://schemas.openxmlformats.org/officeDocument/2006/relationships/image" Target="media/image21.png"/><Relationship Id="rId61" Type="http://schemas.openxmlformats.org/officeDocument/2006/relationships/image" Target="media/image22.png"/><Relationship Id="rId62" Type="http://schemas.openxmlformats.org/officeDocument/2006/relationships/image" Target="media/image23.png"/><Relationship Id="rId63" Type="http://schemas.openxmlformats.org/officeDocument/2006/relationships/image" Target="media/image24.png"/><Relationship Id="rId64" Type="http://schemas.openxmlformats.org/officeDocument/2006/relationships/image" Target="media/image25.png"/><Relationship Id="rId65" Type="http://schemas.openxmlformats.org/officeDocument/2006/relationships/image" Target="media/image26.png"/><Relationship Id="rId66" Type="http://schemas.openxmlformats.org/officeDocument/2006/relationships/image" Target="media/image27.png"/><Relationship Id="rId67" Type="http://schemas.openxmlformats.org/officeDocument/2006/relationships/image" Target="media/image28.png"/><Relationship Id="rId68" Type="http://schemas.openxmlformats.org/officeDocument/2006/relationships/image" Target="media/image29.png"/><Relationship Id="rId69" Type="http://schemas.openxmlformats.org/officeDocument/2006/relationships/image" Target="media/image30.png"/><Relationship Id="rId70" Type="http://schemas.openxmlformats.org/officeDocument/2006/relationships/image" Target="media/image31.png"/><Relationship Id="rId71" Type="http://schemas.openxmlformats.org/officeDocument/2006/relationships/image" Target="media/image32.png"/><Relationship Id="rId72" Type="http://schemas.openxmlformats.org/officeDocument/2006/relationships/image" Target="media/image33.png"/><Relationship Id="rId73" Type="http://schemas.openxmlformats.org/officeDocument/2006/relationships/image" Target="media/image34.png"/><Relationship Id="rId74" Type="http://schemas.openxmlformats.org/officeDocument/2006/relationships/image" Target="media/image35.png"/><Relationship Id="rId75" Type="http://schemas.openxmlformats.org/officeDocument/2006/relationships/hyperlink" Target="https://ec.europa.eu/info/sites/info/files/economy-finance/ip101_en.pdf" TargetMode="External"/><Relationship Id="rId76" Type="http://schemas.openxmlformats.org/officeDocument/2006/relationships/header" Target="header17.xml"/><Relationship Id="rId77" Type="http://schemas.openxmlformats.org/officeDocument/2006/relationships/footer" Target="footer15.xml"/><Relationship Id="rId78" Type="http://schemas.openxmlformats.org/officeDocument/2006/relationships/footer" Target="footer16.xml"/><Relationship Id="rId79" Type="http://schemas.openxmlformats.org/officeDocument/2006/relationships/header" Target="header18.xml"/><Relationship Id="rId80" Type="http://schemas.openxmlformats.org/officeDocument/2006/relationships/header" Target="header19.xml"/><Relationship Id="rId81" Type="http://schemas.openxmlformats.org/officeDocument/2006/relationships/hyperlink" Target="https://www.consilium.europa.eu/en/press/press-releases/2019/07/09/economic-employment-and-fiscal-policies-2019-country-specific-recommendations/" TargetMode="External"/><Relationship Id="rId82" Type="http://schemas.openxmlformats.org/officeDocument/2006/relationships/hyperlink" Target="http://www.oecd.org/ctp/implementing-online-cash-registers-benefits-considerations-and-guidance.htm" TargetMode="External"/><Relationship Id="rId83" Type="http://schemas.openxmlformats.org/officeDocument/2006/relationships/hyperlink" Target="https://ec.europa.eu/digital-single-market/en/desi" TargetMode="External"/><Relationship Id="rId84" Type="http://schemas.openxmlformats.org/officeDocument/2006/relationships/hyperlink" Target="http://www.minambiente.it/sites/default/files/archivio_immagini/Sergio_costa/Comunicati/piano_stra" TargetMode="External"/><Relationship Id="rId85" Type="http://schemas.openxmlformats.org/officeDocument/2006/relationships/hyperlink" Target="https://ec.europa.eu/info/sites/info/files/file_import/2019-european-semester-country-report-italy_en.pdf" TargetMode="External"/><Relationship Id="rId86" Type="http://schemas.openxmlformats.org/officeDocument/2006/relationships/header" Target="header20.xml"/><Relationship Id="rId87" Type="http://schemas.openxmlformats.org/officeDocument/2006/relationships/footer" Target="footer17.xml"/><Relationship Id="rId88" Type="http://schemas.openxmlformats.org/officeDocument/2006/relationships/hyperlink" Target="http://www.mef.gov.it/" TargetMode="External"/><Relationship Id="rId89" Type="http://schemas.openxmlformats.org/officeDocument/2006/relationships/hyperlink" Target="http://www.dt.tesoro.it/" TargetMode="External"/><Relationship Id="rId90" Type="http://schemas.openxmlformats.org/officeDocument/2006/relationships/hyperlink" Target="http://www.rgs.mef.gov.it/" TargetMode="External"/><Relationship Id="rId9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MINISTERO DELL'ECONOMIA E FINANZE</dc:creator>
  <dc:title>NOTA DI AGGIORNAMENTO DEL DEF 2019</dc:title>
  <dcterms:created xsi:type="dcterms:W3CDTF">2019-10-03T12:31:19Z</dcterms:created>
  <dcterms:modified xsi:type="dcterms:W3CDTF">2019-10-03T12:31:19Z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Adobe Acrobat Pro 9.5.5</vt:lpwstr>
  </property>
  <property fmtid="{D5CDD505-2E9C-101B-9397-08002B2CF9AE}" pid="4" name="LastSaved">
    <vt:filetime>2019-10-03T00:00:00Z</vt:filetime>
  </property>
</Properties>
</file>